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left="3200"/>
        <w:spacing w:after="0"/>
        <w:rPr>
          <w:sz w:val="20"/>
          <w:szCs w:val="20"/>
          <w:color w:val="auto"/>
        </w:rPr>
      </w:pPr>
      <w:r>
        <w:rPr>
          <w:rFonts w:ascii="Arial" w:cs="Arial" w:eastAsia="Arial" w:hAnsi="Arial"/>
          <w:sz w:val="13"/>
          <w:szCs w:val="13"/>
          <w:b w:val="1"/>
          <w:bCs w:val="1"/>
          <w:color w:val="auto"/>
        </w:rPr>
        <w:t>As confidentially submitted to the Securities and Exchange Commission on April 26, 2021.</w:t>
      </w:r>
    </w:p>
    <w:p>
      <w:pPr>
        <w:ind w:left="1260"/>
        <w:spacing w:after="0" w:line="234"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w:t>
      </w:r>
    </w:p>
    <w:p>
      <w:pPr>
        <w:ind w:left="9620"/>
        <w:spacing w:after="0"/>
        <w:rPr>
          <w:sz w:val="20"/>
          <w:szCs w:val="20"/>
          <w:color w:val="auto"/>
        </w:rPr>
      </w:pPr>
      <w:r>
        <w:rPr>
          <w:rFonts w:ascii="Arial" w:cs="Arial" w:eastAsia="Arial" w:hAnsi="Arial"/>
          <w:sz w:val="10"/>
          <w:szCs w:val="10"/>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81915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83185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RANI THERAPEUTICS HOLDINGS,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14" w:lineRule="exact"/>
        <w:rPr>
          <w:sz w:val="24"/>
          <w:szCs w:val="24"/>
          <w:color w:val="auto"/>
        </w:rPr>
      </w:pPr>
    </w:p>
    <w:p>
      <w:pPr>
        <w:ind w:left="17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2834</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86-3114789</w:t>
      </w:r>
    </w:p>
    <w:p>
      <w:pPr>
        <w:spacing w:after="0" w:line="32" w:lineRule="exact"/>
        <w:rPr>
          <w:sz w:val="24"/>
          <w:szCs w:val="24"/>
          <w:color w:val="auto"/>
        </w:rPr>
      </w:pPr>
    </w:p>
    <w:p>
      <w:pPr>
        <w:sectPr>
          <w:pgSz w:w="11900" w:h="16838" w:orient="portrait"/>
          <w:cols w:equalWidth="0" w:num="3">
            <w:col w:w="4900" w:space="720"/>
            <w:col w:w="2720" w:space="720"/>
            <w:col w:w="2080"/>
          </w:cols>
          <w:pgMar w:left="320" w:top="230" w:right="439" w:bottom="1440" w:gutter="0" w:footer="0" w:header="0"/>
          <w:type w:val="continuous"/>
        </w:sectPr>
      </w:pPr>
    </w:p>
    <w:p>
      <w:pPr>
        <w:spacing w:after="0" w:line="11" w:lineRule="exact"/>
        <w:rPr>
          <w:sz w:val="24"/>
          <w:szCs w:val="24"/>
          <w:color w:val="auto"/>
        </w:rPr>
      </w:pPr>
    </w:p>
    <w:p>
      <w:pPr>
        <w:ind w:left="1320"/>
        <w:spacing w:after="0"/>
        <w:rPr>
          <w:sz w:val="20"/>
          <w:szCs w:val="20"/>
          <w:color w:val="auto"/>
        </w:rPr>
      </w:pPr>
      <w:r>
        <w:rPr>
          <w:rFonts w:ascii="Arial" w:cs="Arial" w:eastAsia="Arial" w:hAnsi="Arial"/>
          <w:sz w:val="10"/>
          <w:szCs w:val="10"/>
          <w:b w:val="1"/>
          <w:bCs w:val="1"/>
          <w:color w:val="auto"/>
        </w:rPr>
        <w:t>(State or other jurisdiction of</w:t>
      </w:r>
    </w:p>
    <w:p>
      <w:pPr>
        <w:ind w:left="128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(Primary Standard Industrial</w:t>
      </w:r>
    </w:p>
    <w:p>
      <w:pPr>
        <w:spacing w:after="0"/>
        <w:rPr>
          <w:sz w:val="20"/>
          <w:szCs w:val="20"/>
          <w:color w:val="auto"/>
        </w:rPr>
      </w:pPr>
      <w:r>
        <w:rPr>
          <w:rFonts w:ascii="Arial" w:cs="Arial" w:eastAsia="Arial" w:hAnsi="Arial"/>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1"/>
          <w:szCs w:val="11"/>
          <w:b w:val="1"/>
          <w:bCs w:val="1"/>
          <w:color w:val="auto"/>
        </w:rPr>
        <w:t>(I.R.S. Employer</w:t>
      </w:r>
    </w:p>
    <w:p>
      <w:pPr>
        <w:jc w:val="center"/>
        <w:ind w:right="1240"/>
        <w:spacing w:after="0"/>
        <w:rPr>
          <w:sz w:val="20"/>
          <w:szCs w:val="20"/>
          <w:color w:val="auto"/>
        </w:rPr>
      </w:pPr>
      <w:r>
        <w:rPr>
          <w:rFonts w:ascii="Arial" w:cs="Arial" w:eastAsia="Arial" w:hAnsi="Arial"/>
          <w:sz w:val="9"/>
          <w:szCs w:val="9"/>
          <w:b w:val="1"/>
          <w:bCs w:val="1"/>
          <w:color w:val="auto"/>
        </w:rPr>
        <w:t>Identification Number)</w:t>
      </w:r>
    </w:p>
    <w:p>
      <w:pPr>
        <w:spacing w:after="0" w:line="123" w:lineRule="exact"/>
        <w:rPr>
          <w:sz w:val="24"/>
          <w:szCs w:val="24"/>
          <w:color w:val="auto"/>
        </w:rPr>
      </w:pPr>
    </w:p>
    <w:p>
      <w:pPr>
        <w:sectPr>
          <w:pgSz w:w="11900" w:h="16838" w:orient="portrait"/>
          <w:cols w:equalWidth="0" w:num="3">
            <w:col w:w="4340" w:space="720"/>
            <w:col w:w="3060" w:space="720"/>
            <w:col w:w="230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3"/>
          <w:szCs w:val="13"/>
          <w:b w:val="1"/>
          <w:bCs w:val="1"/>
          <w:color w:val="auto"/>
        </w:rPr>
        <w:t>2051 Ringwood Avenue</w:t>
      </w:r>
    </w:p>
    <w:p>
      <w:pPr>
        <w:jc w:val="center"/>
        <w:ind w:right="-9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9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99"/>
        <w:spacing w:after="0"/>
        <w:rPr>
          <w:sz w:val="20"/>
          <w:szCs w:val="20"/>
          <w:color w:val="auto"/>
        </w:rPr>
      </w:pPr>
      <w:r>
        <w:rPr>
          <w:rFonts w:ascii="Arial" w:cs="Arial" w:eastAsia="Arial" w:hAnsi="Arial"/>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123825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Mir Imran</w:t>
      </w:r>
    </w:p>
    <w:p>
      <w:pPr>
        <w:jc w:val="center"/>
        <w:ind w:right="-119"/>
        <w:spacing w:after="0" w:line="216" w:lineRule="auto"/>
        <w:rPr>
          <w:sz w:val="20"/>
          <w:szCs w:val="20"/>
          <w:color w:val="auto"/>
        </w:rPr>
      </w:pPr>
      <w:r>
        <w:rPr>
          <w:rFonts w:ascii="Arial" w:cs="Arial" w:eastAsia="Arial" w:hAnsi="Arial"/>
          <w:sz w:val="13"/>
          <w:szCs w:val="13"/>
          <w:b w:val="1"/>
          <w:bCs w:val="1"/>
          <w:color w:val="auto"/>
        </w:rPr>
        <w:t>President and Chief Executive Officer</w:t>
      </w:r>
    </w:p>
    <w:p>
      <w:pPr>
        <w:jc w:val="center"/>
        <w:ind w:right="-119"/>
        <w:spacing w:after="0" w:line="217" w:lineRule="auto"/>
        <w:rPr>
          <w:sz w:val="20"/>
          <w:szCs w:val="20"/>
          <w:color w:val="auto"/>
        </w:rPr>
      </w:pPr>
      <w:r>
        <w:rPr>
          <w:rFonts w:ascii="Arial" w:cs="Arial" w:eastAsia="Arial" w:hAnsi="Arial"/>
          <w:sz w:val="13"/>
          <w:szCs w:val="13"/>
          <w:b w:val="1"/>
          <w:bCs w:val="1"/>
          <w:color w:val="auto"/>
        </w:rPr>
        <w:t>Rani Therapeutics Holdings, Inc.</w:t>
      </w:r>
    </w:p>
    <w:p>
      <w:pPr>
        <w:jc w:val="center"/>
        <w:ind w:right="-119"/>
        <w:spacing w:after="0" w:line="217" w:lineRule="auto"/>
        <w:rPr>
          <w:sz w:val="20"/>
          <w:szCs w:val="20"/>
          <w:color w:val="auto"/>
        </w:rPr>
      </w:pPr>
      <w:r>
        <w:rPr>
          <w:rFonts w:ascii="Arial" w:cs="Arial" w:eastAsia="Arial" w:hAnsi="Arial"/>
          <w:sz w:val="13"/>
          <w:szCs w:val="13"/>
          <w:b w:val="1"/>
          <w:bCs w:val="1"/>
          <w:color w:val="auto"/>
        </w:rPr>
        <w:t>2051 Ringwood Avenue</w:t>
      </w:r>
    </w:p>
    <w:p>
      <w:pPr>
        <w:jc w:val="center"/>
        <w:ind w:right="-11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11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119"/>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74930</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spacing w:after="0" w:line="95" w:lineRule="exact"/>
        <w:rPr>
          <w:sz w:val="24"/>
          <w:szCs w:val="24"/>
          <w:color w:val="auto"/>
        </w:rPr>
      </w:pPr>
    </w:p>
    <w:tbl>
      <w:tblPr>
        <w:tblLayout w:type="fixed"/>
        <w:tblInd w:w="2160" w:type="dxa"/>
        <w:tblCellMar>
          <w:top w:w="0" w:type="dxa"/>
          <w:left w:w="0" w:type="dxa"/>
          <w:bottom w:w="0" w:type="dxa"/>
          <w:right w:w="0" w:type="dxa"/>
        </w:tblCellMar>
      </w:tblPr>
      <w:tr>
        <w:trPr>
          <w:trHeight w:val="149"/>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4"/>
              </w:rPr>
              <w:t>Josh Seidenfeld</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9"/>
              </w:rPr>
              <w:t>Deepa M. Rich</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91"/>
              </w:rPr>
              <w:t>Mark B. Weeks</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Edwin O’Connor</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John T. McKenna</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Sam Zucker</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Charles S. Kim</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6"/>
              </w:rPr>
              <w:t>Shoaib Ghias</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Cooley LLP</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7"/>
              </w:rPr>
              <w:t>3175 Hanover Street</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601 Marshall Street</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8"/>
              </w:rPr>
              <w:t>Redwood City, California 94063</w:t>
            </w:r>
          </w:p>
        </w:tc>
      </w:tr>
      <w:tr>
        <w:trPr>
          <w:trHeight w:val="164"/>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8"/>
              </w:rPr>
              <w:t>650-843-5000</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8"/>
              </w:rPr>
              <w:t>650-752-3100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147320</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11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72" w:lineRule="exact"/>
        <w:rPr>
          <w:sz w:val="24"/>
          <w:szCs w:val="24"/>
          <w:color w:val="auto"/>
        </w:rPr>
      </w:pPr>
    </w:p>
    <w:p>
      <w:pPr>
        <w:jc w:val="center"/>
        <w:ind w:right="-239"/>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left="120" w:right="260" w:firstLine="88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8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6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80" w:firstLine="881"/>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76" w:lineRule="exact"/>
        <w:rPr>
          <w:sz w:val="24"/>
          <w:szCs w:val="24"/>
          <w:color w:val="auto"/>
        </w:rPr>
      </w:pPr>
    </w:p>
    <w:p>
      <w:pPr>
        <w:ind w:left="120" w:right="300" w:firstLine="881"/>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95885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CALCULATION OF REGISTRATION FEE</w:t>
      </w:r>
    </w:p>
    <w:p>
      <w:pPr>
        <w:spacing w:after="0" w:line="10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88"/>
        </w:trPr>
        <w:tc>
          <w:tcPr>
            <w:tcW w:w="774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5"/>
              </w:rPr>
              <w:t>Proposed</w:t>
            </w:r>
          </w:p>
        </w:tc>
        <w:tc>
          <w:tcPr>
            <w:tcW w:w="1640" w:type="dxa"/>
            <w:vAlign w:val="bottom"/>
          </w:tcPr>
          <w:p>
            <w:pPr>
              <w:spacing w:after="0"/>
              <w:rPr>
                <w:sz w:val="7"/>
                <w:szCs w:val="7"/>
                <w:color w:val="auto"/>
              </w:rPr>
            </w:pPr>
          </w:p>
        </w:tc>
      </w:tr>
      <w:tr>
        <w:trPr>
          <w:trHeight w:val="121"/>
        </w:trPr>
        <w:tc>
          <w:tcPr>
            <w:tcW w:w="774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1640" w:type="dxa"/>
            <w:vAlign w:val="bottom"/>
          </w:tcPr>
          <w:p>
            <w:pPr>
              <w:spacing w:after="0"/>
              <w:rPr>
                <w:sz w:val="10"/>
                <w:szCs w:val="10"/>
                <w:color w:val="auto"/>
              </w:rPr>
            </w:pPr>
          </w:p>
        </w:tc>
      </w:tr>
      <w:tr>
        <w:trPr>
          <w:trHeight w:val="121"/>
        </w:trPr>
        <w:tc>
          <w:tcPr>
            <w:tcW w:w="77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88"/>
              </w:rPr>
              <w:t>Aggregate</w:t>
            </w:r>
          </w:p>
        </w:tc>
        <w:tc>
          <w:tcPr>
            <w:tcW w:w="1640" w:type="dxa"/>
            <w:vAlign w:val="bottom"/>
          </w:tcPr>
          <w:p>
            <w:pPr>
              <w:jc w:val="center"/>
              <w:ind w:left="4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4"/>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Securities to be Registered</w:t>
            </w:r>
          </w:p>
        </w:tc>
        <w:tc>
          <w:tcPr>
            <w:tcW w:w="164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1"/>
              </w:rPr>
              <w:t>Offering Price (1)(2)</w:t>
            </w:r>
          </w:p>
        </w:tc>
        <w:tc>
          <w:tcPr>
            <w:tcW w:w="164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8"/>
              </w:rPr>
              <w:t>Registration Fee</w:t>
            </w:r>
          </w:p>
        </w:tc>
      </w:tr>
      <w:tr>
        <w:trPr>
          <w:trHeight w:val="133"/>
        </w:trPr>
        <w:tc>
          <w:tcPr>
            <w:tcW w:w="774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3"/>
                <w:szCs w:val="13"/>
                <w:color w:val="auto"/>
              </w:rPr>
              <w:t>Class A common stock, $0.0001 par value</w:t>
            </w:r>
          </w:p>
        </w:tc>
        <w:tc>
          <w:tcPr>
            <w:tcW w:w="1640" w:type="dxa"/>
            <w:vAlign w:val="bottom"/>
            <w:tcBorders>
              <w:bottom w:val="single" w:sz="8" w:color="auto"/>
              <w:right w:val="single" w:sz="8" w:color="auto"/>
            </w:tcBorders>
          </w:tcPr>
          <w:p>
            <w:pPr>
              <w:jc w:val="right"/>
              <w:ind w:right="885"/>
              <w:spacing w:after="0" w:line="133" w:lineRule="exact"/>
              <w:rPr>
                <w:sz w:val="20"/>
                <w:szCs w:val="20"/>
                <w:color w:val="auto"/>
              </w:rPr>
            </w:pPr>
            <w:r>
              <w:rPr>
                <w:rFonts w:ascii="Arial" w:cs="Arial" w:eastAsia="Arial" w:hAnsi="Arial"/>
                <w:sz w:val="13"/>
                <w:szCs w:val="13"/>
                <w:color w:val="auto"/>
              </w:rPr>
              <w:t>$</w:t>
            </w:r>
          </w:p>
        </w:tc>
        <w:tc>
          <w:tcPr>
            <w:tcW w:w="1640" w:type="dxa"/>
            <w:vAlign w:val="bottom"/>
            <w:tcBorders>
              <w:bottom w:val="single" w:sz="8" w:color="auto"/>
            </w:tcBorders>
          </w:tcPr>
          <w:p>
            <w:pPr>
              <w:jc w:val="right"/>
              <w:ind w:right="883"/>
              <w:spacing w:after="0" w:line="133" w:lineRule="exact"/>
              <w:rPr>
                <w:sz w:val="20"/>
                <w:szCs w:val="20"/>
                <w:color w:val="auto"/>
              </w:rPr>
            </w:pPr>
            <w:r>
              <w:rPr>
                <w:rFonts w:ascii="Arial" w:cs="Arial" w:eastAsia="Arial" w:hAnsi="Arial"/>
                <w:sz w:val="13"/>
                <w:szCs w:val="13"/>
                <w:color w:val="auto"/>
              </w:rPr>
              <w:t>$</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440" w:hanging="324"/>
        <w:spacing w:after="0" w:line="231"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any additional shares of Class A common stock that the underwriters have the option to purchase.</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104775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49" w:lineRule="exact"/>
        <w:rPr>
          <w:sz w:val="24"/>
          <w:szCs w:val="24"/>
          <w:color w:val="auto"/>
        </w:rPr>
      </w:pPr>
    </w:p>
    <w:p>
      <w:pPr>
        <w:ind w:left="120" w:right="2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99" w:lineRule="exact"/>
        <w:rPr>
          <w:sz w:val="20"/>
          <w:szCs w:val="20"/>
          <w:color w:val="auto"/>
        </w:rPr>
      </w:pPr>
    </w:p>
    <w:tbl>
      <w:tblPr>
        <w:tblLayout w:type="fixed"/>
        <w:tblInd w:w="4320" w:type="dxa"/>
        <w:tblCellMar>
          <w:top w:w="0" w:type="dxa"/>
          <w:left w:w="0" w:type="dxa"/>
          <w:bottom w:w="0" w:type="dxa"/>
          <w:right w:w="0" w:type="dxa"/>
        </w:tblCellMar>
      </w:tblPr>
      <w:tr>
        <w:trPr>
          <w:trHeight w:val="161"/>
        </w:trPr>
        <w:tc>
          <w:tcPr>
            <w:tcW w:w="2100" w:type="dxa"/>
            <w:vAlign w:val="bottom"/>
          </w:tcPr>
          <w:p>
            <w:pPr>
              <w:ind w:left="660"/>
              <w:spacing w:after="0"/>
              <w:rPr>
                <w:sz w:val="20"/>
                <w:szCs w:val="20"/>
                <w:color w:val="auto"/>
              </w:rPr>
            </w:pPr>
            <w:r>
              <w:rPr>
                <w:rFonts w:ascii="Arial" w:cs="Arial" w:eastAsia="Arial" w:hAnsi="Arial"/>
                <w:sz w:val="14"/>
                <w:szCs w:val="14"/>
                <w:color w:val="C21128"/>
              </w:rPr>
              <w:t>Subject to Completion</w:t>
            </w:r>
          </w:p>
        </w:tc>
        <w:tc>
          <w:tcPr>
            <w:tcW w:w="520" w:type="dxa"/>
            <w:vAlign w:val="bottom"/>
          </w:tcPr>
          <w:p>
            <w:pPr>
              <w:spacing w:after="0"/>
              <w:rPr>
                <w:sz w:val="14"/>
                <w:szCs w:val="14"/>
                <w:color w:val="auto"/>
              </w:rPr>
            </w:pPr>
          </w:p>
        </w:tc>
      </w:tr>
      <w:tr>
        <w:trPr>
          <w:trHeight w:val="182"/>
        </w:trPr>
        <w:tc>
          <w:tcPr>
            <w:tcW w:w="2100" w:type="dxa"/>
            <w:vAlign w:val="bottom"/>
          </w:tcPr>
          <w:p>
            <w:pPr>
              <w:spacing w:after="0"/>
              <w:rPr>
                <w:sz w:val="20"/>
                <w:szCs w:val="20"/>
                <w:color w:val="auto"/>
              </w:rPr>
            </w:pPr>
            <w:r>
              <w:rPr>
                <w:rFonts w:ascii="Arial" w:cs="Arial" w:eastAsia="Arial" w:hAnsi="Arial"/>
                <w:sz w:val="14"/>
                <w:szCs w:val="14"/>
                <w:color w:val="C21128"/>
              </w:rPr>
              <w:t>Preliminary Prospectus dated</w:t>
            </w:r>
          </w:p>
        </w:tc>
        <w:tc>
          <w:tcPr>
            <w:tcW w:w="520" w:type="dxa"/>
            <w:vAlign w:val="bottom"/>
          </w:tcPr>
          <w:p>
            <w:pPr>
              <w:jc w:val="right"/>
              <w:spacing w:after="0"/>
              <w:rPr>
                <w:sz w:val="20"/>
                <w:szCs w:val="20"/>
                <w:color w:val="auto"/>
              </w:rPr>
            </w:pPr>
            <w:r>
              <w:rPr>
                <w:rFonts w:ascii="Arial" w:cs="Arial" w:eastAsia="Arial" w:hAnsi="Arial"/>
                <w:sz w:val="14"/>
                <w:szCs w:val="14"/>
                <w:color w:val="C21128"/>
              </w:rPr>
              <w:t>, 2021</w:t>
            </w:r>
          </w:p>
        </w:tc>
      </w:tr>
    </w:tbl>
    <w:p>
      <w:pPr>
        <w:spacing w:after="0" w:line="25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20320</wp:posOffset>
            </wp:positionV>
            <wp:extent cx="83185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06"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This is the initial public offering of shares of Class A common stock of Rani Therapeutics Holdings, Inc., par value $0.0001. We are offering</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shares of our Class A</w:t>
      </w:r>
    </w:p>
    <w:p>
      <w:pPr>
        <w:spacing w:after="0" w:line="43"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ind w:left="120"/>
        <w:spacing w:after="0"/>
        <w:rPr>
          <w:sz w:val="20"/>
          <w:szCs w:val="20"/>
          <w:color w:val="auto"/>
        </w:rPr>
      </w:pPr>
      <w:r>
        <w:rPr>
          <w:rFonts w:ascii="Arial" w:cs="Arial" w:eastAsia="Arial" w:hAnsi="Arial"/>
          <w:sz w:val="13"/>
          <w:szCs w:val="13"/>
          <w:color w:val="auto"/>
        </w:rPr>
        <w:t>common stock.</w:t>
      </w:r>
    </w:p>
    <w:p>
      <w:pPr>
        <w:sectPr>
          <w:pgSz w:w="11900" w:h="16838" w:orient="portrait"/>
          <w:cols w:equalWidth="0" w:num="1">
            <w:col w:w="11140"/>
          </w:cols>
          <w:pgMar w:left="320" w:top="459" w:right="439" w:bottom="1440" w:gutter="0" w:footer="0" w:header="0"/>
          <w:type w:val="continuous"/>
        </w:sectPr>
      </w:pPr>
    </w:p>
    <w:p>
      <w:pPr>
        <w:spacing w:after="0" w:line="74" w:lineRule="exact"/>
        <w:rPr>
          <w:sz w:val="20"/>
          <w:szCs w:val="20"/>
          <w:color w:val="auto"/>
        </w:rPr>
      </w:pPr>
    </w:p>
    <w:p>
      <w:pPr>
        <w:ind w:left="120" w:firstLine="881"/>
        <w:spacing w:after="0" w:line="253"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 $ $ per share. We have applied to list our Class A common stock on the Nasdaq Global Market under the symbol “RANI.”</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and</w:t>
      </w:r>
    </w:p>
    <w:p>
      <w:pPr>
        <w:spacing w:after="0" w:line="278" w:lineRule="exact"/>
        <w:rPr>
          <w:sz w:val="20"/>
          <w:szCs w:val="20"/>
          <w:color w:val="auto"/>
        </w:rPr>
      </w:pPr>
    </w:p>
    <w:p>
      <w:pPr>
        <w:sectPr>
          <w:pgSz w:w="11900" w:h="16838" w:orient="portrait"/>
          <w:cols w:equalWidth="0" w:num="2">
            <w:col w:w="10400" w:space="300"/>
            <w:col w:w="440"/>
          </w:cols>
          <w:pgMar w:left="320" w:top="459" w:right="439" w:bottom="1440" w:gutter="0" w:footer="0" w:header="0"/>
          <w:type w:val="continuous"/>
        </w:sectPr>
      </w:pPr>
    </w:p>
    <w:p>
      <w:pPr>
        <w:ind w:left="120" w:right="40" w:firstLine="881"/>
        <w:spacing w:after="0" w:line="229" w:lineRule="auto"/>
        <w:rPr>
          <w:sz w:val="20"/>
          <w:szCs w:val="20"/>
          <w:color w:val="auto"/>
        </w:rPr>
      </w:pPr>
      <w:r>
        <w:rPr>
          <w:rFonts w:ascii="Arial" w:cs="Arial" w:eastAsia="Arial" w:hAnsi="Arial"/>
          <w:sz w:val="14"/>
          <w:szCs w:val="14"/>
          <w:color w:val="auto"/>
        </w:rPr>
        <w:t>We will use the net proceeds that we receive from this offering to purchase from Rani Therapeutics, LLC, or Rani LLC, newly issued common membership interests of Rani LLC, which we refer to as the LLC Interests. There is no public market for the LLC Interests. The purchase price for the newly issued LLC Interests will be equal to the initial public offering price of our Class A common stock, less the underwriting discounts and commissions referred to below. We intend to cause Rani LLC to use the net proceeds it receives from us in connection with this offering as described in the section titled “Use of Proceeds.” Simultaneous with this offering, certain of the owners of membership interests in Rani LLC, whom we refer to as Former LLC Owners, will exchange their membership interests in Rani LLC for shares of Class A common stock and other holders of membership interests in Rani LLC, whom we refer to as the Continuing LLC Owners, will retain their membership interests in Rani LLC.</w:t>
      </w:r>
    </w:p>
    <w:p>
      <w:pPr>
        <w:spacing w:after="0" w:line="77" w:lineRule="exact"/>
        <w:rPr>
          <w:sz w:val="20"/>
          <w:szCs w:val="20"/>
          <w:color w:val="auto"/>
        </w:rPr>
      </w:pPr>
    </w:p>
    <w:p>
      <w:pPr>
        <w:ind w:left="120" w:right="20" w:firstLine="881"/>
        <w:spacing w:after="0" w:line="243" w:lineRule="auto"/>
        <w:rPr>
          <w:sz w:val="20"/>
          <w:szCs w:val="20"/>
          <w:color w:val="auto"/>
        </w:rPr>
      </w:pPr>
      <w:r>
        <w:rPr>
          <w:rFonts w:ascii="Arial" w:cs="Arial" w:eastAsia="Arial" w:hAnsi="Arial"/>
          <w:sz w:val="13"/>
          <w:szCs w:val="13"/>
          <w:color w:val="auto"/>
        </w:rPr>
        <w:t>Following the closing of this offering, we will have two classes of common stock: Class A common stock and Class B common stock. The Class B common stock will have no rights to receive any distributions or dividends, whether cash or stock, which we refer to as noneconomic voting equity interests, and will not be publicly traded. Each share of Class A common stock entitles its holders to one vote per share and each share of Class B common stock entitles its holders to 10 votes per share on all matters presented to our stockholders generally. Immediately following the completion of this offering, all of our Class B common stock will be held by the Continuing LLC Owners, on a one-to-one basis with the number of LLC Interests</w:t>
      </w:r>
    </w:p>
    <w:p>
      <w:pPr>
        <w:spacing w:after="0" w:line="1" w:lineRule="exact"/>
        <w:rPr>
          <w:sz w:val="20"/>
          <w:szCs w:val="20"/>
          <w:color w:val="auto"/>
        </w:rPr>
      </w:pPr>
    </w:p>
    <w:p>
      <w:pPr>
        <w:ind w:left="120" w:right="40"/>
        <w:spacing w:after="0" w:line="226" w:lineRule="auto"/>
        <w:rPr>
          <w:sz w:val="20"/>
          <w:szCs w:val="20"/>
          <w:color w:val="auto"/>
        </w:rPr>
      </w:pPr>
      <w:r>
        <w:rPr>
          <w:rFonts w:ascii="Arial" w:cs="Arial" w:eastAsia="Arial" w:hAnsi="Arial"/>
          <w:sz w:val="14"/>
          <w:szCs w:val="14"/>
          <w:color w:val="auto"/>
        </w:rPr>
        <w:t>they respectively own. Immediately following the completion of this offering, the holders of our Class A common stock issued in this offering collectively will hold % of the economic interests in us and % of the voting power in us, the Former LLC Owners, through their ownership of Class A common stock, collectively will hold % of the economic interests in us and % of the voting power in us, and the Continuing LLC Owners, through their ownership of Class B common stock, collectively will hold no economic interest in us and the remaining % of the voting power in us. We will be a holding company, and upon the closing of this offering and the application of proceeds therefrom, our principal asset will be the LLC Interests we purchase from Rani LLC and acquire from the Former LLC Owners, representing an aggregate % economic interest in Rani LLC. The remaining % economic interest in Rani LLC will be owned by the Continuing LLC Owners through their ownership of LLC Interests.</w:t>
      </w:r>
    </w:p>
    <w:p>
      <w:pPr>
        <w:spacing w:after="0" w:line="77"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We will be the sole managing member of Rani LLC. We will operate and control all of the business and affairs of Rani LLC and, through Rani LLC and its subsidiary, conduct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our business.</w:t>
      </w:r>
    </w:p>
    <w:p>
      <w:pPr>
        <w:spacing w:after="0" w:line="84" w:lineRule="exact"/>
        <w:rPr>
          <w:sz w:val="20"/>
          <w:szCs w:val="20"/>
          <w:color w:val="auto"/>
        </w:rPr>
      </w:pPr>
    </w:p>
    <w:p>
      <w:pPr>
        <w:ind w:left="120" w:right="640" w:firstLine="881"/>
        <w:spacing w:after="0" w:line="253" w:lineRule="auto"/>
        <w:rPr>
          <w:sz w:val="20"/>
          <w:szCs w:val="20"/>
          <w:color w:val="auto"/>
        </w:rPr>
      </w:pPr>
      <w:r>
        <w:rPr>
          <w:rFonts w:ascii="Arial" w:cs="Arial" w:eastAsia="Arial" w:hAnsi="Arial"/>
          <w:sz w:val="14"/>
          <w:szCs w:val="14"/>
          <w:color w:val="auto"/>
        </w:rPr>
        <w:t>Following this offering, we will be a “controlled company” within the meaning of the corporate governance rules of the Nasdaq Stock Market. See the sections titled “Organizational Transactions” and “Management—Controlled Company Status.”</w:t>
      </w:r>
    </w:p>
    <w:p>
      <w:pPr>
        <w:spacing w:after="0" w:line="66" w:lineRule="exact"/>
        <w:rPr>
          <w:sz w:val="20"/>
          <w:szCs w:val="20"/>
          <w:color w:val="auto"/>
        </w:rPr>
      </w:pPr>
    </w:p>
    <w:p>
      <w:pPr>
        <w:ind w:left="120" w:right="280" w:firstLine="881"/>
        <w:spacing w:after="0" w:line="25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70" w:lineRule="exact"/>
        <w:rPr>
          <w:sz w:val="20"/>
          <w:szCs w:val="20"/>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Class A common stock involves risks that are described in the “</w:t>
      </w:r>
      <w:hyperlink w:anchor="page26">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section beginning on page 21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146685</wp:posOffset>
            </wp:positionV>
            <wp:extent cx="1405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368"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5"/>
              </w:rPr>
              <w:t>Per Share</w:t>
            </w:r>
          </w:p>
        </w:tc>
        <w:tc>
          <w:tcPr>
            <w:tcW w:w="2600" w:type="dxa"/>
            <w:vAlign w:val="bottom"/>
            <w:gridSpan w:val="3"/>
          </w:tcPr>
          <w:p>
            <w:pPr>
              <w:ind w:left="2260"/>
              <w:spacing w:after="0"/>
              <w:rPr>
                <w:sz w:val="20"/>
                <w:szCs w:val="20"/>
                <w:color w:val="auto"/>
              </w:rPr>
            </w:pPr>
            <w:r>
              <w:rPr>
                <w:rFonts w:ascii="Arial" w:cs="Arial" w:eastAsia="Arial" w:hAnsi="Arial"/>
                <w:sz w:val="13"/>
                <w:szCs w:val="13"/>
                <w:b w:val="1"/>
                <w:bCs w:val="1"/>
                <w:color w:val="auto"/>
              </w:rPr>
              <w:t>Total</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2400" w:type="dxa"/>
            <w:vAlign w:val="bottom"/>
            <w:gridSpan w:val="2"/>
            <w:shd w:val="clear" w:color="auto" w:fill="CCEEFF"/>
          </w:tcPr>
          <w:p>
            <w:pPr>
              <w:ind w:left="1860"/>
              <w:spacing w:after="0" w:line="142"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8"/>
        </w:trPr>
        <w:tc>
          <w:tcPr>
            <w:tcW w:w="44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commissions(1)</w:t>
            </w:r>
          </w:p>
        </w:tc>
        <w:tc>
          <w:tcPr>
            <w:tcW w:w="2400" w:type="dxa"/>
            <w:vAlign w:val="bottom"/>
            <w:gridSpan w:val="2"/>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2400" w:type="dxa"/>
            <w:vAlign w:val="bottom"/>
            <w:gridSpan w:val="2"/>
            <w:shd w:val="clear" w:color="auto" w:fill="CCEEFF"/>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103" w:lineRule="exact"/>
        <w:rPr>
          <w:sz w:val="20"/>
          <w:szCs w:val="20"/>
          <w:color w:val="auto"/>
        </w:rPr>
      </w:pPr>
    </w:p>
    <w:p>
      <w:pPr>
        <w:ind w:left="1420" w:hanging="319"/>
        <w:spacing w:after="0"/>
        <w:tabs>
          <w:tab w:leader="none" w:pos="1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ectPr>
          <w:pgSz w:w="11900" w:h="16838" w:orient="portrait"/>
          <w:cols w:equalWidth="0" w:num="1">
            <w:col w:w="11140"/>
          </w:cols>
          <w:pgMar w:left="320" w:top="459" w:right="439" w:bottom="1440" w:gutter="0" w:footer="0" w:header="0"/>
          <w:type w:val="continuous"/>
        </w:sectPr>
      </w:pPr>
    </w:p>
    <w:p>
      <w:pPr>
        <w:spacing w:after="0" w:line="96"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4"/>
          <w:szCs w:val="14"/>
          <w:color w:val="auto"/>
        </w:rPr>
        <w:t>The underwriters may also exercise their option to purchase up to an additional underwriting discount, for 30 days after the date of this prospectus.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3"/>
          <w:szCs w:val="13"/>
          <w:color w:val="auto"/>
        </w:rPr>
        <w:t>shares of Class A common stock from us, at the public offering price, less the</w:t>
      </w:r>
    </w:p>
    <w:p>
      <w:pPr>
        <w:spacing w:after="0" w:line="251" w:lineRule="exact"/>
        <w:rPr>
          <w:sz w:val="20"/>
          <w:szCs w:val="20"/>
          <w:color w:val="auto"/>
        </w:rPr>
      </w:pPr>
    </w:p>
    <w:p>
      <w:pPr>
        <w:sectPr>
          <w:pgSz w:w="11900" w:h="16838" w:orient="portrait"/>
          <w:cols w:equalWidth="0" w:num="2">
            <w:col w:w="5580" w:space="720"/>
            <w:col w:w="4840"/>
          </w:cols>
          <w:pgMar w:left="320" w:top="459" w:right="439" w:bottom="1440" w:gutter="0" w:footer="0" w:header="0"/>
          <w:type w:val="continuous"/>
        </w:sectPr>
      </w:pPr>
    </w:p>
    <w:p>
      <w:pPr>
        <w:ind w:left="120" w:right="80" w:firstLine="771"/>
        <w:spacing w:after="0" w:line="258" w:lineRule="auto"/>
        <w:rPr>
          <w:sz w:val="20"/>
          <w:szCs w:val="20"/>
          <w:color w:val="auto"/>
        </w:rPr>
      </w:pPr>
      <w:r>
        <w:rPr>
          <w:rFonts w:ascii="Arial" w:cs="Arial" w:eastAsia="Arial" w:hAnsi="Arial"/>
          <w:sz w:val="14"/>
          <w:szCs w:val="14"/>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860" w:type="dxa"/>
            <w:vAlign w:val="bottom"/>
            <w:gridSpan w:val="3"/>
          </w:tcPr>
          <w:p>
            <w:pPr>
              <w:ind w:left="880"/>
              <w:spacing w:after="0"/>
              <w:rPr>
                <w:sz w:val="20"/>
                <w:szCs w:val="20"/>
                <w:color w:val="auto"/>
              </w:rPr>
            </w:pPr>
            <w:r>
              <w:rPr>
                <w:rFonts w:ascii="Arial" w:cs="Arial" w:eastAsia="Arial" w:hAnsi="Arial"/>
                <w:sz w:val="14"/>
                <w:szCs w:val="14"/>
                <w:color w:val="auto"/>
              </w:rPr>
              <w:t>The shares of Class A common stock will be ready for delivery on or about</w:t>
            </w:r>
          </w:p>
        </w:tc>
        <w:tc>
          <w:tcPr>
            <w:tcW w:w="760" w:type="dxa"/>
            <w:vAlign w:val="bottom"/>
          </w:tcPr>
          <w:p>
            <w:pPr>
              <w:jc w:val="right"/>
              <w:ind w:right="213"/>
              <w:spacing w:after="0"/>
              <w:rPr>
                <w:sz w:val="20"/>
                <w:szCs w:val="20"/>
                <w:color w:val="auto"/>
              </w:rPr>
            </w:pPr>
            <w:r>
              <w:rPr>
                <w:rFonts w:ascii="Arial" w:cs="Arial" w:eastAsia="Arial" w:hAnsi="Arial"/>
                <w:sz w:val="14"/>
                <w:szCs w:val="14"/>
                <w:color w:val="auto"/>
              </w:rPr>
              <w:t>, 2021.</w:t>
            </w:r>
          </w:p>
        </w:tc>
        <w:tc>
          <w:tcPr>
            <w:tcW w:w="154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60"/>
        </w:trPr>
        <w:tc>
          <w:tcPr>
            <w:tcW w:w="2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20" w:type="dxa"/>
            <w:vAlign w:val="bottom"/>
            <w:tcBorders>
              <w:bottom w:val="single" w:sz="8" w:color="auto"/>
            </w:tcBorders>
            <w:gridSpan w:val="2"/>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65"/>
        </w:trPr>
        <w:tc>
          <w:tcPr>
            <w:tcW w:w="2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60" w:type="dxa"/>
            <w:vAlign w:val="bottom"/>
            <w:gridSpan w:val="3"/>
          </w:tcPr>
          <w:p>
            <w:pPr>
              <w:jc w:val="center"/>
              <w:ind w:right="1560"/>
              <w:spacing w:after="0"/>
              <w:rPr>
                <w:sz w:val="20"/>
                <w:szCs w:val="20"/>
                <w:color w:val="auto"/>
              </w:rPr>
            </w:pPr>
            <w:r>
              <w:rPr>
                <w:rFonts w:ascii="Arial" w:cs="Arial" w:eastAsia="Arial" w:hAnsi="Arial"/>
                <w:sz w:val="14"/>
                <w:szCs w:val="14"/>
                <w:i w:val="1"/>
                <w:iCs w:val="1"/>
                <w:color w:val="auto"/>
                <w:w w:val="92"/>
              </w:rPr>
              <w:t>Book-Running Managers</w:t>
            </w:r>
          </w:p>
        </w:tc>
        <w:tc>
          <w:tcPr>
            <w:tcW w:w="2860" w:type="dxa"/>
            <w:vAlign w:val="bottom"/>
          </w:tcPr>
          <w:p>
            <w:pPr>
              <w:spacing w:after="0"/>
              <w:rPr>
                <w:sz w:val="23"/>
                <w:szCs w:val="23"/>
                <w:color w:val="auto"/>
              </w:rPr>
            </w:pPr>
          </w:p>
        </w:tc>
      </w:tr>
      <w:tr>
        <w:trPr>
          <w:trHeight w:val="487"/>
        </w:trPr>
        <w:tc>
          <w:tcPr>
            <w:tcW w:w="2660" w:type="dxa"/>
            <w:vAlign w:val="bottom"/>
          </w:tcPr>
          <w:p>
            <w:pPr>
              <w:spacing w:after="0"/>
              <w:rPr>
                <w:sz w:val="20"/>
                <w:szCs w:val="20"/>
                <w:color w:val="auto"/>
              </w:rPr>
            </w:pPr>
            <w:r>
              <w:rPr>
                <w:rFonts w:ascii="Arial" w:cs="Arial" w:eastAsia="Arial" w:hAnsi="Arial"/>
                <w:sz w:val="23"/>
                <w:szCs w:val="23"/>
                <w:b w:val="1"/>
                <w:bCs w:val="1"/>
                <w:color w:val="auto"/>
              </w:rPr>
              <w:t>BofA Securities</w:t>
            </w:r>
          </w:p>
        </w:tc>
        <w:tc>
          <w:tcPr>
            <w:tcW w:w="3200" w:type="dxa"/>
            <w:vAlign w:val="bottom"/>
            <w:gridSpan w:val="2"/>
          </w:tcPr>
          <w:p>
            <w:pPr>
              <w:ind w:left="1120"/>
              <w:spacing w:after="0"/>
              <w:rPr>
                <w:sz w:val="20"/>
                <w:szCs w:val="20"/>
                <w:color w:val="auto"/>
              </w:rPr>
            </w:pPr>
            <w:r>
              <w:rPr>
                <w:rFonts w:ascii="Arial" w:cs="Arial" w:eastAsia="Arial" w:hAnsi="Arial"/>
                <w:sz w:val="23"/>
                <w:szCs w:val="23"/>
                <w:b w:val="1"/>
                <w:bCs w:val="1"/>
                <w:color w:val="auto"/>
              </w:rPr>
              <w:t>Stifel</w:t>
            </w:r>
          </w:p>
        </w:tc>
        <w:tc>
          <w:tcPr>
            <w:tcW w:w="2300" w:type="dxa"/>
            <w:vAlign w:val="bottom"/>
            <w:gridSpan w:val="2"/>
          </w:tcPr>
          <w:p>
            <w:pPr>
              <w:ind w:left="680"/>
              <w:spacing w:after="0"/>
              <w:rPr>
                <w:sz w:val="20"/>
                <w:szCs w:val="20"/>
                <w:color w:val="auto"/>
              </w:rPr>
            </w:pPr>
            <w:r>
              <w:rPr>
                <w:rFonts w:ascii="Arial" w:cs="Arial" w:eastAsia="Arial" w:hAnsi="Arial"/>
                <w:sz w:val="23"/>
                <w:szCs w:val="23"/>
                <w:b w:val="1"/>
                <w:bCs w:val="1"/>
                <w:color w:val="auto"/>
              </w:rPr>
              <w:t>Cantor</w:t>
            </w:r>
          </w:p>
        </w:tc>
        <w:tc>
          <w:tcPr>
            <w:tcW w:w="2860" w:type="dxa"/>
            <w:vAlign w:val="bottom"/>
          </w:tcPr>
          <w:p>
            <w:pPr>
              <w:ind w:left="900"/>
              <w:spacing w:after="0"/>
              <w:rPr>
                <w:sz w:val="20"/>
                <w:szCs w:val="20"/>
                <w:color w:val="auto"/>
              </w:rPr>
            </w:pPr>
            <w:r>
              <w:rPr>
                <w:rFonts w:ascii="Arial" w:cs="Arial" w:eastAsia="Arial" w:hAnsi="Arial"/>
                <w:sz w:val="23"/>
                <w:szCs w:val="23"/>
                <w:b w:val="1"/>
                <w:bCs w:val="1"/>
                <w:color w:val="auto"/>
                <w:w w:val="91"/>
              </w:rPr>
              <w:t>Canaccord Genuity</w:t>
            </w:r>
          </w:p>
        </w:tc>
      </w:tr>
      <w:tr>
        <w:trPr>
          <w:trHeight w:val="269"/>
        </w:trPr>
        <w:tc>
          <w:tcPr>
            <w:tcW w:w="2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60" w:type="dxa"/>
            <w:vAlign w:val="bottom"/>
            <w:gridSpan w:val="3"/>
          </w:tcPr>
          <w:p>
            <w:pPr>
              <w:jc w:val="center"/>
              <w:ind w:right="1560"/>
              <w:spacing w:after="0"/>
              <w:rPr>
                <w:sz w:val="20"/>
                <w:szCs w:val="20"/>
                <w:color w:val="auto"/>
              </w:rPr>
            </w:pPr>
            <w:r>
              <w:rPr>
                <w:rFonts w:ascii="Arial" w:cs="Arial" w:eastAsia="Arial" w:hAnsi="Arial"/>
                <w:sz w:val="14"/>
                <w:szCs w:val="14"/>
                <w:i w:val="1"/>
                <w:iCs w:val="1"/>
                <w:color w:val="auto"/>
                <w:w w:val="93"/>
              </w:rPr>
              <w:t>Lead Manager</w:t>
            </w:r>
          </w:p>
        </w:tc>
        <w:tc>
          <w:tcPr>
            <w:tcW w:w="2860" w:type="dxa"/>
            <w:vAlign w:val="bottom"/>
          </w:tcPr>
          <w:p>
            <w:pPr>
              <w:spacing w:after="0"/>
              <w:rPr>
                <w:sz w:val="23"/>
                <w:szCs w:val="23"/>
                <w:color w:val="auto"/>
              </w:rPr>
            </w:pPr>
          </w:p>
        </w:tc>
      </w:tr>
      <w:tr>
        <w:trPr>
          <w:trHeight w:val="365"/>
        </w:trPr>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jc w:val="center"/>
              <w:ind w:left="673"/>
              <w:spacing w:after="0"/>
              <w:rPr>
                <w:sz w:val="20"/>
                <w:szCs w:val="20"/>
                <w:color w:val="auto"/>
              </w:rPr>
            </w:pPr>
            <w:r>
              <w:rPr>
                <w:rFonts w:ascii="Arial" w:cs="Arial" w:eastAsia="Arial" w:hAnsi="Arial"/>
                <w:sz w:val="23"/>
                <w:szCs w:val="23"/>
                <w:b w:val="1"/>
                <w:bCs w:val="1"/>
                <w:color w:val="auto"/>
              </w:rPr>
              <w:t>BTIG</w:t>
            </w: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73"/>
        </w:trPr>
        <w:tc>
          <w:tcPr>
            <w:tcW w:w="26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265"/>
        </w:trPr>
        <w:tc>
          <w:tcPr>
            <w:tcW w:w="2660" w:type="dxa"/>
            <w:vAlign w:val="bottom"/>
          </w:tcPr>
          <w:p>
            <w:pPr>
              <w:spacing w:after="0"/>
              <w:rPr>
                <w:sz w:val="23"/>
                <w:szCs w:val="23"/>
                <w:color w:val="auto"/>
              </w:rPr>
            </w:pPr>
          </w:p>
        </w:tc>
        <w:tc>
          <w:tcPr>
            <w:tcW w:w="3200" w:type="dxa"/>
            <w:vAlign w:val="bottom"/>
            <w:gridSpan w:val="2"/>
          </w:tcPr>
          <w:p>
            <w:pPr>
              <w:ind w:left="1420"/>
              <w:spacing w:after="0"/>
              <w:rPr>
                <w:sz w:val="20"/>
                <w:szCs w:val="20"/>
                <w:color w:val="auto"/>
              </w:rPr>
            </w:pPr>
            <w:r>
              <w:rPr>
                <w:rFonts w:ascii="Arial" w:cs="Arial" w:eastAsia="Arial" w:hAnsi="Arial"/>
                <w:sz w:val="14"/>
                <w:szCs w:val="14"/>
                <w:color w:val="auto"/>
                <w:w w:val="96"/>
              </w:rPr>
              <w:t>The date of this prospectus is</w:t>
            </w:r>
          </w:p>
        </w:tc>
        <w:tc>
          <w:tcPr>
            <w:tcW w:w="2300" w:type="dxa"/>
            <w:vAlign w:val="bottom"/>
            <w:gridSpan w:val="2"/>
          </w:tcPr>
          <w:p>
            <w:pPr>
              <w:ind w:left="660"/>
              <w:spacing w:after="0"/>
              <w:rPr>
                <w:sz w:val="20"/>
                <w:szCs w:val="20"/>
                <w:color w:val="auto"/>
              </w:rPr>
            </w:pPr>
            <w:r>
              <w:rPr>
                <w:rFonts w:ascii="Arial" w:cs="Arial" w:eastAsia="Arial" w:hAnsi="Arial"/>
                <w:sz w:val="14"/>
                <w:szCs w:val="14"/>
                <w:color w:val="auto"/>
              </w:rPr>
              <w:t>, 2021.</w:t>
            </w:r>
          </w:p>
        </w:tc>
        <w:tc>
          <w:tcPr>
            <w:tcW w:w="2860" w:type="dxa"/>
            <w:vAlign w:val="bottom"/>
          </w:tcPr>
          <w:p>
            <w:pPr>
              <w:spacing w:after="0"/>
              <w:rPr>
                <w:sz w:val="23"/>
                <w:szCs w:val="23"/>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89"/>
        </w:trPr>
        <w:tc>
          <w:tcPr>
            <w:tcW w:w="10640" w:type="dxa"/>
            <w:vAlign w:val="bottom"/>
            <w:tcBorders>
              <w:top w:val="single" w:sz="8" w:color="CCEEFF"/>
            </w:tcBorders>
            <w:gridSpan w:val="24"/>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20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560" w:type="dxa"/>
            <w:vAlign w:val="bottom"/>
            <w:tcBorders>
              <w:top w:val="single" w:sz="8" w:color="CCEEFF"/>
            </w:tcBorders>
            <w:gridSpan w:val="14"/>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21</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SPECIAL NOTE REGARDING FORWARD-LOOKING STATEMENTS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92</w:t>
            </w:r>
          </w:p>
        </w:tc>
      </w:tr>
      <w:tr>
        <w:trPr>
          <w:trHeight w:val="175"/>
        </w:trPr>
        <w:tc>
          <w:tcPr>
            <w:tcW w:w="5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MARKET, INDUSTRY, AND OTHER DATA</w:t>
              </w:r>
            </w:hyperlink>
          </w:p>
        </w:tc>
        <w:tc>
          <w:tcPr>
            <w:tcW w:w="5320" w:type="dxa"/>
            <w:vAlign w:val="bottom"/>
            <w:tcBorders>
              <w:top w:val="single" w:sz="8" w:color="CCEEFF"/>
            </w:tcBorders>
            <w:gridSpan w:val="5"/>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94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USE OF PROCEEDS</w:t>
              </w:r>
            </w:hyperlink>
          </w:p>
        </w:tc>
        <w:tc>
          <w:tcPr>
            <w:tcW w:w="9060" w:type="dxa"/>
            <w:vAlign w:val="bottom"/>
            <w:tcBorders>
              <w:bottom w:val="single" w:sz="8" w:color="CCEEFF"/>
            </w:tcBorders>
            <w:gridSpan w:val="1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95</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DIVIDEND POLICY</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w:anchor="page102">
              <w:r>
                <w:rPr>
                  <w:rFonts w:ascii="Arial" w:cs="Arial" w:eastAsia="Arial" w:hAnsi="Arial"/>
                  <w:sz w:val="18"/>
                  <w:szCs w:val="18"/>
                  <w:color w:val="0000EE"/>
                  <w:w w:val="97"/>
                </w:rPr>
                <w:t>ORGANIZATIONAL TRANSACTIONS</w:t>
              </w:r>
            </w:hyperlink>
          </w:p>
        </w:tc>
        <w:tc>
          <w:tcPr>
            <w:tcW w:w="76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97</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CAPITALIZATION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103</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9"/>
              </w:rPr>
            </w:pPr>
            <w:hyperlink w:anchor="page111">
              <w:r>
                <w:rPr>
                  <w:rFonts w:ascii="Arial" w:cs="Arial" w:eastAsia="Arial" w:hAnsi="Arial"/>
                  <w:sz w:val="18"/>
                  <w:szCs w:val="18"/>
                  <w:color w:val="0000EE"/>
                  <w:w w:val="99"/>
                </w:rPr>
                <w:t>DILUTION</w:t>
              </w:r>
            </w:hyperlink>
          </w:p>
        </w:tc>
        <w:tc>
          <w:tcPr>
            <w:tcW w:w="9780" w:type="dxa"/>
            <w:vAlign w:val="bottom"/>
            <w:tcBorders>
              <w:bottom w:val="single" w:sz="8" w:color="CCEEFF"/>
            </w:tcBorders>
            <w:gridSpan w:val="21"/>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106</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UNAUDITED PRO FORMA CONDENSED CONSOLIDATED FINANCIAL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110</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118</w:t>
            </w:r>
          </w:p>
        </w:tc>
      </w:tr>
      <w:tr>
        <w:trPr>
          <w:trHeight w:val="176"/>
        </w:trPr>
        <w:tc>
          <w:tcPr>
            <w:tcW w:w="89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BUSINESS</w:t>
              </w:r>
            </w:hyperlink>
          </w:p>
        </w:tc>
        <w:tc>
          <w:tcPr>
            <w:tcW w:w="17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137</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9"/>
              </w:rPr>
            </w:pPr>
            <w:hyperlink w:anchor="page184">
              <w:r>
                <w:rPr>
                  <w:rFonts w:ascii="Arial" w:cs="Arial" w:eastAsia="Arial" w:hAnsi="Arial"/>
                  <w:sz w:val="18"/>
                  <w:szCs w:val="18"/>
                  <w:color w:val="0000EE"/>
                  <w:w w:val="99"/>
                </w:rPr>
                <w:t>MANAGEMENT</w:t>
              </w:r>
            </w:hyperlink>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179</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EXECUTIVE COMPENSATION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188</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5"/>
              </w:rPr>
            </w:pPr>
            <w:hyperlink w:anchor="page205">
              <w:r>
                <w:rPr>
                  <w:rFonts w:ascii="Arial" w:cs="Arial" w:eastAsia="Arial" w:hAnsi="Arial"/>
                  <w:sz w:val="18"/>
                  <w:szCs w:val="18"/>
                  <w:color w:val="0000EE"/>
                  <w:w w:val="95"/>
                </w:rPr>
                <w:t>CERTAIN RELATIONSHIPS AND RELATED PERSON TRANSACTIONS</w:t>
              </w:r>
            </w:hyperlink>
          </w:p>
        </w:tc>
        <w:tc>
          <w:tcPr>
            <w:tcW w:w="504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200</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PRINCIPAL STOCKHOLDERS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207</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DESCRIPTION OF CAPITAL STOCK</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209</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20">
              <w:r>
                <w:rPr>
                  <w:rFonts w:ascii="Arial" w:cs="Arial" w:eastAsia="Arial" w:hAnsi="Arial"/>
                  <w:sz w:val="18"/>
                  <w:szCs w:val="18"/>
                  <w:color w:val="0000EE"/>
                </w:rPr>
                <w:t>SHARES ELIGIBLE FOR FUTURE SALE</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215</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223">
              <w:r>
                <w:rPr>
                  <w:rFonts w:ascii="Arial" w:cs="Arial" w:eastAsia="Arial" w:hAnsi="Arial"/>
                  <w:sz w:val="18"/>
                  <w:szCs w:val="18"/>
                  <w:color w:val="0000EE"/>
                  <w:w w:val="95"/>
                </w:rPr>
                <w:t>MATERIAL U.S. FEDERAL INCOME TAX CONSEQUENCES TO NON-U.S. HOLDERS</w:t>
              </w:r>
            </w:hyperlink>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218</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27">
              <w:r>
                <w:rPr>
                  <w:rFonts w:ascii="Arial" w:cs="Arial" w:eastAsia="Arial" w:hAnsi="Arial"/>
                  <w:sz w:val="18"/>
                  <w:szCs w:val="18"/>
                  <w:color w:val="0000EE"/>
                </w:rPr>
                <w:t>UNDERWRITING</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222</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236">
              <w:r>
                <w:rPr>
                  <w:rFonts w:ascii="Arial" w:cs="Arial" w:eastAsia="Arial" w:hAnsi="Arial"/>
                  <w:sz w:val="18"/>
                  <w:szCs w:val="18"/>
                  <w:color w:val="0000EE"/>
                  <w:w w:val="96"/>
                </w:rPr>
                <w:t>LEGAL MATTERS</w:t>
              </w:r>
            </w:hyperlink>
          </w:p>
        </w:tc>
        <w:tc>
          <w:tcPr>
            <w:tcW w:w="918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231</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EXPERTS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231</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36">
              <w:r>
                <w:rPr>
                  <w:rFonts w:ascii="Arial" w:cs="Arial" w:eastAsia="Arial" w:hAnsi="Arial"/>
                  <w:sz w:val="18"/>
                  <w:szCs w:val="18"/>
                  <w:color w:val="0000EE"/>
                </w:rPr>
                <w:t>WHERE YOU CAN FIND ADDITIONAL INFORMATION</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231</w:t>
            </w:r>
          </w:p>
        </w:tc>
      </w:tr>
      <w:tr>
        <w:trPr>
          <w:trHeight w:val="176"/>
        </w:trPr>
        <w:tc>
          <w:tcPr>
            <w:tcW w:w="44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237">
              <w:r>
                <w:rPr>
                  <w:rFonts w:ascii="Arial" w:cs="Arial" w:eastAsia="Arial" w:hAnsi="Arial"/>
                  <w:sz w:val="18"/>
                  <w:szCs w:val="18"/>
                  <w:color w:val="0000EE"/>
                </w:rPr>
                <w:t>GLOSSARY</w:t>
              </w:r>
            </w:hyperlink>
          </w:p>
        </w:tc>
        <w:tc>
          <w:tcPr>
            <w:tcW w:w="624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232</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INDEX TO CONSOLIDATED FINANCIAL STATEMENTS</w:t>
              </w:r>
            </w:hyperlink>
          </w:p>
        </w:tc>
        <w:tc>
          <w:tcPr>
            <w:tcW w:w="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shares of Class A common stock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9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“Organizational Transactions.” See the section titled “Organizational Transactions” for additional information regarding the Organizational Transactions.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252" w:lineRule="exact"/>
        <w:rPr>
          <w:sz w:val="20"/>
          <w:szCs w:val="20"/>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“Rani,” “Rani Holdings,” “Rani Therapeutics Holdings, Inc.” and similar references refer:</w:t>
      </w:r>
    </w:p>
    <w:p>
      <w:pPr>
        <w:spacing w:after="0" w:line="23" w:lineRule="exact"/>
        <w:rPr>
          <w:rFonts w:ascii="Arial" w:cs="Arial" w:eastAsia="Arial" w:hAnsi="Arial"/>
          <w:sz w:val="18"/>
          <w:szCs w:val="18"/>
          <w:color w:val="auto"/>
        </w:rPr>
      </w:pPr>
    </w:p>
    <w:p>
      <w:pPr>
        <w:ind w:left="1420" w:right="300"/>
        <w:spacing w:after="0" w:line="253" w:lineRule="auto"/>
        <w:rPr>
          <w:rFonts w:ascii="Arial" w:cs="Arial" w:eastAsia="Arial" w:hAnsi="Arial"/>
          <w:sz w:val="18"/>
          <w:szCs w:val="18"/>
          <w:color w:val="auto"/>
        </w:rPr>
      </w:pPr>
      <w:r>
        <w:rPr>
          <w:rFonts w:ascii="Arial" w:cs="Arial" w:eastAsia="Arial" w:hAnsi="Arial"/>
          <w:sz w:val="18"/>
          <w:szCs w:val="18"/>
          <w:color w:val="auto"/>
        </w:rPr>
        <w:t>(i) following the completion of the Organizational Transactions, including this offering, to Rani Therapeutics Holdings, Inc., and, unless otherwise stated, all of its subsidiaries, including Rani Therapeutics, LLC, which we refer to as “Rani LLC,” and, unless otherwise stated, its subsidiary, and (ii) on or prior to the completion of the Organizational Transactions, including this offering, to Rani Therapeutics, LLC and, unless otherwise stated, its subsidiary.</w:t>
      </w:r>
    </w:p>
    <w:p>
      <w:pPr>
        <w:spacing w:after="0" w:line="219" w:lineRule="exact"/>
        <w:rPr>
          <w:rFonts w:ascii="Arial" w:cs="Arial" w:eastAsia="Arial" w:hAnsi="Arial"/>
          <w:sz w:val="18"/>
          <w:szCs w:val="18"/>
          <w:color w:val="auto"/>
        </w:rPr>
      </w:pPr>
    </w:p>
    <w:p>
      <w:pPr>
        <w:ind w:left="1420" w:right="100" w:hanging="319"/>
        <w:spacing w:after="0" w:line="257"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refers to the individuals and entities that will continue to own LLC Interests (as defined below) after the Organizational Transactions and which may, following the completion of this offering, exchange their LLC Interests for shares of our Class A common stock or, if we elect in lieu of shares of Class A common stock, a cash payment as described in the section titled “Certain Relationships and Related Person Transactions—Rani LLC Agreement,” in each case, together with a cancellation of the same number of their shares of Class B common stock.</w:t>
      </w:r>
    </w:p>
    <w:p>
      <w:pPr>
        <w:spacing w:after="0" w:line="214"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“ICL” refers to InCube Labs, LLC, a Delaware limited liability company.</w:t>
      </w:r>
    </w:p>
    <w:p>
      <w:pPr>
        <w:spacing w:after="0" w:line="252" w:lineRule="exact"/>
        <w:rPr>
          <w:rFonts w:ascii="Arial" w:cs="Arial" w:eastAsia="Arial" w:hAnsi="Arial"/>
          <w:sz w:val="18"/>
          <w:szCs w:val="18"/>
          <w:color w:val="auto"/>
        </w:rPr>
      </w:pPr>
    </w:p>
    <w:p>
      <w:pPr>
        <w:ind w:left="1420" w:right="100" w:hanging="319"/>
        <w:spacing w:after="0" w:line="259"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LLC Owners” refers to those individuals who hold Profits Interests in Rani LLC and who will ultimately exchange their common units in Rani LLC (that were originally held as Profits Interests) for shares of our Class A common stock in connection with the completion of this offering, as described in the section titled “Executive Compensation—Actions Taken in Connection With this Offering.”</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“LLC Interests” refers to the single class of common units in Rani LLC.</w:t>
      </w:r>
    </w:p>
    <w:p>
      <w:pPr>
        <w:spacing w:after="0" w:line="252" w:lineRule="exact"/>
        <w:rPr>
          <w:rFonts w:ascii="Arial" w:cs="Arial" w:eastAsia="Arial" w:hAnsi="Arial"/>
          <w:sz w:val="18"/>
          <w:szCs w:val="18"/>
          <w:color w:val="auto"/>
        </w:rPr>
      </w:pPr>
    </w:p>
    <w:p>
      <w:pPr>
        <w:ind w:left="1420" w:right="80" w:hanging="319"/>
        <w:spacing w:after="0" w:line="308"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to be entered into by Rani LLC and the Continuing LLC Owners. See the section titled “Certain Relationships and Related Person Transactions—Tax Receivable Agreement.”</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Following completion of the Organizational Transactions and the application of net proceeds therefrom, we will be a holding company and the sole managing member of Rani LLC and our principal asset will be LLC Interests of Rani LLC. Rani LLC is the predecessor of the issuer, Rani Holdings, for financial reporting purposes. Accordingly, this prospectus contains the historical consolidated financial statements of Rani LLC. As we will have no other interest in any operations other than those of Rani LLC and its subsidiary, the historical consolidated financial information included in this prospectus is that of Rani LLC and its subsidiary. As Rani Holdings has no business transactions or activities to date and had no assets or liabilities during the periods presented, the historical financial statements of this entity are not included in this prospectus. Following completion of this offering, the reporting entity for purposes of periodic reporting will be Rani Holdings</w:t>
      </w:r>
    </w:p>
    <w:p>
      <w:pPr>
        <w:spacing w:after="0" w:line="177"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The unaudited pro forma financial information of Rani Holdings presented in this prospectus has been derived by the application of pro forma adjustments to the historical consolidated financial statements of Rani LLC and its subsidiary included elsewhere in this prospectus. The unaudited pro forma condensed consolidated financial data of Rani Holdings presented in this prospectus has been derived from the application of pro forma adjustments to the historical consolidated financial statements of Rani LLC included elsewhere in this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prospectus. These pro forma adjustments give effect to the Organizational Transactions as described in the section titled “Organizational Transactions,” including the completion of this offering and other related transactions, as if all such transactions had occurred on January 1, 2020. See the section titled “Unaudited Pro Forma Condensed Consolidated Financial Information” for a complete description of the adjustments and assumptions underlying the unaudited pro forma condensed consolidated financial data included in this prospectus.</w:t>
      </w:r>
    </w:p>
    <w:p>
      <w:pPr>
        <w:spacing w:after="0" w:line="187"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“Organizational Transactions” and our consolidated financial statements and related notes included elsewhere in this prospectus. Some of the statements in this prospectus are forward-looking statements. See the section titled “Special Note Regarding Forward-Looking Statements.” See the section titled “Glossary” for certain definitions of key scientific, technical, and other terms used in this prospectus.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a delivered dose that reaches the bloodstream and produces an intended therapeutic effect. Most prior attempts have taken a chemistry-based approach, which involves protecting the biologic from being digested and improving absorption by chemical agents. The best attempts have resulted in low bioavailability of peptides in the range of 1% or less.</w:t>
      </w:r>
    </w:p>
    <w:p>
      <w:pPr>
        <w:spacing w:after="0" w:line="192" w:lineRule="exact"/>
        <w:rPr>
          <w:sz w:val="20"/>
          <w:szCs w:val="20"/>
          <w:color w:val="auto"/>
        </w:rPr>
      </w:pPr>
    </w:p>
    <w:p>
      <w:pPr>
        <w:ind w:left="300" w:right="40" w:firstLine="852"/>
        <w:spacing w:after="0" w:line="286" w:lineRule="auto"/>
        <w:rPr>
          <w:sz w:val="20"/>
          <w:szCs w:val="20"/>
          <w:color w:val="auto"/>
        </w:rPr>
      </w:pPr>
      <w:r>
        <w:rPr>
          <w:rFonts w:ascii="Arial" w:cs="Arial" w:eastAsia="Arial" w:hAnsi="Arial"/>
          <w:sz w:val="17"/>
          <w:szCs w:val="17"/>
          <w:color w:val="auto"/>
        </w:rPr>
        <w:t>In contrast to these prior attempts, the RaniPill capsule delivers biologics with high bioavailability, similar to subcutaneous injection, in the range of 40% to 78%, with high dosing accuracy. Further, the RaniPill capsule is designed to orally deliver a number of biologics, from peptides to antibodies. We also believe our technology may have application in delivering emerging cell and gene therapies.</w:t>
      </w:r>
    </w:p>
    <w:p>
      <w:pPr>
        <w:spacing w:after="0" w:line="165" w:lineRule="exact"/>
        <w:rPr>
          <w:sz w:val="20"/>
          <w:szCs w:val="20"/>
          <w:color w:val="auto"/>
        </w:rPr>
      </w:pPr>
    </w:p>
    <w:p>
      <w:pPr>
        <w:ind w:left="300" w:right="260" w:firstLine="852"/>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300" w:right="20" w:firstLine="852"/>
        <w:spacing w:after="0" w:line="255" w:lineRule="auto"/>
        <w:rPr>
          <w:sz w:val="20"/>
          <w:szCs w:val="20"/>
          <w:color w:val="auto"/>
        </w:rPr>
      </w:pPr>
      <w:r>
        <w:rPr>
          <w:rFonts w:ascii="Arial" w:cs="Arial" w:eastAsia="Arial" w:hAnsi="Arial"/>
          <w:sz w:val="18"/>
          <w:szCs w:val="18"/>
          <w:color w:val="auto"/>
        </w:rPr>
        <w:t>We have discussed with the FDA the possible pathways to regulatory approval for this novel device concept in a pre-submission meeting with CDRH. We will study the initial safety and tolerability of the RaniPill capsule in an IDE study, independent of any drug, followed by a more standard regulatory pathway for each of our pipeline product candidates. Our current pipeline includes well-characterized biologics that have been in clinical use for several years. We believe that we may be able to leverage the FDA’s prior conclusions of safety, purity and potency for certain approved biologic products in our own BLA submissions. The degree to which we may be able to reduce the burden on our own development will depend on whether the API is the same as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spacing w:after="0" w:line="277" w:lineRule="auto"/>
        <w:rPr>
          <w:sz w:val="20"/>
          <w:szCs w:val="20"/>
          <w:color w:val="auto"/>
        </w:rPr>
      </w:pPr>
      <w:r>
        <w:rPr>
          <w:rFonts w:ascii="Arial" w:cs="Arial" w:eastAsia="Arial" w:hAnsi="Arial"/>
          <w:sz w:val="18"/>
          <w:szCs w:val="18"/>
          <w:color w:val="auto"/>
        </w:rPr>
        <w:t>original approved product, particularly for products originally approved as NDAs and now deemed to be biologics. We intend to have this clarified on a product-by-product basis in pre-IND meetings with the FDA.</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300" w:right="20" w:firstLine="852"/>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300" w:right="80" w:firstLine="852"/>
        <w:spacing w:after="0" w:line="272" w:lineRule="auto"/>
        <w:rPr>
          <w:sz w:val="20"/>
          <w:szCs w:val="20"/>
          <w:color w:val="auto"/>
        </w:rPr>
      </w:pPr>
      <w:r>
        <w:rPr>
          <w:rFonts w:ascii="Arial" w:cs="Arial" w:eastAsia="Arial" w:hAnsi="Arial"/>
          <w:sz w:val="17"/>
          <w:szCs w:val="17"/>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77" w:lineRule="exact"/>
        <w:rPr>
          <w:sz w:val="20"/>
          <w:szCs w:val="20"/>
          <w:color w:val="auto"/>
        </w:rPr>
      </w:pPr>
    </w:p>
    <w:p>
      <w:pPr>
        <w:ind w:left="300" w:firstLine="852"/>
        <w:spacing w:after="0" w:line="25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 date, the best published bioavailability for oral octreotide is approximately 1%. The results of the RT-101 Phase 1 clinical trial support the utility of the RaniPill capsule to deliver octreotide orally. In addition, we believe the results support the utility of the RaniPill capsule for other biologics. We are further optimizing the formulation in preparation for subsequent clinical trials with RT-101. We have worldwide commercial rights to RT-101.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300" w:right="40" w:firstLine="852"/>
        <w:spacing w:after="0" w:line="257" w:lineRule="auto"/>
        <w:rPr>
          <w:sz w:val="20"/>
          <w:szCs w:val="20"/>
          <w:color w:val="auto"/>
        </w:rPr>
      </w:pPr>
      <w:r>
        <w:rPr>
          <w:rFonts w:ascii="Arial" w:cs="Arial" w:eastAsia="Arial" w:hAnsi="Arial"/>
          <w:sz w:val="18"/>
          <w:szCs w:val="18"/>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 Patients who use adalimumab administer the drug through a painful subcutaneous injection once every two weeks. We believe RT-105 represents a substantial global market opportunity.</w:t>
      </w:r>
    </w:p>
    <w:p>
      <w:pPr>
        <w:spacing w:after="0" w:line="188" w:lineRule="exact"/>
        <w:rPr>
          <w:sz w:val="20"/>
          <w:szCs w:val="20"/>
          <w:color w:val="auto"/>
        </w:rPr>
      </w:pPr>
    </w:p>
    <w:p>
      <w:pPr>
        <w:ind w:left="300" w:right="20" w:firstLine="852"/>
        <w:spacing w:after="0" w:line="293" w:lineRule="auto"/>
        <w:rPr>
          <w:sz w:val="20"/>
          <w:szCs w:val="20"/>
          <w:color w:val="auto"/>
        </w:rPr>
      </w:pPr>
      <w:r>
        <w:rPr>
          <w:rFonts w:ascii="Arial" w:cs="Arial" w:eastAsia="Arial" w:hAnsi="Arial"/>
          <w:sz w:val="16"/>
          <w:szCs w:val="16"/>
          <w:color w:val="auto"/>
        </w:rPr>
        <w:t>We embarked on this program using commercially available TNF-alpha inhibitors (adalimumab and biosimilar) to conduct preclinical and clinical feasibility and proof of concept studies. To date, we have developed a formulation of a TNF-alpha inhibitor suitable for use with the RaniPill capsule and have conducted a series of preclinical studies and an early clinical study which we believe provide compelling evidence of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10.0 million Americans suffer from osteoporosis; however, we estimate only a small fraction of this population is being treated with PTH. While there may be other reasons for this, we believe that patients’ aversion to daily injections may be a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77" w:lineRule="exact"/>
        <w:rPr>
          <w:sz w:val="20"/>
          <w:szCs w:val="20"/>
          <w:color w:val="auto"/>
        </w:rPr>
      </w:pPr>
    </w:p>
    <w:p>
      <w:pPr>
        <w:ind w:left="300" w:right="100" w:firstLine="852"/>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300" w:right="300" w:firstLine="852"/>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300" w:right="440" w:firstLine="852"/>
        <w:spacing w:after="0" w:line="277"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approved by the FDA for the treatment of hypoparathyroidism, a rare condition that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256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7256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260"/>
        <w:spacing w:after="0" w:line="263" w:lineRule="auto"/>
        <w:rPr>
          <w:sz w:val="20"/>
          <w:szCs w:val="20"/>
          <w:color w:val="auto"/>
        </w:rPr>
      </w:pPr>
      <w:r>
        <w:rPr>
          <w:rFonts w:ascii="Arial" w:cs="Arial" w:eastAsia="Arial" w:hAnsi="Arial"/>
          <w:sz w:val="18"/>
          <w:szCs w:val="18"/>
          <w:color w:val="auto"/>
        </w:rPr>
        <w:t>affects approximately 115,000 people in the United States; however, treatment requires painful daily injections and we believe there is an unmet need for a more effective treatment. We believe that RT-110, through providing the convenience of oral administration, may be able to meet this need.</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plan to initiate preclinical PK studies once our PTH formulation has been optimized. We have worldwide commercial rights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RT-110.</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RT-108: Factor VIII for the treatment of hemophilia A</w:t>
      </w:r>
    </w:p>
    <w:p>
      <w:pPr>
        <w:spacing w:after="0" w:line="225" w:lineRule="exact"/>
        <w:rPr>
          <w:sz w:val="20"/>
          <w:szCs w:val="20"/>
          <w:color w:val="auto"/>
        </w:rPr>
      </w:pPr>
    </w:p>
    <w:p>
      <w:pPr>
        <w:ind w:left="300" w:right="20" w:firstLine="852"/>
        <w:spacing w:after="0" w:line="301" w:lineRule="auto"/>
        <w:rPr>
          <w:sz w:val="20"/>
          <w:szCs w:val="20"/>
          <w:color w:val="auto"/>
        </w:rPr>
      </w:pPr>
      <w:r>
        <w:rPr>
          <w:rFonts w:ascii="Arial" w:cs="Arial" w:eastAsia="Arial" w:hAnsi="Arial"/>
          <w:sz w:val="16"/>
          <w:szCs w:val="16"/>
          <w:color w:val="auto"/>
        </w:rPr>
        <w:t>We are working with Takeda Pharmaceutical Company Limited, or Takeda, to develop RT-108 as an oral Factor VIII therapy for the treatment of hemophilia A. The current prophylactic Factor VIII treatment regimen to prevent bleeding episodes in hemophilia A patients includes painful, highly burdensome and often self-administered IV injections of Factor VIII multiple times per week. We believe that an oral therapy would revolutionize treatment of hemophilia A, enable patients to better manage and prevent bleeds, and greatly improve quality of life.</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jc w:val="both"/>
        <w:ind w:left="300" w:right="200" w:firstLine="852"/>
        <w:spacing w:after="0" w:line="263" w:lineRule="auto"/>
        <w:rPr>
          <w:sz w:val="20"/>
          <w:szCs w:val="20"/>
          <w:color w:val="auto"/>
        </w:rPr>
      </w:pPr>
      <w:r>
        <w:rPr>
          <w:rFonts w:ascii="Arial" w:cs="Arial" w:eastAsia="Arial" w:hAnsi="Arial"/>
          <w:sz w:val="18"/>
          <w:szCs w:val="18"/>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Image does not depict actual size of capsule or pills.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62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5620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300" w:right="60" w:firstLine="852"/>
        <w:spacing w:after="0" w:line="263" w:lineRule="auto"/>
        <w:rPr>
          <w:sz w:val="20"/>
          <w:szCs w:val="20"/>
          <w:color w:val="auto"/>
        </w:rPr>
      </w:pPr>
      <w:r>
        <w:rPr>
          <w:rFonts w:ascii="Arial" w:cs="Arial" w:eastAsia="Arial" w:hAnsi="Arial"/>
          <w:sz w:val="18"/>
          <w:szCs w:val="18"/>
          <w:color w:val="auto"/>
        </w:rPr>
        <w:t>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A: RaniPill capsule with</w:t>
      </w:r>
      <w:r>
        <w:rPr>
          <w:sz w:val="20"/>
          <w:szCs w:val="20"/>
          <w:color w:val="auto"/>
        </w:rPr>
        <w:tab/>
      </w:r>
      <w:r>
        <w:rPr>
          <w:rFonts w:ascii="Arial" w:cs="Arial" w:eastAsia="Arial" w:hAnsi="Arial"/>
          <w:sz w:val="16"/>
          <w:szCs w:val="16"/>
          <w:color w:val="auto"/>
        </w:rPr>
        <w:t>B: Outer shell dissolves</w:t>
      </w:r>
    </w:p>
    <w:p>
      <w:pPr>
        <w:spacing w:after="0" w:line="2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protective coating in</w:t>
      </w:r>
      <w:r>
        <w:rPr>
          <w:sz w:val="20"/>
          <w:szCs w:val="20"/>
          <w:color w:val="auto"/>
        </w:rPr>
        <w:tab/>
      </w:r>
      <w:r>
        <w:rPr>
          <w:rFonts w:ascii="Arial" w:cs="Arial" w:eastAsia="Arial" w:hAnsi="Arial"/>
          <w:sz w:val="16"/>
          <w:szCs w:val="16"/>
          <w:color w:val="auto"/>
        </w:rPr>
        <w:t>and the balloon starts to</w:t>
      </w:r>
    </w:p>
    <w:p>
      <w:pPr>
        <w:spacing w:after="0" w:line="9"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intestine.</w:t>
      </w:r>
      <w:r>
        <w:rPr>
          <w:sz w:val="20"/>
          <w:szCs w:val="20"/>
          <w:color w:val="auto"/>
        </w:rPr>
        <w:tab/>
      </w:r>
      <w:r>
        <w:rPr>
          <w:rFonts w:ascii="Arial" w:cs="Arial" w:eastAsia="Arial" w:hAnsi="Arial"/>
          <w:sz w:val="18"/>
          <w:szCs w:val="18"/>
          <w:color w:val="auto"/>
        </w:rPr>
        <w:t>inflate as the reaction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C: Pressure in the balloon</w:t>
      </w:r>
      <w:r>
        <w:rPr>
          <w:sz w:val="20"/>
          <w:szCs w:val="20"/>
          <w:color w:val="auto"/>
        </w:rPr>
        <w:tab/>
      </w:r>
      <w:r>
        <w:rPr>
          <w:rFonts w:ascii="Arial" w:cs="Arial" w:eastAsia="Arial" w:hAnsi="Arial"/>
          <w:sz w:val="16"/>
          <w:szCs w:val="16"/>
          <w:color w:val="auto"/>
        </w:rPr>
        <w:t>D: Balloon deflates and</w:t>
      </w:r>
    </w:p>
    <w:p>
      <w:pPr>
        <w:spacing w:after="0" w:line="23"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pushes the microneedle</w:t>
      </w:r>
      <w:r>
        <w:rPr>
          <w:sz w:val="20"/>
          <w:szCs w:val="20"/>
          <w:color w:val="auto"/>
        </w:rPr>
        <w:tab/>
      </w:r>
      <w:r>
        <w:rPr>
          <w:rFonts w:ascii="Arial" w:cs="Arial" w:eastAsia="Arial" w:hAnsi="Arial"/>
          <w:sz w:val="13"/>
          <w:szCs w:val="13"/>
          <w:color w:val="auto"/>
        </w:rPr>
        <w:t>passes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into the intestinal wall.</w:t>
      </w:r>
    </w:p>
    <w:p>
      <w:pPr>
        <w:spacing w:after="0" w:line="415" w:lineRule="exact"/>
        <w:rPr>
          <w:sz w:val="20"/>
          <w:szCs w:val="20"/>
          <w:color w:val="auto"/>
        </w:rPr>
      </w:pPr>
    </w:p>
    <w:p>
      <w:pPr>
        <w:sectPr>
          <w:pgSz w:w="11900" w:h="16838" w:orient="portrait"/>
          <w:cols w:equalWidth="0" w:num="2">
            <w:col w:w="4940" w:space="720"/>
            <w:col w:w="5240"/>
          </w:cols>
          <w:pgMar w:left="320" w:top="459" w:right="679" w:bottom="1440" w:gutter="0" w:footer="0" w:header="0"/>
          <w:type w:val="continuous"/>
        </w:sectPr>
      </w:pPr>
    </w:p>
    <w:p>
      <w:pPr>
        <w:spacing w:after="0" w:line="38"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ind w:left="1160" w:right="180"/>
        <w:spacing w:after="0" w:line="311" w:lineRule="auto"/>
        <w:rPr>
          <w:sz w:val="20"/>
          <w:szCs w:val="20"/>
          <w:color w:val="auto"/>
        </w:rPr>
      </w:pPr>
      <w:r>
        <w:rPr>
          <w:rFonts w:ascii="Arial" w:cs="Arial" w:eastAsia="Arial" w:hAnsi="Arial"/>
          <w:sz w:val="16"/>
          <w:szCs w:val="16"/>
          <w:u w:val="single" w:color="auto"/>
          <w:color w:val="auto"/>
        </w:rPr>
        <w:t>Panel B</w:t>
      </w:r>
      <w:r>
        <w:rPr>
          <w:rFonts w:ascii="Arial" w:cs="Arial" w:eastAsia="Arial" w:hAnsi="Arial"/>
          <w:sz w:val="16"/>
          <w:szCs w:val="16"/>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49" w:lineRule="exact"/>
        <w:rPr>
          <w:sz w:val="20"/>
          <w:szCs w:val="20"/>
          <w:color w:val="auto"/>
        </w:rPr>
      </w:pPr>
    </w:p>
    <w:p>
      <w:pPr>
        <w:ind w:left="11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jc w:val="both"/>
        <w:ind w:left="1540" w:right="40" w:hanging="297"/>
        <w:spacing w:after="0" w:line="266" w:lineRule="auto"/>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already approved where we can develop our own differentiated products. We believe that these products will take market share from available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40"/>
        <w:spacing w:after="0" w:line="263" w:lineRule="auto"/>
        <w:rPr>
          <w:sz w:val="20"/>
          <w:szCs w:val="20"/>
          <w:color w:val="auto"/>
        </w:rPr>
      </w:pPr>
      <w:r>
        <w:rPr>
          <w:rFonts w:ascii="Arial" w:cs="Arial" w:eastAsia="Arial" w:hAnsi="Arial"/>
          <w:sz w:val="18"/>
          <w:szCs w:val="18"/>
          <w:color w:val="auto"/>
        </w:rPr>
        <w:t>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07" w:lineRule="exact"/>
        <w:rPr>
          <w:sz w:val="20"/>
          <w:szCs w:val="20"/>
          <w:color w:val="auto"/>
        </w:rPr>
      </w:pPr>
    </w:p>
    <w:p>
      <w:pPr>
        <w:ind w:left="1540" w:right="380" w:hanging="297"/>
        <w:spacing w:after="0" w:line="266"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ind w:left="1540" w:hanging="297"/>
        <w:spacing w:after="0" w:line="266"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scale and optimize our manufacturing processes by expanding our use of automation. In addition, we are filing patents to protect our novel manufacturing processes.</w:t>
      </w:r>
    </w:p>
    <w:p>
      <w:pPr>
        <w:spacing w:after="0" w:line="202" w:lineRule="exact"/>
        <w:rPr>
          <w:rFonts w:ascii="Arial" w:cs="Arial" w:eastAsia="Arial" w:hAnsi="Arial"/>
          <w:sz w:val="18"/>
          <w:szCs w:val="18"/>
          <w:color w:val="auto"/>
        </w:rPr>
      </w:pPr>
    </w:p>
    <w:p>
      <w:pPr>
        <w:ind w:left="1540" w:right="500" w:hanging="297"/>
        <w:spacing w:after="0" w:line="266"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by 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540" w:right="20" w:hanging="297"/>
        <w:spacing w:after="0" w:line="312" w:lineRule="auto"/>
        <w:tabs>
          <w:tab w:leader="none" w:pos="15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w:t>
      </w:r>
      <w:r>
        <w:rPr>
          <w:rFonts w:ascii="Arial" w:cs="Arial" w:eastAsia="Arial" w:hAnsi="Arial"/>
          <w:sz w:val="17"/>
          <w:szCs w:val="17"/>
          <w:b w:val="1"/>
          <w:bCs w:val="1"/>
          <w:color w:val="auto"/>
        </w:rPr>
        <w:t xml:space="preserve"> </w:t>
      </w:r>
      <w:r>
        <w:rPr>
          <w:rFonts w:ascii="Arial" w:cs="Arial" w:eastAsia="Arial" w:hAnsi="Arial"/>
          <w:sz w:val="17"/>
          <w:szCs w:val="17"/>
          <w:color w:val="auto"/>
        </w:rPr>
        <w:t>to 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540" w:right="240" w:hanging="297"/>
        <w:spacing w:after="0" w:line="266"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biologics 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300" w:right="180" w:firstLine="852"/>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 After completion of the IDE study, we plan to create a Master File for the RaniPill capsule with CDRH. The information in the RaniPill Master File will be applicable to any biologic and would be incorporated by reference in subsequent applications to CDER or CBER for our future product candidates. We believe this will serve to significantly de-risk the regulatory pathway for biologic drugs delivered via the RaniPill capsule.</w:t>
      </w:r>
    </w:p>
    <w:p>
      <w:pPr>
        <w:spacing w:after="0" w:line="182" w:lineRule="exact"/>
        <w:rPr>
          <w:sz w:val="20"/>
          <w:szCs w:val="20"/>
          <w:color w:val="auto"/>
        </w:rPr>
      </w:pPr>
    </w:p>
    <w:p>
      <w:pPr>
        <w:ind w:left="300" w:right="60" w:firstLine="852"/>
        <w:spacing w:after="0" w:line="277" w:lineRule="auto"/>
        <w:rPr>
          <w:sz w:val="20"/>
          <w:szCs w:val="20"/>
          <w:color w:val="auto"/>
        </w:rPr>
      </w:pPr>
      <w:r>
        <w:rPr>
          <w:rFonts w:ascii="Arial" w:cs="Arial" w:eastAsia="Arial" w:hAnsi="Arial"/>
          <w:sz w:val="18"/>
          <w:szCs w:val="18"/>
          <w:color w:val="auto"/>
        </w:rPr>
        <w:t>Our current pipeline consists of well-characterized biologics that have been in clinical use for several years. We believe that we may be able to leverage the FDA’s prior conclusions of safety, purity and potency for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6" w:lineRule="auto"/>
        <w:rPr>
          <w:sz w:val="20"/>
          <w:szCs w:val="20"/>
          <w:color w:val="auto"/>
        </w:rPr>
      </w:pPr>
      <w:r>
        <w:rPr>
          <w:rFonts w:ascii="Arial" w:cs="Arial" w:eastAsia="Arial" w:hAnsi="Arial"/>
          <w:sz w:val="17"/>
          <w:szCs w:val="17"/>
          <w:color w:val="auto"/>
        </w:rPr>
        <w:t>certain approved biologic products in our own BLA.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00" w:right="20" w:firstLine="852"/>
        <w:spacing w:after="0" w:line="268" w:lineRule="auto"/>
        <w:rPr>
          <w:sz w:val="20"/>
          <w:szCs w:val="20"/>
          <w:color w:val="auto"/>
        </w:rPr>
      </w:pPr>
      <w:r>
        <w:rPr>
          <w:rFonts w:ascii="Arial" w:cs="Arial" w:eastAsia="Arial" w:hAnsi="Arial"/>
          <w:sz w:val="17"/>
          <w:szCs w:val="17"/>
          <w:color w:val="auto"/>
        </w:rPr>
        <w:t>We are led by an experienced management team with substantial scientific, formulation and drug development expertise in a number of therapeutic areas including immunology, gastroenterology, cardiology, metabolic diseases and oncology. The development and manufacturing of the RaniPill capsule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our Chief Executive Officer, Mir Imran.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medicine and pharmacology and led research and development teams at GSK from 1990 to 2008. Our leadership is complemented by a team of biologists, engineers, manufacturing and automation experts, many with post-graduate degrees.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Organizational Transactions</w:t>
      </w:r>
    </w:p>
    <w:p>
      <w:pPr>
        <w:spacing w:after="0" w:line="229" w:lineRule="exact"/>
        <w:rPr>
          <w:sz w:val="20"/>
          <w:szCs w:val="20"/>
          <w:color w:val="auto"/>
        </w:rPr>
      </w:pPr>
    </w:p>
    <w:p>
      <w:pPr>
        <w:ind w:left="300" w:right="180" w:firstLine="852"/>
        <w:spacing w:after="0" w:line="275" w:lineRule="auto"/>
        <w:rPr>
          <w:sz w:val="20"/>
          <w:szCs w:val="20"/>
          <w:color w:val="auto"/>
        </w:rPr>
      </w:pPr>
      <w:r>
        <w:rPr>
          <w:rFonts w:ascii="Arial" w:cs="Arial" w:eastAsia="Arial" w:hAnsi="Arial"/>
          <w:sz w:val="17"/>
          <w:szCs w:val="17"/>
          <w:color w:val="auto"/>
        </w:rPr>
        <w:t>Rani Holdings was incorporated as a Delaware corporation on April 6, 2021 and is the issuer of the Class A common stock being offered in this offering. This offering is being conducted through what is commonly referred to as an “Up-C” structure, which is often used by partnerships and limited liability companies when they decide to undertake an initial public offering. To “implement the Up-C structure,” we will effect certain organizational changes, which we refer to collectively as the Organizational Transactions. Unless otherwise stated or the context otherwise requires, all information in this prospectus reflects the completion of these Organizational Transactions.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Key terms of the Up-C Structure are:</w:t>
      </w:r>
    </w:p>
    <w:p>
      <w:pPr>
        <w:spacing w:after="0" w:line="252" w:lineRule="exact"/>
        <w:rPr>
          <w:sz w:val="20"/>
          <w:szCs w:val="20"/>
          <w:color w:val="auto"/>
        </w:rPr>
      </w:pPr>
    </w:p>
    <w:p>
      <w:pPr>
        <w:ind w:left="1540" w:right="200" w:hanging="297"/>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w:t>
      </w:r>
    </w:p>
    <w:p>
      <w:pPr>
        <w:spacing w:after="0" w:line="210" w:lineRule="exact"/>
        <w:rPr>
          <w:rFonts w:ascii="Arial" w:cs="Arial" w:eastAsia="Arial" w:hAnsi="Arial"/>
          <w:sz w:val="18"/>
          <w:szCs w:val="18"/>
          <w:color w:val="auto"/>
        </w:rPr>
      </w:pPr>
    </w:p>
    <w:p>
      <w:pPr>
        <w:ind w:left="1540" w:right="680" w:hanging="297"/>
        <w:spacing w:after="0" w:line="308"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Investors in this offering will, by contrast, hold their equity ownership in Rani Holdings, a Delaware corporation that is a domestic corporation for U.S. federal income tax purposes, in the form of shares of Class A common stock.</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Former LLC Owners will hold their equity ownership in Rani Holdings in the form of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line="269"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Continuing LLC Owners will hold LLC Interests and a noneconomic voting equity interest in the form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shares of our Class A common stock on a one-for-one basis or, at our option, for cash. The Up-C structure also provides the Continuing LLC Owners with potential liquidity that holders of non-publicly traded limited liability companies are not typically afforded. If we ever generate sufficient taxable income to utilize the tax benefits, Rani Holdings expects to benefit from the Up-C structure because, in general, we expect cash tax savings in amounts equal to 15% of the tax benefits, as described above,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Factors—Risks Related to Our Organizational Structure.”</w:t>
      </w: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252" w:lineRule="exact"/>
        <w:rPr>
          <w:sz w:val="20"/>
          <w:szCs w:val="20"/>
          <w:color w:val="auto"/>
        </w:rPr>
      </w:pPr>
    </w:p>
    <w:p>
      <w:pPr>
        <w:ind w:left="1540" w:right="80" w:hanging="297"/>
        <w:spacing w:after="0" w:line="311" w:lineRule="auto"/>
        <w:tabs>
          <w:tab w:leader="none" w:pos="1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amend and restate the limited liability company agreement of Rani LLC, or the Rani LLC Agreement, effective as of the completion of this offering, to, among other things, appoint Rani Holdings as the sole managing member of Rani LLC and will otherwise operate as a holding company. Rani Holdings will include Rani LLC in its consolidated financial statements;</w:t>
      </w:r>
    </w:p>
    <w:p>
      <w:pPr>
        <w:spacing w:after="0" w:line="175" w:lineRule="exact"/>
        <w:rPr>
          <w:rFonts w:ascii="Arial" w:cs="Arial" w:eastAsia="Arial" w:hAnsi="Arial"/>
          <w:sz w:val="16"/>
          <w:szCs w:val="16"/>
          <w:color w:val="auto"/>
        </w:rPr>
      </w:pPr>
    </w:p>
    <w:p>
      <w:pPr>
        <w:jc w:val="both"/>
        <w:ind w:left="1540" w:right="40" w:hanging="297"/>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and Class B common stock, each share of which entitles its holders to 10 votes per share on all matters presented to Rani Holdings’ stockholders;</w:t>
      </w:r>
    </w:p>
    <w:p>
      <w:pPr>
        <w:spacing w:after="0" w:line="211" w:lineRule="exact"/>
        <w:rPr>
          <w:sz w:val="20"/>
          <w:szCs w:val="20"/>
          <w:color w:val="auto"/>
        </w:rPr>
      </w:pPr>
    </w:p>
    <w:p>
      <w:pPr>
        <w:ind w:left="1540" w:right="120" w:hanging="299"/>
        <w:spacing w:after="0" w:line="277" w:lineRule="auto"/>
        <w:tabs>
          <w:tab w:leader="none" w:pos="1520" w:val="left"/>
        </w:tabs>
        <w:rPr>
          <w:sz w:val="20"/>
          <w:szCs w:val="20"/>
          <w:color w:val="auto"/>
        </w:rPr>
      </w:pPr>
      <w:r>
        <w:rPr>
          <w:rFonts w:ascii="Arial" w:cs="Arial" w:eastAsia="Arial" w:hAnsi="Arial"/>
          <w:sz w:val="18"/>
          <w:szCs w:val="18"/>
          <w:color w:val="auto"/>
        </w:rPr>
        <w:t>•</w:t>
        <w:tab/>
        <w:t>generally, all outstanding convertible preferred and common units will convert into a single class of economic nonvoting Class A units and an equal number of voting noneconomic Class B units of Rani LLC;</w:t>
      </w:r>
    </w:p>
    <w:p>
      <w:pPr>
        <w:spacing w:after="0" w:line="197" w:lineRule="exact"/>
        <w:rPr>
          <w:sz w:val="20"/>
          <w:szCs w:val="20"/>
          <w:color w:val="auto"/>
        </w:rPr>
      </w:pPr>
    </w:p>
    <w:p>
      <w:pPr>
        <w:ind w:left="1540" w:hanging="297"/>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generally, the Former LLC Owners will exchange their LLC Interests for shares of Class A common stock, representing</w:t>
      </w:r>
    </w:p>
    <w:p>
      <w:pPr>
        <w:spacing w:after="0" w:line="35" w:lineRule="exact"/>
        <w:rPr>
          <w:sz w:val="20"/>
          <w:szCs w:val="20"/>
          <w:color w:val="auto"/>
        </w:rPr>
      </w:pPr>
    </w:p>
    <w:p>
      <w:pPr>
        <w:ind w:left="1540" w:right="140"/>
        <w:spacing w:after="0" w:line="253" w:lineRule="auto"/>
        <w:rPr>
          <w:sz w:val="20"/>
          <w:szCs w:val="20"/>
          <w:color w:val="auto"/>
        </w:rPr>
      </w:pPr>
      <w:r>
        <w:rPr>
          <w:rFonts w:ascii="Arial" w:cs="Arial" w:eastAsia="Arial" w:hAnsi="Arial"/>
          <w:sz w:val="18"/>
          <w:szCs w:val="18"/>
          <w:color w:val="auto"/>
        </w:rPr>
        <w:t>(i) approximately % of the combined voting power of all of Rani Holdings’ common stock (or approximately %, if the underwriters exercise in full their option to purchase additional shares of Class A common stock) and (ii) approximately % of the economic interest in the business of Rani LLC and its subsidiary (or approximately %, if the underwriters exercise in full their option to purchase additional shares of Class A common stock), indirectly through Rani Holdings’ ownership of LLC Interests;</w:t>
      </w:r>
    </w:p>
    <w:p>
      <w:pPr>
        <w:spacing w:after="0" w:line="218" w:lineRule="exact"/>
        <w:rPr>
          <w:sz w:val="20"/>
          <w:szCs w:val="20"/>
          <w:color w:val="auto"/>
        </w:rPr>
      </w:pPr>
    </w:p>
    <w:p>
      <w:pPr>
        <w:ind w:left="1540" w:hanging="297"/>
        <w:spacing w:after="0"/>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w:t>
      </w:r>
    </w:p>
    <w:p>
      <w:pPr>
        <w:spacing w:after="0" w:line="46" w:lineRule="exact"/>
        <w:rPr>
          <w:sz w:val="20"/>
          <w:szCs w:val="20"/>
          <w:color w:val="auto"/>
        </w:rPr>
      </w:pPr>
    </w:p>
    <w:p>
      <w:pPr>
        <w:ind w:left="1540" w:right="120"/>
        <w:spacing w:after="0" w:line="273" w:lineRule="auto"/>
        <w:rPr>
          <w:sz w:val="20"/>
          <w:szCs w:val="20"/>
          <w:color w:val="auto"/>
        </w:rPr>
      </w:pPr>
      <w:r>
        <w:rPr>
          <w:rFonts w:ascii="Arial" w:cs="Arial" w:eastAsia="Arial" w:hAnsi="Arial"/>
          <w:sz w:val="17"/>
          <w:szCs w:val="17"/>
          <w:color w:val="auto"/>
        </w:rPr>
        <w:t>in Rani LLC, representing approximately % of the economic interest in the business of Rani LLC and its subsidiary (or approximately %, if the underwriters exercise in full their option to purchase additional shares of Class A common stock), and will be issued a number of shares of our Class B common stock equal to the number of LLC Interests held by them upon completion of this offering, each share of which entitles its holders to 10 votes per share;</w:t>
      </w:r>
    </w:p>
    <w:p>
      <w:pPr>
        <w:spacing w:after="0" w:line="203" w:lineRule="exact"/>
        <w:rPr>
          <w:sz w:val="20"/>
          <w:szCs w:val="20"/>
          <w:color w:val="auto"/>
        </w:rPr>
      </w:pPr>
    </w:p>
    <w:p>
      <w:pPr>
        <w:ind w:left="1540" w:right="260" w:hanging="297"/>
        <w:spacing w:after="0" w:line="301"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LLC Interests, following the completion of this offering, will be redeemable, at the holders’ election, for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w:t>
      </w:r>
    </w:p>
    <w:p>
      <w:pPr>
        <w:spacing w:after="0" w:line="200" w:lineRule="exact"/>
        <w:rPr>
          <w:sz w:val="20"/>
          <w:szCs w:val="20"/>
          <w:color w:val="auto"/>
        </w:rPr>
      </w:pPr>
    </w:p>
    <w:p>
      <w:pPr>
        <w:spacing w:after="0" w:line="3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32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20"/>
        <w:spacing w:after="0" w:line="311" w:lineRule="auto"/>
        <w:rPr>
          <w:sz w:val="20"/>
          <w:szCs w:val="20"/>
          <w:color w:val="auto"/>
        </w:rPr>
      </w:pPr>
      <w:r>
        <w:rPr>
          <w:rFonts w:ascii="Arial" w:cs="Arial" w:eastAsia="Arial" w:hAnsi="Arial"/>
          <w:sz w:val="16"/>
          <w:szCs w:val="16"/>
          <w:color w:val="auto"/>
        </w:rPr>
        <w:t>weighted-average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w:t>
      </w:r>
    </w:p>
    <w:p>
      <w:pPr>
        <w:spacing w:after="0" w:line="176" w:lineRule="exact"/>
        <w:rPr>
          <w:sz w:val="20"/>
          <w:szCs w:val="20"/>
          <w:color w:val="auto"/>
        </w:rPr>
      </w:pPr>
    </w:p>
    <w:p>
      <w:pPr>
        <w:ind w:left="1540" w:right="28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the Continuing LLC Owners, and (ii) a registration rights agreement, or the Registration Rights Agreement, with the Continuing LLC Owners;</w:t>
      </w:r>
    </w:p>
    <w:p>
      <w:pPr>
        <w:spacing w:after="0" w:line="197" w:lineRule="exact"/>
        <w:rPr>
          <w:sz w:val="20"/>
          <w:szCs w:val="20"/>
          <w:color w:val="auto"/>
        </w:rPr>
      </w:pPr>
    </w:p>
    <w:p>
      <w:pPr>
        <w:jc w:val="both"/>
        <w:ind w:left="1540" w:right="240" w:hanging="299"/>
        <w:spacing w:after="0" w:line="342" w:lineRule="auto"/>
        <w:tabs>
          <w:tab w:leader="none" w:pos="1520" w:val="left"/>
        </w:tabs>
        <w:rPr>
          <w:sz w:val="20"/>
          <w:szCs w:val="20"/>
          <w:color w:val="auto"/>
        </w:rPr>
      </w:pPr>
      <w:r>
        <w:rPr>
          <w:rFonts w:ascii="Arial" w:cs="Arial" w:eastAsia="Arial" w:hAnsi="Arial"/>
          <w:sz w:val="16"/>
          <w:szCs w:val="16"/>
          <w:color w:val="auto"/>
        </w:rPr>
        <w:t>•</w:t>
        <w:tab/>
        <w:t>Rani Holdings will issue        shares of Class A common stock to the purchasers in this offering (or        shares of our Class A common stock if the underwriters exercise in full their option to purchase additional shares of Class A common stock);</w:t>
      </w:r>
    </w:p>
    <w:p>
      <w:pPr>
        <w:spacing w:after="0" w:line="151" w:lineRule="exact"/>
        <w:rPr>
          <w:sz w:val="20"/>
          <w:szCs w:val="20"/>
          <w:color w:val="auto"/>
        </w:rPr>
      </w:pPr>
    </w:p>
    <w:p>
      <w:pPr>
        <w:ind w:left="1540" w:right="280" w:hanging="297"/>
        <w:spacing w:after="0" w:line="291" w:lineRule="auto"/>
        <w:tabs>
          <w:tab w:leader="none" w:pos="1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Rani Holdings will use all of the net proceeds from this offering (including any net proceeds received upon exercise of the underwriters’ option to purchase additional shares of Class A common stock) to acquire newly issued LLC Interests from Rani</w:t>
      </w:r>
    </w:p>
    <w:p>
      <w:pPr>
        <w:ind w:left="1540" w:right="20"/>
        <w:spacing w:after="0" w:line="255" w:lineRule="auto"/>
        <w:rPr>
          <w:sz w:val="20"/>
          <w:szCs w:val="20"/>
          <w:color w:val="auto"/>
        </w:rPr>
      </w:pPr>
      <w:r>
        <w:rPr>
          <w:rFonts w:ascii="Arial" w:cs="Arial" w:eastAsia="Arial" w:hAnsi="Arial"/>
          <w:sz w:val="18"/>
          <w:szCs w:val="18"/>
          <w:color w:val="auto"/>
        </w:rPr>
        <w:t>LLC at a purchase price per interest equal to the initial public offering price per share of Class A common stock, less underwriting discounts and commissions, collectively representing % of Rani LLC’s outstanding LLC Interests (or %, if the underwriters exercise in full their option to purchase additional shares of Class A common stock); and</w:t>
      </w:r>
    </w:p>
    <w:p>
      <w:pPr>
        <w:spacing w:after="0" w:line="217" w:lineRule="exact"/>
        <w:rPr>
          <w:sz w:val="20"/>
          <w:szCs w:val="20"/>
          <w:color w:val="auto"/>
        </w:rPr>
      </w:pPr>
    </w:p>
    <w:p>
      <w:pPr>
        <w:ind w:left="1540" w:right="68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Rani LLC will use the proceeds from the sale of LLC Interests to Rani Holdings as described in the section titled “Use of Proceeds.”</w:t>
      </w:r>
    </w:p>
    <w:p>
      <w:pPr>
        <w:spacing w:after="0" w:line="170" w:lineRule="exact"/>
        <w:rPr>
          <w:sz w:val="20"/>
          <w:szCs w:val="20"/>
          <w:color w:val="auto"/>
        </w:rPr>
      </w:pPr>
    </w:p>
    <w:p>
      <w:pPr>
        <w:ind w:left="300" w:right="380" w:firstLine="852"/>
        <w:spacing w:after="0" w:line="274" w:lineRule="auto"/>
        <w:rPr>
          <w:sz w:val="20"/>
          <w:szCs w:val="20"/>
          <w:color w:val="auto"/>
        </w:rPr>
      </w:pPr>
      <w:r>
        <w:rPr>
          <w:rFonts w:ascii="Arial" w:cs="Arial" w:eastAsia="Arial" w:hAnsi="Arial"/>
          <w:sz w:val="17"/>
          <w:szCs w:val="17"/>
          <w:color w:val="auto"/>
        </w:rPr>
        <w:t>Upon the completion of this offering, the purchasers in this offering (i) will own shares of Class A common stock, representing approximately % of the combined voting power of all of Rani Holdings’ common stock (or shares of Class A common</w:t>
      </w:r>
    </w:p>
    <w:p>
      <w:pPr>
        <w:ind w:left="300" w:right="100"/>
        <w:spacing w:after="0" w:line="271" w:lineRule="auto"/>
        <w:rPr>
          <w:sz w:val="20"/>
          <w:szCs w:val="20"/>
          <w:color w:val="auto"/>
        </w:rPr>
      </w:pPr>
      <w:r>
        <w:rPr>
          <w:rFonts w:ascii="Arial" w:cs="Arial" w:eastAsia="Arial" w:hAnsi="Arial"/>
          <w:sz w:val="17"/>
          <w:szCs w:val="17"/>
          <w:color w:val="auto"/>
        </w:rPr>
        <w:t>stock representing approximately %, if the underwriters exercise in full their option to purchase additional shares of Class A common stock), (ii) will own % of the economic interest in Rani Holdings (or %,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 of the economic interest in Rani LLC (or % if the underwriters exercise in full their option to purchase additional shares of Class A common stock).</w:t>
      </w:r>
    </w:p>
    <w:p>
      <w:pPr>
        <w:spacing w:after="0" w:line="178" w:lineRule="exact"/>
        <w:rPr>
          <w:sz w:val="20"/>
          <w:szCs w:val="20"/>
          <w:color w:val="auto"/>
        </w:rPr>
      </w:pPr>
    </w:p>
    <w:p>
      <w:pPr>
        <w:ind w:left="300" w:right="520" w:firstLine="852"/>
        <w:spacing w:after="0" w:line="263" w:lineRule="auto"/>
        <w:rPr>
          <w:sz w:val="20"/>
          <w:szCs w:val="20"/>
          <w:color w:val="auto"/>
        </w:rPr>
      </w:pPr>
      <w:r>
        <w:rPr>
          <w:rFonts w:ascii="Arial" w:cs="Arial" w:eastAsia="Arial" w:hAnsi="Arial"/>
          <w:sz w:val="18"/>
          <w:szCs w:val="18"/>
          <w:color w:val="auto"/>
        </w:rPr>
        <w:t>We refer to the foregoing Organizational Transactions collectively as the “Organizational Transactions.” For more information regarding our structure after the completion of the Organizational Transactions, including this offering, see the section titled “Organizational Transactions.”</w:t>
      </w:r>
    </w:p>
    <w:p>
      <w:pPr>
        <w:spacing w:after="0" w:line="184"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Immediately following the completion of this offering, Rani Holdings will be a holding company and its principal asset will be the LLC Interests it purchases from Rani LLC and acquires from the Former LLC Owners. As the sole managing member of Rani LLC, Rani Holdings will operate and control all of the business and affairs of Rani LLC and, through Rani LLC and its subsidiary, conduct our business. Accordingly, Rani Holdings will have the sole voting interest in, and control the management of, Rani LLC. As a result, we will consolidate Rani LLC in our consolidated financial statements and will report a non-controlling interest related to the LLC Interests held by the Continuing LLC Owners on our consolidated financial statements.</w:t>
      </w:r>
    </w:p>
    <w:p>
      <w:pPr>
        <w:spacing w:after="0" w:line="192" w:lineRule="exact"/>
        <w:rPr>
          <w:sz w:val="20"/>
          <w:szCs w:val="20"/>
          <w:color w:val="auto"/>
        </w:rPr>
      </w:pPr>
    </w:p>
    <w:p>
      <w:pPr>
        <w:ind w:left="300" w:right="160" w:firstLine="852"/>
        <w:spacing w:after="0" w:line="279"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and Class B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02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8021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entitled “Risk Factors” in this prospectus. Some of the principal risks related to our business include the following:</w:t>
      </w:r>
    </w:p>
    <w:p>
      <w:pPr>
        <w:spacing w:after="0" w:line="211" w:lineRule="exact"/>
        <w:rPr>
          <w:sz w:val="20"/>
          <w:szCs w:val="20"/>
          <w:color w:val="auto"/>
        </w:rPr>
      </w:pPr>
    </w:p>
    <w:p>
      <w:pPr>
        <w:jc w:val="both"/>
        <w:ind w:left="1540" w:hanging="297"/>
        <w:spacing w:after="0" w:line="263"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210" w:lineRule="exact"/>
        <w:rPr>
          <w:rFonts w:ascii="Arial" w:cs="Arial" w:eastAsia="Arial" w:hAnsi="Arial"/>
          <w:sz w:val="18"/>
          <w:szCs w:val="18"/>
          <w:color w:val="auto"/>
        </w:rPr>
      </w:pPr>
    </w:p>
    <w:p>
      <w:pPr>
        <w:ind w:left="1540" w:right="180" w:hanging="297"/>
        <w:spacing w:after="0" w:line="277"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product revenue, which makes it difficult to assess our future prospects and financial results.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2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10" w:lineRule="exact"/>
        <w:rPr>
          <w:rFonts w:ascii="Arial" w:cs="Arial" w:eastAsia="Arial" w:hAnsi="Arial"/>
          <w:sz w:val="18"/>
          <w:szCs w:val="18"/>
          <w:color w:val="auto"/>
        </w:rPr>
      </w:pPr>
    </w:p>
    <w:p>
      <w:pPr>
        <w:ind w:left="1540" w:right="20" w:hanging="297"/>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13" w:lineRule="exact"/>
        <w:rPr>
          <w:rFonts w:ascii="Arial" w:cs="Arial" w:eastAsia="Arial" w:hAnsi="Arial"/>
          <w:sz w:val="18"/>
          <w:szCs w:val="18"/>
          <w:color w:val="auto"/>
        </w:rPr>
      </w:pPr>
    </w:p>
    <w:p>
      <w:pPr>
        <w:ind w:left="1540" w:right="180" w:hanging="297"/>
        <w:spacing w:after="0" w:line="286"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92" w:lineRule="exact"/>
        <w:rPr>
          <w:rFonts w:ascii="Arial" w:cs="Arial" w:eastAsia="Arial" w:hAnsi="Arial"/>
          <w:sz w:val="17"/>
          <w:szCs w:val="17"/>
          <w:color w:val="auto"/>
        </w:rPr>
      </w:pPr>
    </w:p>
    <w:p>
      <w:pPr>
        <w:jc w:val="both"/>
        <w:ind w:left="1540" w:right="340" w:hanging="297"/>
        <w:spacing w:after="0" w:line="342" w:lineRule="auto"/>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50" w:lineRule="exact"/>
        <w:rPr>
          <w:rFonts w:ascii="Arial" w:cs="Arial" w:eastAsia="Arial" w:hAnsi="Arial"/>
          <w:sz w:val="16"/>
          <w:szCs w:val="16"/>
          <w:color w:val="auto"/>
        </w:rPr>
      </w:pPr>
    </w:p>
    <w:p>
      <w:pPr>
        <w:ind w:left="1540" w:right="16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210" w:lineRule="exact"/>
        <w:rPr>
          <w:rFonts w:ascii="Arial" w:cs="Arial" w:eastAsia="Arial" w:hAnsi="Arial"/>
          <w:sz w:val="18"/>
          <w:szCs w:val="18"/>
          <w:color w:val="auto"/>
        </w:rPr>
      </w:pPr>
    </w:p>
    <w:p>
      <w:pPr>
        <w:ind w:left="1540" w:right="100" w:hanging="297"/>
        <w:spacing w:after="0" w:line="301" w:lineRule="auto"/>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84" w:lineRule="exact"/>
        <w:rPr>
          <w:rFonts w:ascii="Arial" w:cs="Arial" w:eastAsia="Arial" w:hAnsi="Arial"/>
          <w:sz w:val="16"/>
          <w:szCs w:val="16"/>
          <w:color w:val="auto"/>
        </w:rPr>
      </w:pPr>
    </w:p>
    <w:p>
      <w:pPr>
        <w:ind w:left="1540" w:hanging="297"/>
        <w:spacing w:after="0"/>
        <w:tabs>
          <w:tab w:leader="none" w:pos="1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limited clinical data on our product candidates to indicate whether they are safe or effective for long-term use in humans.</w:t>
      </w:r>
    </w:p>
    <w:p>
      <w:pPr>
        <w:spacing w:after="0" w:line="275" w:lineRule="exact"/>
        <w:rPr>
          <w:rFonts w:ascii="Arial" w:cs="Arial" w:eastAsia="Arial" w:hAnsi="Arial"/>
          <w:sz w:val="16"/>
          <w:szCs w:val="16"/>
          <w:color w:val="auto"/>
        </w:rPr>
      </w:pPr>
    </w:p>
    <w:p>
      <w:pPr>
        <w:ind w:left="1540" w:right="6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preclinical studies and clinical trials.</w:t>
      </w:r>
    </w:p>
    <w:p>
      <w:pPr>
        <w:spacing w:after="0" w:line="197" w:lineRule="exact"/>
        <w:rPr>
          <w:rFonts w:ascii="Arial" w:cs="Arial" w:eastAsia="Arial" w:hAnsi="Arial"/>
          <w:sz w:val="18"/>
          <w:szCs w:val="18"/>
          <w:color w:val="auto"/>
        </w:rPr>
      </w:pPr>
    </w:p>
    <w:p>
      <w:pPr>
        <w:ind w:left="1540" w:right="6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197" w:lineRule="exact"/>
        <w:rPr>
          <w:rFonts w:ascii="Arial" w:cs="Arial" w:eastAsia="Arial" w:hAnsi="Arial"/>
          <w:sz w:val="18"/>
          <w:szCs w:val="18"/>
          <w:color w:val="auto"/>
        </w:rPr>
      </w:pPr>
    </w:p>
    <w:p>
      <w:pPr>
        <w:jc w:val="both"/>
        <w:ind w:left="1540" w:right="46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252" w:lineRule="exact"/>
        <w:rPr>
          <w:rFonts w:ascii="Arial" w:cs="Arial" w:eastAsia="Arial" w:hAnsi="Arial"/>
          <w:sz w:val="18"/>
          <w:szCs w:val="18"/>
          <w:color w:val="auto"/>
        </w:rPr>
      </w:pPr>
    </w:p>
    <w:p>
      <w:pPr>
        <w:ind w:left="1540" w:right="120" w:hanging="297"/>
        <w:spacing w:after="0" w:line="259"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100" w:hanging="297"/>
        <w:spacing w:after="0" w:line="25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214" w:lineRule="exact"/>
        <w:rPr>
          <w:rFonts w:ascii="Arial" w:cs="Arial" w:eastAsia="Arial" w:hAnsi="Arial"/>
          <w:sz w:val="18"/>
          <w:szCs w:val="18"/>
          <w:color w:val="auto"/>
        </w:rPr>
      </w:pPr>
    </w:p>
    <w:p>
      <w:pPr>
        <w:jc w:val="both"/>
        <w:ind w:left="1540" w:right="60" w:hanging="297"/>
        <w:spacing w:after="0" w:line="286" w:lineRule="auto"/>
        <w:tabs>
          <w:tab w:leader="none" w:pos="1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in control.</w:t>
      </w:r>
    </w:p>
    <w:p>
      <w:pPr>
        <w:spacing w:after="0" w:line="192" w:lineRule="exact"/>
        <w:rPr>
          <w:rFonts w:ascii="Arial" w:cs="Arial" w:eastAsia="Arial" w:hAnsi="Arial"/>
          <w:sz w:val="17"/>
          <w:szCs w:val="17"/>
          <w:color w:val="auto"/>
        </w:rPr>
      </w:pPr>
    </w:p>
    <w:p>
      <w:pPr>
        <w:ind w:left="1540" w:right="12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These and other risks are more fully described in the section titled “Risk Factors” in this prospectus. If any of these risks actually occurs, our business, financial condition, results of operations, cash flows and prospects could be materially and adversely affected. As a result, you could lose all or part of your investment in our Class A common stock.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Corporate Information</w:t>
      </w:r>
    </w:p>
    <w:p>
      <w:pPr>
        <w:spacing w:after="0" w:line="229" w:lineRule="exact"/>
        <w:rPr>
          <w:sz w:val="20"/>
          <w:szCs w:val="20"/>
          <w:color w:val="auto"/>
        </w:rPr>
      </w:pPr>
    </w:p>
    <w:p>
      <w:pPr>
        <w:ind w:left="300" w:right="420" w:firstLine="852"/>
        <w:spacing w:after="0" w:line="301" w:lineRule="auto"/>
        <w:rPr>
          <w:sz w:val="20"/>
          <w:szCs w:val="20"/>
          <w:color w:val="auto"/>
        </w:rPr>
      </w:pPr>
      <w:r>
        <w:rPr>
          <w:rFonts w:ascii="Arial" w:cs="Arial" w:eastAsia="Arial" w:hAnsi="Arial"/>
          <w:sz w:val="16"/>
          <w:szCs w:val="16"/>
          <w:color w:val="auto"/>
        </w:rPr>
        <w:t>Our office is located at 2051 Ringwood Avenue, San Jose, California 95131. Our telephone number is 408-457-3700. Our website address is https://www.ranitherapeutics.com. Information contained on, or that can be accessed through, our website is not incorporated by reference into this prospectus and should not be considered to be part of this prospectus. We are a holding company and all of our business operations are conducted through, and substantially all of our assets are held by, our direct and indirect subsidiaries.</w:t>
      </w:r>
    </w:p>
    <w:p>
      <w:pPr>
        <w:spacing w:after="0" w:line="157" w:lineRule="exact"/>
        <w:rPr>
          <w:sz w:val="20"/>
          <w:szCs w:val="20"/>
          <w:color w:val="auto"/>
        </w:rPr>
      </w:pPr>
    </w:p>
    <w:p>
      <w:pPr>
        <w:ind w:left="300" w:right="20" w:firstLine="852"/>
        <w:spacing w:after="0" w:line="287" w:lineRule="auto"/>
        <w:rPr>
          <w:sz w:val="20"/>
          <w:szCs w:val="20"/>
          <w:color w:val="auto"/>
        </w:rPr>
      </w:pPr>
      <w:r>
        <w:rPr>
          <w:rFonts w:ascii="Arial" w:cs="Arial" w:eastAsia="Arial" w:hAnsi="Arial"/>
          <w:sz w:val="16"/>
          <w:szCs w:val="16"/>
          <w:color w:val="auto"/>
        </w:rPr>
        <w:t>We use Rani, Rani Therapeutics, RaniPill, the Rani Therapeutics logo, the R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w:t>
      </w:r>
    </w:p>
    <w:p>
      <w:pPr>
        <w:spacing w:after="0" w:line="1" w:lineRule="exact"/>
        <w:rPr>
          <w:sz w:val="20"/>
          <w:szCs w:val="20"/>
          <w:color w:val="auto"/>
        </w:rPr>
      </w:pPr>
    </w:p>
    <w:p>
      <w:pPr>
        <w:ind w:left="300" w:right="100" w:hanging="2"/>
        <w:spacing w:after="0" w:line="278" w:lineRule="auto"/>
        <w:tabs>
          <w:tab w:leader="none" w:pos="461" w:val="left"/>
        </w:tabs>
        <w:numPr>
          <w:ilvl w:val="0"/>
          <w:numId w:val="18"/>
        </w:numPr>
        <w:rPr>
          <w:rFonts w:ascii="Arial" w:cs="Arial" w:eastAsia="Arial" w:hAnsi="Arial"/>
          <w:sz w:val="14"/>
          <w:szCs w:val="14"/>
          <w:color w:val="auto"/>
        </w:rPr>
      </w:pPr>
      <w:r>
        <w:rPr>
          <w:rFonts w:ascii="Arial" w:cs="Arial" w:eastAsia="Arial" w:hAnsi="Arial"/>
          <w:sz w:val="17"/>
          <w:szCs w:val="17"/>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occur of: the last day of the fiscal year in which we have more than $1.07 billion in annual revenue; the date we qualify as a “large accelerated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filer,” with at least $700.0 million of equity securities held by non-affiliates; the issuance, in any three-year period, by us of more than $1.0 billion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non-convertible debt securities; and the last day of the fiscal year ending after the fifth anniversary of this offering.</w:t>
      </w:r>
    </w:p>
    <w:p>
      <w:pPr>
        <w:spacing w:after="0" w:line="211" w:lineRule="exact"/>
        <w:rPr>
          <w:sz w:val="20"/>
          <w:szCs w:val="20"/>
          <w:color w:val="auto"/>
        </w:rPr>
      </w:pPr>
    </w:p>
    <w:p>
      <w:pPr>
        <w:ind w:left="300" w:right="40" w:firstLine="852"/>
        <w:spacing w:after="0" w:line="311" w:lineRule="auto"/>
        <w:rPr>
          <w:sz w:val="20"/>
          <w:szCs w:val="20"/>
          <w:color w:val="auto"/>
        </w:rPr>
      </w:pPr>
      <w:r>
        <w:rPr>
          <w:rFonts w:ascii="Arial" w:cs="Arial" w:eastAsia="Arial" w:hAnsi="Arial"/>
          <w:sz w:val="16"/>
          <w:szCs w:val="16"/>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2471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1247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compensation-related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4440" w:type="dxa"/>
            <w:vAlign w:val="bottom"/>
            <w:tcBorders>
              <w:top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The Offering</w:t>
            </w:r>
          </w:p>
        </w:tc>
        <w:tc>
          <w:tcPr>
            <w:tcW w:w="2440" w:type="dxa"/>
            <w:vAlign w:val="bottom"/>
            <w:tcBorders>
              <w:top w:val="single" w:sz="8" w:color="auto"/>
              <w:right w:val="single" w:sz="8" w:color="auto"/>
            </w:tcBorders>
          </w:tcPr>
          <w:p>
            <w:pPr>
              <w:spacing w:after="0"/>
              <w:rPr>
                <w:sz w:val="24"/>
                <w:szCs w:val="24"/>
                <w:color w:val="auto"/>
              </w:rPr>
            </w:pP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Rani Therapeutics Holdings, Inc.</w:t>
            </w:r>
          </w:p>
        </w:tc>
        <w:tc>
          <w:tcPr>
            <w:tcW w:w="2440" w:type="dxa"/>
            <w:vAlign w:val="bottom"/>
            <w:tcBorders>
              <w:right w:val="single" w:sz="8" w:color="auto"/>
            </w:tcBorders>
          </w:tcPr>
          <w:p>
            <w:pPr>
              <w:spacing w:after="0"/>
              <w:rPr>
                <w:sz w:val="24"/>
                <w:szCs w:val="24"/>
                <w:color w:val="auto"/>
              </w:rPr>
            </w:pPr>
          </w:p>
        </w:tc>
      </w:tr>
      <w:tr>
        <w:trPr>
          <w:trHeight w:val="473"/>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common stock offered by us</w:t>
            </w:r>
          </w:p>
        </w:tc>
        <w:tc>
          <w:tcPr>
            <w:tcW w:w="1160" w:type="dxa"/>
            <w:vAlign w:val="bottom"/>
          </w:tcPr>
          <w:p>
            <w:pPr>
              <w:ind w:left="620"/>
              <w:spacing w:after="0"/>
              <w:rPr>
                <w:sz w:val="20"/>
                <w:szCs w:val="20"/>
                <w:color w:val="auto"/>
              </w:rPr>
            </w:pPr>
            <w:r>
              <w:rPr>
                <w:rFonts w:ascii="Arial" w:cs="Arial" w:eastAsia="Arial" w:hAnsi="Arial"/>
                <w:sz w:val="18"/>
                <w:szCs w:val="18"/>
                <w:color w:val="auto"/>
                <w:w w:val="88"/>
              </w:rPr>
              <w:t>shares.</w:t>
            </w:r>
          </w:p>
        </w:tc>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3"/>
              </w:rPr>
              <w:t>Underwriters’ option to purchase additional shares of</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w w:val="95"/>
              </w:rPr>
              <w:t>The underwriters have a 30-day option to purchase up to</w:t>
            </w:r>
          </w:p>
        </w:tc>
        <w:tc>
          <w:tcPr>
            <w:tcW w:w="244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additional shares of</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Class A common stock</w:t>
            </w: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Class A common stock from us as described under the heading “Underwriting.”</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7"/>
              </w:rPr>
              <w:t>Class A common stock to be issued to Former LLC</w:t>
            </w:r>
          </w:p>
        </w:tc>
        <w:tc>
          <w:tcPr>
            <w:tcW w:w="1160" w:type="dxa"/>
            <w:vAlign w:val="bottom"/>
          </w:tcPr>
          <w:p>
            <w:pPr>
              <w:ind w:left="620"/>
              <w:spacing w:after="0"/>
              <w:rPr>
                <w:sz w:val="20"/>
                <w:szCs w:val="20"/>
                <w:color w:val="auto"/>
              </w:rPr>
            </w:pPr>
            <w:r>
              <w:rPr>
                <w:rFonts w:ascii="Arial" w:cs="Arial" w:eastAsia="Arial" w:hAnsi="Arial"/>
                <w:sz w:val="18"/>
                <w:szCs w:val="18"/>
                <w:color w:val="auto"/>
                <w:w w:val="88"/>
              </w:rPr>
              <w:t>shares.</w:t>
            </w:r>
          </w:p>
        </w:tc>
        <w:tc>
          <w:tcPr>
            <w:tcW w:w="5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40" w:type="dxa"/>
            <w:vAlign w:val="bottom"/>
            <w:tcBorders>
              <w:right w:val="single" w:sz="8" w:color="auto"/>
            </w:tcBorders>
          </w:tcPr>
          <w:p>
            <w:pPr>
              <w:spacing w:after="0"/>
              <w:rPr>
                <w:sz w:val="24"/>
                <w:szCs w:val="24"/>
                <w:color w:val="auto"/>
              </w:rPr>
            </w:pP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Owners</w:t>
            </w: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A common stock to be outstanding immediately</w:t>
            </w:r>
          </w:p>
        </w:tc>
        <w:tc>
          <w:tcPr>
            <w:tcW w:w="1660" w:type="dxa"/>
            <w:vAlign w:val="bottom"/>
            <w:gridSpan w:val="2"/>
          </w:tcPr>
          <w:p>
            <w:pPr>
              <w:ind w:left="620"/>
              <w:spacing w:after="0"/>
              <w:rPr>
                <w:sz w:val="20"/>
                <w:szCs w:val="20"/>
                <w:color w:val="auto"/>
              </w:rPr>
            </w:pPr>
            <w:r>
              <w:rPr>
                <w:rFonts w:ascii="Arial" w:cs="Arial" w:eastAsia="Arial" w:hAnsi="Arial"/>
                <w:sz w:val="18"/>
                <w:szCs w:val="18"/>
                <w:color w:val="auto"/>
              </w:rPr>
              <w:t>shares (or</w:t>
            </w:r>
          </w:p>
        </w:tc>
        <w:tc>
          <w:tcPr>
            <w:tcW w:w="522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color w:val="auto"/>
                <w:w w:val="96"/>
              </w:rPr>
              <w:t>shares if the underwriters exercise in full their option to purchase</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additional shares of Class A common stock).</w:t>
            </w: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B common stock to be outstanding immediately</w:t>
            </w:r>
          </w:p>
        </w:tc>
        <w:tc>
          <w:tcPr>
            <w:tcW w:w="6880" w:type="dxa"/>
            <w:vAlign w:val="bottom"/>
            <w:tcBorders>
              <w:right w:val="single" w:sz="8" w:color="auto"/>
            </w:tcBorders>
            <w:gridSpan w:val="4"/>
          </w:tcPr>
          <w:p>
            <w:pPr>
              <w:ind w:left="620"/>
              <w:spacing w:after="0"/>
              <w:rPr>
                <w:sz w:val="20"/>
                <w:szCs w:val="20"/>
                <w:color w:val="auto"/>
              </w:rPr>
            </w:pPr>
            <w:r>
              <w:rPr>
                <w:rFonts w:ascii="Arial" w:cs="Arial" w:eastAsia="Arial" w:hAnsi="Arial"/>
                <w:sz w:val="18"/>
                <w:szCs w:val="18"/>
                <w:color w:val="auto"/>
              </w:rPr>
              <w:t>shares, all of which will be owned by the Continuing LLC Owners.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1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Holders of our Class A common stock and Class B common stock will vote together as a</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5"/>
              </w:rPr>
              <w:t>single class on all matters presented to stockholders for their vote or approval, except as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7"/>
              </w:rPr>
              <w:t>otherwise required by law. Each share of Class A common stock will entitle its holder to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one vote per share, and each share of Class B common stock will entitle its holder to 10</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w w:val="96"/>
              </w:rPr>
              <w:t>votes per share on all such matters. See the section titled “Description of Capital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purchasers in this offering</w:t>
            </w:r>
          </w:p>
        </w:tc>
        <w:tc>
          <w:tcPr>
            <w:tcW w:w="1160" w:type="dxa"/>
            <w:vAlign w:val="bottom"/>
          </w:tcPr>
          <w:p>
            <w:pPr>
              <w:ind w:left="440"/>
              <w:spacing w:after="0"/>
              <w:rPr>
                <w:sz w:val="20"/>
                <w:szCs w:val="20"/>
                <w:color w:val="auto"/>
              </w:rPr>
            </w:pPr>
            <w:r>
              <w:rPr>
                <w:rFonts w:ascii="Arial" w:cs="Arial" w:eastAsia="Arial" w:hAnsi="Arial"/>
                <w:sz w:val="18"/>
                <w:szCs w:val="18"/>
                <w:color w:val="auto"/>
              </w:rPr>
              <w:t>% (or</w:t>
            </w:r>
          </w:p>
        </w:tc>
        <w:tc>
          <w:tcPr>
            <w:tcW w:w="57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the Former LLC Owners</w:t>
            </w:r>
          </w:p>
        </w:tc>
        <w:tc>
          <w:tcPr>
            <w:tcW w:w="1160" w:type="dxa"/>
            <w:vAlign w:val="bottom"/>
          </w:tcPr>
          <w:p>
            <w:pPr>
              <w:ind w:left="440"/>
              <w:spacing w:after="0"/>
              <w:rPr>
                <w:sz w:val="20"/>
                <w:szCs w:val="20"/>
                <w:color w:val="auto"/>
              </w:rPr>
            </w:pPr>
            <w:r>
              <w:rPr>
                <w:rFonts w:ascii="Arial" w:cs="Arial" w:eastAsia="Arial" w:hAnsi="Arial"/>
                <w:sz w:val="18"/>
                <w:szCs w:val="18"/>
                <w:color w:val="auto"/>
              </w:rPr>
              <w:t>% (or</w:t>
            </w:r>
          </w:p>
        </w:tc>
        <w:tc>
          <w:tcPr>
            <w:tcW w:w="57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Voting power held by all holders of Class A common</w:t>
            </w:r>
          </w:p>
        </w:tc>
        <w:tc>
          <w:tcPr>
            <w:tcW w:w="1160" w:type="dxa"/>
            <w:vAlign w:val="bottom"/>
          </w:tcPr>
          <w:p>
            <w:pPr>
              <w:ind w:left="440"/>
              <w:spacing w:after="0"/>
              <w:rPr>
                <w:sz w:val="20"/>
                <w:szCs w:val="20"/>
                <w:color w:val="auto"/>
              </w:rPr>
            </w:pPr>
            <w:r>
              <w:rPr>
                <w:rFonts w:ascii="Arial" w:cs="Arial" w:eastAsia="Arial" w:hAnsi="Arial"/>
                <w:sz w:val="18"/>
                <w:szCs w:val="18"/>
                <w:color w:val="auto"/>
              </w:rPr>
              <w:t>% (or</w:t>
            </w:r>
          </w:p>
        </w:tc>
        <w:tc>
          <w:tcPr>
            <w:tcW w:w="57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 after giving effect to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Voting power held by all holders of Class B common</w:t>
            </w:r>
          </w:p>
        </w:tc>
        <w:tc>
          <w:tcPr>
            <w:tcW w:w="1160" w:type="dxa"/>
            <w:vAlign w:val="bottom"/>
          </w:tcPr>
          <w:p>
            <w:pPr>
              <w:ind w:left="440"/>
              <w:spacing w:after="0"/>
              <w:rPr>
                <w:sz w:val="20"/>
                <w:szCs w:val="20"/>
                <w:color w:val="auto"/>
              </w:rPr>
            </w:pPr>
            <w:r>
              <w:rPr>
                <w:rFonts w:ascii="Arial" w:cs="Arial" w:eastAsia="Arial" w:hAnsi="Arial"/>
                <w:sz w:val="18"/>
                <w:szCs w:val="18"/>
                <w:color w:val="auto"/>
              </w:rPr>
              <w:t>% (or</w:t>
            </w:r>
          </w:p>
        </w:tc>
        <w:tc>
          <w:tcPr>
            <w:tcW w:w="57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 if the underwriters exercise in full their option to purchase additional</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 after giving effect to this offering</w:t>
            </w:r>
          </w:p>
        </w:tc>
        <w:tc>
          <w:tcPr>
            <w:tcW w:w="4440" w:type="dxa"/>
            <w:vAlign w:val="bottom"/>
            <w:gridSpan w:val="3"/>
          </w:tcPr>
          <w:p>
            <w:pPr>
              <w:ind w:left="80"/>
              <w:spacing w:after="0"/>
              <w:rPr>
                <w:sz w:val="20"/>
                <w:szCs w:val="20"/>
                <w:color w:val="auto"/>
              </w:rPr>
            </w:pPr>
            <w:r>
              <w:rPr>
                <w:rFonts w:ascii="Arial" w:cs="Arial" w:eastAsia="Arial" w:hAnsi="Arial"/>
                <w:sz w:val="18"/>
                <w:szCs w:val="18"/>
                <w:color w:val="auto"/>
              </w:rPr>
              <w:t>shares of Class A common stock).</w:t>
            </w:r>
          </w:p>
        </w:tc>
        <w:tc>
          <w:tcPr>
            <w:tcW w:w="2440" w:type="dxa"/>
            <w:vAlign w:val="bottom"/>
            <w:tcBorders>
              <w:right w:val="single" w:sz="8" w:color="auto"/>
            </w:tcBorders>
          </w:tcPr>
          <w:p>
            <w:pPr>
              <w:spacing w:after="0"/>
              <w:rPr>
                <w:sz w:val="20"/>
                <w:szCs w:val="20"/>
                <w:color w:val="auto"/>
              </w:rPr>
            </w:pPr>
          </w:p>
        </w:tc>
      </w:tr>
      <w:tr>
        <w:trPr>
          <w:trHeight w:val="253"/>
        </w:trPr>
        <w:tc>
          <w:tcPr>
            <w:tcW w:w="4140" w:type="dxa"/>
            <w:vAlign w:val="bottom"/>
            <w:tcBorders>
              <w:left w:val="single" w:sz="8" w:color="auto"/>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tcPr>
          <w:p>
            <w:pPr>
              <w:spacing w:after="0"/>
              <w:rPr>
                <w:sz w:val="22"/>
                <w:szCs w:val="22"/>
                <w:color w:val="auto"/>
              </w:rPr>
            </w:pPr>
          </w:p>
        </w:tc>
        <w:tc>
          <w:tcPr>
            <w:tcW w:w="2440" w:type="dxa"/>
            <w:vAlign w:val="bottom"/>
            <w:tcBorders>
              <w:bottom w:val="single" w:sz="8" w:color="auto"/>
              <w:right w:val="single" w:sz="8" w:color="auto"/>
            </w:tcBorders>
          </w:tcPr>
          <w:p>
            <w:pPr>
              <w:spacing w:after="0"/>
              <w:rPr>
                <w:sz w:val="22"/>
                <w:szCs w:val="22"/>
                <w:color w:val="auto"/>
              </w:rPr>
            </w:pPr>
          </w:p>
        </w:tc>
      </w:tr>
      <w:tr>
        <w:trPr>
          <w:trHeight w:val="604"/>
        </w:trPr>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rPr>
              <w:t>14</w:t>
            </w:r>
          </w:p>
        </w:tc>
        <w:tc>
          <w:tcPr>
            <w:tcW w:w="278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7048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80" w:hanging="78"/>
        <w:spacing w:after="0" w:line="277"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amended and restated certificate of incorporation and the Rani LLC Agreement will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the Continuing LLC Owners and the number of LLC Interests owned by the Continuing LLC Owners.</w:t>
      </w:r>
    </w:p>
    <w:p>
      <w:pPr>
        <w:spacing w:after="0" w:line="192" w:lineRule="exact"/>
        <w:rPr>
          <w:sz w:val="20"/>
          <w:szCs w:val="20"/>
          <w:color w:val="auto"/>
        </w:rPr>
      </w:pPr>
    </w:p>
    <w:p>
      <w:pPr>
        <w:sectPr>
          <w:pgSz w:w="11900" w:h="16838" w:orient="portrait"/>
          <w:cols w:equalWidth="0" w:num="2">
            <w:col w:w="3840" w:space="500"/>
            <w:col w:w="6580"/>
          </w:cols>
          <w:pgMar w:left="320" w:top="459" w:right="659" w:bottom="1440" w:gutter="0" w:footer="0" w:header="0"/>
          <w:type w:val="continuous"/>
        </w:sectPr>
      </w:pPr>
    </w:p>
    <w:tbl>
      <w:tblPr>
        <w:tblLayout w:type="fixed"/>
        <w:tblInd w:w="30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Use of proceeds</w:t>
            </w: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We estimate that the net proceeds to us from this offering, after deducting underwriting</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6"/>
              </w:rPr>
              <w:t>discounts and commissions and estimated offering expenses, will be approximately $</w:t>
            </w:r>
          </w:p>
        </w:tc>
      </w:tr>
      <w:tr>
        <w:trPr>
          <w:trHeight w:val="216"/>
        </w:trPr>
        <w:tc>
          <w:tcPr>
            <w:tcW w:w="3680" w:type="dxa"/>
            <w:vAlign w:val="bottom"/>
          </w:tcPr>
          <w:p>
            <w:pPr>
              <w:spacing w:after="0"/>
              <w:rPr>
                <w:sz w:val="18"/>
                <w:szCs w:val="18"/>
                <w:color w:val="auto"/>
              </w:rPr>
            </w:pPr>
          </w:p>
        </w:tc>
        <w:tc>
          <w:tcPr>
            <w:tcW w:w="2560" w:type="dxa"/>
            <w:vAlign w:val="bottom"/>
            <w:gridSpan w:val="2"/>
          </w:tcPr>
          <w:p>
            <w:pPr>
              <w:ind w:left="360"/>
              <w:spacing w:after="0"/>
              <w:rPr>
                <w:sz w:val="20"/>
                <w:szCs w:val="20"/>
                <w:color w:val="auto"/>
              </w:rPr>
            </w:pPr>
            <w:r>
              <w:rPr>
                <w:rFonts w:ascii="Arial" w:cs="Arial" w:eastAsia="Arial" w:hAnsi="Arial"/>
                <w:sz w:val="18"/>
                <w:szCs w:val="18"/>
                <w:color w:val="auto"/>
              </w:rPr>
              <w:t>million (or approximately $</w:t>
            </w:r>
          </w:p>
        </w:tc>
        <w:tc>
          <w:tcPr>
            <w:tcW w:w="4380" w:type="dxa"/>
            <w:vAlign w:val="bottom"/>
            <w:gridSpan w:val="3"/>
          </w:tcPr>
          <w:p>
            <w:pPr>
              <w:ind w:left="200"/>
              <w:spacing w:after="0"/>
              <w:rPr>
                <w:sz w:val="20"/>
                <w:szCs w:val="20"/>
                <w:color w:val="auto"/>
              </w:rPr>
            </w:pPr>
            <w:r>
              <w:rPr>
                <w:rFonts w:ascii="Arial" w:cs="Arial" w:eastAsia="Arial" w:hAnsi="Arial"/>
                <w:sz w:val="18"/>
                <w:szCs w:val="18"/>
                <w:color w:val="auto"/>
                <w:w w:val="96"/>
              </w:rPr>
              <w:t>million if the underwriters exercise in full their option to</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3"/>
              </w:rPr>
              <w:t>purchase additional shares of Class A common stock), assuming an initial public offering</w:t>
            </w:r>
          </w:p>
        </w:tc>
      </w:tr>
      <w:tr>
        <w:trPr>
          <w:trHeight w:val="230"/>
        </w:trPr>
        <w:tc>
          <w:tcPr>
            <w:tcW w:w="3680" w:type="dxa"/>
            <w:vAlign w:val="bottom"/>
          </w:tcPr>
          <w:p>
            <w:pPr>
              <w:spacing w:after="0"/>
              <w:rPr>
                <w:sz w:val="20"/>
                <w:szCs w:val="20"/>
                <w:color w:val="auto"/>
              </w:rPr>
            </w:pPr>
          </w:p>
        </w:tc>
        <w:tc>
          <w:tcPr>
            <w:tcW w:w="1240" w:type="dxa"/>
            <w:vAlign w:val="bottom"/>
          </w:tcPr>
          <w:p>
            <w:pPr>
              <w:ind w:left="360"/>
              <w:spacing w:after="0"/>
              <w:rPr>
                <w:sz w:val="20"/>
                <w:szCs w:val="20"/>
                <w:color w:val="auto"/>
              </w:rPr>
            </w:pPr>
            <w:r>
              <w:rPr>
                <w:rFonts w:ascii="Arial" w:cs="Arial" w:eastAsia="Arial" w:hAnsi="Arial"/>
                <w:sz w:val="18"/>
                <w:szCs w:val="18"/>
                <w:color w:val="auto"/>
              </w:rPr>
              <w:t>price of $</w:t>
            </w:r>
          </w:p>
        </w:tc>
        <w:tc>
          <w:tcPr>
            <w:tcW w:w="1320" w:type="dxa"/>
            <w:vAlign w:val="bottom"/>
          </w:tcPr>
          <w:p>
            <w:pPr>
              <w:ind w:left="200"/>
              <w:spacing w:after="0"/>
              <w:rPr>
                <w:sz w:val="20"/>
                <w:szCs w:val="20"/>
                <w:color w:val="auto"/>
              </w:rPr>
            </w:pPr>
            <w:r>
              <w:rPr>
                <w:rFonts w:ascii="Arial" w:cs="Arial" w:eastAsia="Arial" w:hAnsi="Arial"/>
                <w:sz w:val="18"/>
                <w:szCs w:val="18"/>
                <w:color w:val="auto"/>
              </w:rPr>
              <w:t>per share.</w:t>
            </w:r>
          </w:p>
        </w:tc>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3680" w:type="dxa"/>
            <w:vAlign w:val="bottom"/>
          </w:tcPr>
          <w:p>
            <w:pPr>
              <w:spacing w:after="0"/>
              <w:rPr>
                <w:sz w:val="24"/>
                <w:szCs w:val="24"/>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We intend to use the net proceeds that we receive from this offering (including any net</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3"/>
              </w:rPr>
              <w:t>proceeds from the underwriters’ exercise of their option to purchase additional shares of</w:t>
            </w:r>
          </w:p>
        </w:tc>
      </w:tr>
      <w:tr>
        <w:trPr>
          <w:trHeight w:val="216"/>
        </w:trPr>
        <w:tc>
          <w:tcPr>
            <w:tcW w:w="3680" w:type="dxa"/>
            <w:vAlign w:val="bottom"/>
          </w:tcPr>
          <w:p>
            <w:pPr>
              <w:spacing w:after="0"/>
              <w:rPr>
                <w:sz w:val="18"/>
                <w:szCs w:val="18"/>
                <w:color w:val="auto"/>
              </w:rPr>
            </w:pPr>
          </w:p>
        </w:tc>
        <w:tc>
          <w:tcPr>
            <w:tcW w:w="3140" w:type="dxa"/>
            <w:vAlign w:val="bottom"/>
            <w:gridSpan w:val="3"/>
          </w:tcPr>
          <w:p>
            <w:pPr>
              <w:ind w:left="360"/>
              <w:spacing w:after="0"/>
              <w:rPr>
                <w:sz w:val="20"/>
                <w:szCs w:val="20"/>
                <w:color w:val="auto"/>
              </w:rPr>
            </w:pPr>
            <w:r>
              <w:rPr>
                <w:rFonts w:ascii="Arial" w:cs="Arial" w:eastAsia="Arial" w:hAnsi="Arial"/>
                <w:sz w:val="18"/>
                <w:szCs w:val="18"/>
                <w:color w:val="auto"/>
                <w:w w:val="95"/>
              </w:rPr>
              <w:t>Class A common stock) to purchase</w:t>
            </w:r>
          </w:p>
        </w:tc>
        <w:tc>
          <w:tcPr>
            <w:tcW w:w="2640" w:type="dxa"/>
            <w:vAlign w:val="bottom"/>
          </w:tcPr>
          <w:p>
            <w:pPr>
              <w:ind w:left="200"/>
              <w:spacing w:after="0"/>
              <w:rPr>
                <w:sz w:val="20"/>
                <w:szCs w:val="20"/>
                <w:color w:val="auto"/>
              </w:rPr>
            </w:pPr>
            <w:r>
              <w:rPr>
                <w:rFonts w:ascii="Arial" w:cs="Arial" w:eastAsia="Arial" w:hAnsi="Arial"/>
                <w:sz w:val="18"/>
                <w:szCs w:val="18"/>
                <w:color w:val="auto"/>
                <w:w w:val="99"/>
              </w:rPr>
              <w:t>newly issued LLC Interests (or</w:t>
            </w:r>
          </w:p>
        </w:tc>
        <w:tc>
          <w:tcPr>
            <w:tcW w:w="1160" w:type="dxa"/>
            <w:vAlign w:val="bottom"/>
          </w:tcPr>
          <w:p>
            <w:pPr>
              <w:ind w:left="200"/>
              <w:spacing w:after="0"/>
              <w:rPr>
                <w:sz w:val="20"/>
                <w:szCs w:val="20"/>
                <w:color w:val="auto"/>
              </w:rPr>
            </w:pPr>
            <w:r>
              <w:rPr>
                <w:rFonts w:ascii="Arial" w:cs="Arial" w:eastAsia="Arial" w:hAnsi="Arial"/>
                <w:sz w:val="18"/>
                <w:szCs w:val="18"/>
                <w:color w:val="auto"/>
              </w:rPr>
              <w:t>LLC</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Interests if the underwriters exercise in full their option to purchase additional shares of</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0"/>
              </w:rPr>
              <w:t>Class A common stock) directly from Rani LLC at a purchase price per interest equal to the</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1"/>
              </w:rPr>
              <w:t>initial public offering price per share of Class A common stock, less underwriting discounts</w:t>
            </w:r>
          </w:p>
        </w:tc>
      </w:tr>
      <w:tr>
        <w:trPr>
          <w:trHeight w:val="230"/>
        </w:trPr>
        <w:tc>
          <w:tcPr>
            <w:tcW w:w="3680" w:type="dxa"/>
            <w:vAlign w:val="bottom"/>
          </w:tcPr>
          <w:p>
            <w:pPr>
              <w:spacing w:after="0"/>
              <w:rPr>
                <w:sz w:val="20"/>
                <w:szCs w:val="20"/>
                <w:color w:val="auto"/>
              </w:rPr>
            </w:pPr>
          </w:p>
        </w:tc>
        <w:tc>
          <w:tcPr>
            <w:tcW w:w="2560" w:type="dxa"/>
            <w:vAlign w:val="bottom"/>
            <w:gridSpan w:val="2"/>
          </w:tcPr>
          <w:p>
            <w:pPr>
              <w:ind w:left="360"/>
              <w:spacing w:after="0"/>
              <w:rPr>
                <w:sz w:val="20"/>
                <w:szCs w:val="20"/>
                <w:color w:val="auto"/>
              </w:rPr>
            </w:pPr>
            <w:r>
              <w:rPr>
                <w:rFonts w:ascii="Arial" w:cs="Arial" w:eastAsia="Arial" w:hAnsi="Arial"/>
                <w:sz w:val="18"/>
                <w:szCs w:val="18"/>
                <w:color w:val="auto"/>
              </w:rPr>
              <w:t>and commissions.</w:t>
            </w:r>
          </w:p>
        </w:tc>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45"/>
        </w:trPr>
        <w:tc>
          <w:tcPr>
            <w:tcW w:w="3680" w:type="dxa"/>
            <w:vAlign w:val="bottom"/>
          </w:tcPr>
          <w:p>
            <w:pPr>
              <w:spacing w:after="0"/>
              <w:rPr>
                <w:sz w:val="24"/>
                <w:szCs w:val="24"/>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The net proceeds received by Rani LLC in connection with this offering will be used as</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4"/>
              </w:rPr>
              <w:t>described in the section titled “Use of Proceeds.” We cannot specify with certainty all of</w:t>
            </w:r>
          </w:p>
        </w:tc>
      </w:tr>
      <w:tr>
        <w:trPr>
          <w:trHeight w:val="216"/>
        </w:trPr>
        <w:tc>
          <w:tcPr>
            <w:tcW w:w="3680" w:type="dxa"/>
            <w:vAlign w:val="bottom"/>
          </w:tcPr>
          <w:p>
            <w:pPr>
              <w:spacing w:after="0"/>
              <w:rPr>
                <w:sz w:val="18"/>
                <w:szCs w:val="18"/>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5"/>
              </w:rPr>
              <w:t>the uses of the net proceeds that we will receive from this offering. Accordingly, we will</w:t>
            </w:r>
          </w:p>
        </w:tc>
      </w:tr>
      <w:tr>
        <w:trPr>
          <w:trHeight w:val="230"/>
        </w:trPr>
        <w:tc>
          <w:tcPr>
            <w:tcW w:w="3680" w:type="dxa"/>
            <w:vAlign w:val="bottom"/>
          </w:tcPr>
          <w:p>
            <w:pPr>
              <w:spacing w:after="0"/>
              <w:rPr>
                <w:sz w:val="20"/>
                <w:szCs w:val="20"/>
                <w:color w:val="auto"/>
              </w:rPr>
            </w:pPr>
          </w:p>
        </w:tc>
        <w:tc>
          <w:tcPr>
            <w:tcW w:w="5780" w:type="dxa"/>
            <w:vAlign w:val="bottom"/>
            <w:gridSpan w:val="4"/>
          </w:tcPr>
          <w:p>
            <w:pPr>
              <w:ind w:left="360"/>
              <w:spacing w:after="0"/>
              <w:rPr>
                <w:sz w:val="20"/>
                <w:szCs w:val="20"/>
                <w:color w:val="auto"/>
              </w:rPr>
            </w:pPr>
            <w:r>
              <w:rPr>
                <w:rFonts w:ascii="Arial" w:cs="Arial" w:eastAsia="Arial" w:hAnsi="Arial"/>
                <w:sz w:val="18"/>
                <w:szCs w:val="18"/>
                <w:color w:val="auto"/>
              </w:rPr>
              <w:t>have broad discretion in the application of these proceeds.</w:t>
            </w:r>
          </w:p>
        </w:tc>
        <w:tc>
          <w:tcPr>
            <w:tcW w:w="1160" w:type="dxa"/>
            <w:vAlign w:val="bottom"/>
          </w:tcPr>
          <w:p>
            <w:pPr>
              <w:spacing w:after="0"/>
              <w:rPr>
                <w:sz w:val="20"/>
                <w:szCs w:val="20"/>
                <w:color w:val="auto"/>
              </w:rPr>
            </w:pPr>
          </w:p>
        </w:tc>
      </w:tr>
      <w:tr>
        <w:trPr>
          <w:trHeight w:val="445"/>
        </w:trPr>
        <w:tc>
          <w:tcPr>
            <w:tcW w:w="3680" w:type="dxa"/>
            <w:vAlign w:val="bottom"/>
          </w:tcPr>
          <w:p>
            <w:pPr>
              <w:spacing w:after="0"/>
              <w:rPr>
                <w:sz w:val="20"/>
                <w:szCs w:val="20"/>
                <w:color w:val="auto"/>
              </w:rPr>
            </w:pPr>
            <w:r>
              <w:rPr>
                <w:rFonts w:ascii="Arial" w:cs="Arial" w:eastAsia="Arial" w:hAnsi="Arial"/>
                <w:sz w:val="18"/>
                <w:szCs w:val="18"/>
                <w:color w:val="auto"/>
              </w:rPr>
              <w:t>Redemption rights of holders of LLC Interests</w:t>
            </w: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4"/>
              </w:rPr>
              <w:t>The Continuing LLC Owners, from time to time following the completion of this offering,</w:t>
            </w:r>
          </w:p>
        </w:tc>
      </w:tr>
      <w:tr>
        <w:trPr>
          <w:trHeight w:val="230"/>
        </w:trPr>
        <w:tc>
          <w:tcPr>
            <w:tcW w:w="3680" w:type="dxa"/>
            <w:vAlign w:val="bottom"/>
          </w:tcPr>
          <w:p>
            <w:pPr>
              <w:spacing w:after="0"/>
              <w:rPr>
                <w:sz w:val="20"/>
                <w:szCs w:val="20"/>
                <w:color w:val="auto"/>
              </w:rPr>
            </w:pPr>
          </w:p>
        </w:tc>
        <w:tc>
          <w:tcPr>
            <w:tcW w:w="6940" w:type="dxa"/>
            <w:vAlign w:val="bottom"/>
            <w:gridSpan w:val="5"/>
          </w:tcPr>
          <w:p>
            <w:pPr>
              <w:ind w:left="360"/>
              <w:spacing w:after="0"/>
              <w:rPr>
                <w:sz w:val="20"/>
                <w:szCs w:val="20"/>
                <w:color w:val="auto"/>
              </w:rPr>
            </w:pPr>
            <w:r>
              <w:rPr>
                <w:rFonts w:ascii="Arial" w:cs="Arial" w:eastAsia="Arial" w:hAnsi="Arial"/>
                <w:sz w:val="18"/>
                <w:szCs w:val="18"/>
                <w:color w:val="auto"/>
                <w:w w:val="91"/>
              </w:rPr>
              <w:t>may (subject to the terms of the Rani LLC Agreement) require Rani LLC to redeem all or a</w:t>
            </w:r>
          </w:p>
        </w:tc>
      </w:tr>
    </w:tbl>
    <w:p>
      <w:pPr>
        <w:ind w:left="4340" w:right="80"/>
        <w:spacing w:after="0" w:line="286" w:lineRule="auto"/>
        <w:rPr>
          <w:sz w:val="20"/>
          <w:szCs w:val="20"/>
          <w:color w:val="auto"/>
        </w:rPr>
      </w:pPr>
      <w:r>
        <w:rPr>
          <w:rFonts w:ascii="Arial" w:cs="Arial" w:eastAsia="Arial" w:hAnsi="Arial"/>
          <w:sz w:val="16"/>
          <w:szCs w:val="16"/>
          <w:color w:val="auto"/>
        </w:rPr>
        <w:t>portion of their LLC Interests for newly issued shares of Class A common stock on a one-for-one basis (subject to customary adjustments, including for stock splits, stock dividends and reclassifications) in accordance with the terms of the Rani LLC Agreement; provided that, at Rani Holdings’ election, it may effect a direct exchange of such Class A common stock or make a cash payment equal to a volume weighted average market price of one share of Class A common stock for each LLC Interest redeemed. See the section titled “Certain Relationships and Related Person Transactions—Rani LLC Agreement.” Shares of our Class B common stock will be cancelled on a one-for-one basis if we, at the election of the Continuing LLC Owners, redeem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exchange our LLC Interests pursuant to the terms of the Rani LLC Agreement.</w:t>
      </w:r>
    </w:p>
    <w:p>
      <w:pPr>
        <w:sectPr>
          <w:pgSz w:w="11900" w:h="16838" w:orient="portrait"/>
          <w:cols w:equalWidth="0" w:num="1">
            <w:col w:w="10940"/>
          </w:cols>
          <w:pgMar w:left="320" w:top="459" w:right="639" w:bottom="1440" w:gutter="0" w:footer="0" w:header="0"/>
        </w:sectPr>
      </w:pPr>
    </w:p>
    <w:p>
      <w:pPr>
        <w:spacing w:after="0" w:line="2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Registration Rights Agreement, we will, subject to the terms and conditions thereof, agree to register the resale of the shares of our Class A common stock that are issuable to the Continuing LLC Owners upon redemption or exchange of their LLC Interests and the shares of our Class A common stock that are issued to the Former LLC Owners in connection with the Organizational Transactions. See the section titled “Certain Relationships and Related Person Transactions—Registration Rights Agreement.”</w:t>
      </w:r>
    </w:p>
    <w:p>
      <w:pPr>
        <w:spacing w:after="0" w:line="191"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Controlled company</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8"/>
          <w:szCs w:val="18"/>
          <w:color w:val="auto"/>
        </w:rPr>
        <w:t>Following the completion of this offering we will be a “controlled company” within the meaning of the corporate governance rules of Nasdaq. See the section titled “Management —Controlled Company Status.”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We do not anticipate declaring or paying any cash dividends on our Class A common stock for the foreseeable future. See the section titled “Dividend Policy.”</w:t>
      </w:r>
    </w:p>
    <w:p>
      <w:pPr>
        <w:spacing w:after="0" w:line="197"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Tax Receivable Agreement</w:t>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6"/>
          <w:szCs w:val="16"/>
          <w:color w:val="auto"/>
        </w:rPr>
        <w:t>We will enter into the Tax Receivable Agreement with Rani LLC and the Continuing LLC Owners that will provide for the payment by us to the Continuing LLC Owners of 85% of the amount of tax benefits, if any, that we are deemed to realize (calculated using certain assumptions) as a result of (i) increases in the tax basis of assets of Rani LLC resulting from (a) any future redemptions or exchanges of LLC Interests described above under “ — The Offering—Redemption rights of holders of LLC interests”, and (b) 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Investing in our Class A common stock involves a high degree of risk. See the section titled “Risk Factors” elsewhere in this prospectus for a discussion of factors you should carefully consider before deciding to invest in our Class A common stock.</w:t>
      </w:r>
    </w:p>
    <w:p>
      <w:pPr>
        <w:spacing w:after="0" w:line="19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Proposed 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“RANI”</w:t>
      </w:r>
    </w:p>
    <w:p>
      <w:pPr>
        <w:spacing w:after="0" w:line="200" w:lineRule="exact"/>
        <w:rPr>
          <w:sz w:val="20"/>
          <w:szCs w:val="20"/>
          <w:color w:val="auto"/>
        </w:rPr>
      </w:pPr>
    </w:p>
    <w:p>
      <w:pPr>
        <w:sectPr>
          <w:pgSz w:w="11900" w:h="16838" w:orient="portrait"/>
          <w:cols w:equalWidth="0" w:num="2">
            <w:col w:w="3780" w:space="560"/>
            <w:col w:w="6600"/>
          </w:cols>
          <w:pgMar w:left="320" w:top="459" w:right="639" w:bottom="1440" w:gutter="0" w:footer="0" w:header="0"/>
          <w:type w:val="continuous"/>
        </w:sectPr>
      </w:pPr>
    </w:p>
    <w:p>
      <w:pPr>
        <w:spacing w:after="0" w:line="39" w:lineRule="exact"/>
        <w:rPr>
          <w:sz w:val="20"/>
          <w:szCs w:val="20"/>
          <w:color w:val="auto"/>
        </w:rPr>
      </w:pPr>
    </w:p>
    <w:p>
      <w:pPr>
        <w:ind w:left="300" w:right="100" w:firstLine="959"/>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the units of Rani LLC outstanding as of March 31, 2021, and excludes:</w:t>
      </w:r>
    </w:p>
    <w:p>
      <w:pPr>
        <w:spacing w:after="0" w:line="197" w:lineRule="exact"/>
        <w:rPr>
          <w:sz w:val="20"/>
          <w:szCs w:val="20"/>
          <w:color w:val="auto"/>
        </w:rPr>
      </w:pPr>
    </w:p>
    <w:p>
      <w:pPr>
        <w:ind w:left="1540" w:right="320" w:hanging="297"/>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80" w:hanging="837"/>
        <w:spacing w:after="0"/>
        <w:tabs>
          <w:tab w:leader="none" w:pos="2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LLC Interests by Former LLC Owners;</w:t>
      </w:r>
    </w:p>
    <w:p>
      <w:pPr>
        <w:spacing w:after="0" w:line="263" w:lineRule="exact"/>
        <w:rPr>
          <w:rFonts w:ascii="Arial" w:cs="Arial" w:eastAsia="Arial" w:hAnsi="Arial"/>
          <w:sz w:val="17"/>
          <w:szCs w:val="17"/>
          <w:color w:val="auto"/>
        </w:rPr>
      </w:pPr>
    </w:p>
    <w:p>
      <w:pPr>
        <w:ind w:left="1540" w:right="160" w:hanging="297"/>
        <w:spacing w:after="0" w:line="291" w:lineRule="auto"/>
        <w:tabs>
          <w:tab w:leader="none" w:pos="2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Series E preferred units issuable upon the conversion of our loan and security agreement with Avenue Venture Opportunities Fund, L.P., or Avenue, which is convertible at Avenue’s election, that will convert into shares of Class A common</w:t>
      </w:r>
    </w:p>
    <w:p>
      <w:pPr>
        <w:sectPr>
          <w:pgSz w:w="11900" w:h="16838" w:orient="portrait"/>
          <w:cols w:equalWidth="0" w:num="1">
            <w:col w:w="10920"/>
          </w:cols>
          <w:pgMar w:left="320" w:top="459" w:right="659" w:bottom="1440" w:gutter="0" w:footer="0" w:header="0"/>
        </w:sectPr>
      </w:pPr>
    </w:p>
    <w:p>
      <w:pPr>
        <w:ind w:left="1540" w:right="600"/>
        <w:spacing w:after="0" w:line="260" w:lineRule="auto"/>
        <w:rPr>
          <w:sz w:val="20"/>
          <w:szCs w:val="20"/>
          <w:color w:val="auto"/>
        </w:rPr>
      </w:pPr>
      <w:r>
        <w:rPr>
          <w:rFonts w:ascii="Arial" w:cs="Arial" w:eastAsia="Arial" w:hAnsi="Arial"/>
          <w:sz w:val="18"/>
          <w:szCs w:val="18"/>
          <w:color w:val="auto"/>
        </w:rPr>
        <w:t>stock in connection with this offering (based on an assumed initial public offering price of $ per share, which is the midpoint of the estimated offering price range set forth on the cover page of this prospectus);</w:t>
      </w:r>
    </w:p>
    <w:p>
      <w:pPr>
        <w:sectPr>
          <w:pgSz w:w="11900" w:h="16838" w:orient="portrait"/>
          <w:cols w:equalWidth="0" w:num="1">
            <w:col w:w="10920"/>
          </w:cols>
          <w:pgMar w:left="320" w:top="459" w:right="659" w:bottom="1440" w:gutter="0" w:footer="0" w:header="0"/>
          <w:type w:val="continuous"/>
        </w:sectPr>
      </w:pPr>
    </w:p>
    <w:p>
      <w:pPr>
        <w:spacing w:after="0" w:line="212" w:lineRule="exact"/>
        <w:rPr>
          <w:sz w:val="20"/>
          <w:szCs w:val="20"/>
          <w:color w:val="auto"/>
        </w:rPr>
      </w:pPr>
    </w:p>
    <w:p>
      <w:pPr>
        <w:ind w:left="1540" w:right="280" w:hanging="297"/>
        <w:spacing w:after="0" w:line="342" w:lineRule="auto"/>
        <w:tabs>
          <w:tab w:leader="none" w:pos="2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shares of Class A common stock, plus future increases, reserved for issuance under the 2021 Employee Stock Purchase Plan, or the ESPP, which will become effective upon the execution of the underwriting agreement for this offering;</w:t>
      </w:r>
    </w:p>
    <w:p>
      <w:pPr>
        <w:spacing w:after="0" w:line="150" w:lineRule="exact"/>
        <w:rPr>
          <w:rFonts w:ascii="Arial" w:cs="Arial" w:eastAsia="Arial" w:hAnsi="Arial"/>
          <w:sz w:val="16"/>
          <w:szCs w:val="16"/>
          <w:color w:val="auto"/>
        </w:rPr>
      </w:pPr>
    </w:p>
    <w:p>
      <w:pPr>
        <w:ind w:left="1540" w:right="380" w:hanging="297"/>
        <w:spacing w:after="0" w:line="308" w:lineRule="auto"/>
        <w:tabs>
          <w:tab w:leader="none" w:pos="2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shares of Class A common stock reserved for future issuance under the 2021 Equity Incentive Plan, or our 2021 Plan, which will become effective upon the execution of the underwriting agreement for this offering; and</w:t>
      </w:r>
    </w:p>
    <w:p>
      <w:pPr>
        <w:spacing w:after="0" w:line="173" w:lineRule="exact"/>
        <w:rPr>
          <w:rFonts w:ascii="Arial" w:cs="Arial" w:eastAsia="Arial" w:hAnsi="Arial"/>
          <w:sz w:val="17"/>
          <w:szCs w:val="17"/>
          <w:color w:val="auto"/>
        </w:rPr>
      </w:pPr>
    </w:p>
    <w:p>
      <w:pPr>
        <w:ind w:left="1540" w:right="40" w:hanging="297"/>
        <w:spacing w:after="0" w:line="259" w:lineRule="auto"/>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vesting and settlement of restricted stock units to be granted to certain of our employees and executive officers under our 2021 Plan, contingent and effective upon the effectiveness of the registration statement of which this prospectus forms a part, with an exercise price that is equal to the price per share at which our Class A common stock is first sold to the public in this offering.</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this prospectus assumes or gives effect to:</w:t>
      </w:r>
    </w:p>
    <w:p>
      <w:pPr>
        <w:spacing w:after="0" w:line="252" w:lineRule="exact"/>
        <w:rPr>
          <w:sz w:val="20"/>
          <w:szCs w:val="20"/>
          <w:color w:val="auto"/>
        </w:rPr>
      </w:pPr>
    </w:p>
    <w:p>
      <w:pPr>
        <w:ind w:left="1540" w:hanging="297"/>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conversion of the loan and security agreement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completion of the Organizational Transactions as described in the section titled “Organizational Transactions;”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Class A common stock;</w:t>
      </w:r>
    </w:p>
    <w:p>
      <w:pPr>
        <w:sectPr>
          <w:pgSz w:w="11900" w:h="16838" w:orient="portrait"/>
          <w:cols w:equalWidth="0" w:num="1">
            <w:col w:w="10920"/>
          </w:cols>
          <w:pgMar w:left="320" w:top="459" w:right="659" w:bottom="1440" w:gutter="0" w:footer="0" w:header="0"/>
          <w:type w:val="continuous"/>
        </w:sectPr>
      </w:pPr>
    </w:p>
    <w:p>
      <w:pPr>
        <w:spacing w:after="0" w:line="252"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firstLine="540"/>
        <w:spacing w:after="0" w:line="263" w:lineRule="auto"/>
        <w:rPr>
          <w:sz w:val="20"/>
          <w:szCs w:val="20"/>
          <w:color w:val="auto"/>
        </w:rPr>
      </w:pPr>
      <w:r>
        <w:rPr>
          <w:rFonts w:ascii="Arial" w:cs="Arial" w:eastAsia="Arial" w:hAnsi="Arial"/>
          <w:sz w:val="18"/>
          <w:szCs w:val="18"/>
          <w:color w:val="auto"/>
        </w:rPr>
        <w:t>shares of Class A common stock issuable upon the net exercise of warrants to purchase common and preferred units outstanding as of March 31, 2021, assuming an initial public offering price of $ per share (the midpoint of the price range listed on the cover page of this prospectus);</w:t>
      </w:r>
    </w:p>
    <w:p>
      <w:pPr>
        <w:spacing w:after="0" w:line="200" w:lineRule="exact"/>
        <w:rPr>
          <w:sz w:val="20"/>
          <w:szCs w:val="20"/>
          <w:color w:val="auto"/>
        </w:rPr>
      </w:pPr>
    </w:p>
    <w:p>
      <w:pPr>
        <w:sectPr>
          <w:pgSz w:w="11900" w:h="16838" w:orient="portrait"/>
          <w:cols w:equalWidth="0" w:num="2">
            <w:col w:w="1300" w:space="240"/>
            <w:col w:w="9380"/>
          </w:cols>
          <w:pgMar w:left="320" w:top="459" w:right="659" w:bottom="1440" w:gutter="0" w:footer="0" w:header="0"/>
          <w:type w:val="continuous"/>
        </w:sectPr>
      </w:pPr>
    </w:p>
    <w:p>
      <w:pPr>
        <w:spacing w:after="0" w:line="11" w:lineRule="exact"/>
        <w:rPr>
          <w:sz w:val="20"/>
          <w:szCs w:val="20"/>
          <w:color w:val="auto"/>
        </w:rPr>
      </w:pPr>
    </w:p>
    <w:p>
      <w:pPr>
        <w:ind w:left="1540" w:right="220" w:hanging="297"/>
        <w:spacing w:after="0" w:line="277" w:lineRule="auto"/>
        <w:tabs>
          <w:tab w:leader="none" w:pos="1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shares of Class A common stock are offered at $ per share (the midpoint of the price range listed on the cover page of this prospectus); and</w:t>
      </w:r>
    </w:p>
    <w:p>
      <w:pPr>
        <w:spacing w:after="0" w:line="197" w:lineRule="exact"/>
        <w:rPr>
          <w:rFonts w:ascii="Arial" w:cs="Arial" w:eastAsia="Arial" w:hAnsi="Arial"/>
          <w:sz w:val="18"/>
          <w:szCs w:val="18"/>
          <w:color w:val="auto"/>
        </w:rPr>
      </w:pPr>
    </w:p>
    <w:p>
      <w:pPr>
        <w:ind w:left="1540" w:right="360" w:hanging="297"/>
        <w:spacing w:after="0" w:line="308" w:lineRule="auto"/>
        <w:tabs>
          <w:tab w:leader="none" w:pos="1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following the closing of this offering and the adoption of our amended and restated bylaws immediately prior to the closing of this offering.</w:t>
      </w:r>
    </w:p>
    <w:p>
      <w:pPr>
        <w:spacing w:after="0" w:line="146" w:lineRule="exact"/>
        <w:rPr>
          <w:sz w:val="20"/>
          <w:szCs w:val="20"/>
          <w:color w:val="auto"/>
        </w:rPr>
      </w:pPr>
    </w:p>
    <w:p>
      <w:pPr>
        <w:ind w:left="300" w:right="360" w:firstLine="852"/>
        <w:spacing w:after="0" w:line="301" w:lineRule="auto"/>
        <w:rPr>
          <w:sz w:val="20"/>
          <w:szCs w:val="20"/>
          <w:color w:val="auto"/>
        </w:rPr>
      </w:pPr>
      <w:r>
        <w:rPr>
          <w:rFonts w:ascii="Arial" w:cs="Arial" w:eastAsia="Arial" w:hAnsi="Arial"/>
          <w:sz w:val="16"/>
          <w:szCs w:val="16"/>
          <w:color w:val="auto"/>
        </w:rPr>
        <w:t>Notwithstanding the foregoing, to the extent there is an increase in the assumed initial public offering price, the number of Class A shares outstanding and Class A shares issuable upon redemption of LLC Interests would decrease from the amounts noted herein; to the extent there is a decrease in the assumed initial public offering price, the number of Class A shares outstanding and Class A shares issuable upon redemption of LLC Interests would increase. However, to the extent there is an increase in the assumed initial public offering price,</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09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1109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the number of Class A shares issuable under awards would increase from the amounts noted herein; to the extent there is a decrease in the assumed initial public offering price, the number of Class A shares issuable under awards would decrease. A $1.00 increase (decrease) in the assumed initial</w:t>
      </w:r>
    </w:p>
    <w:p>
      <w:pPr>
        <w:ind w:left="300" w:right="40"/>
        <w:spacing w:after="0" w:line="273" w:lineRule="auto"/>
        <w:rPr>
          <w:sz w:val="20"/>
          <w:szCs w:val="20"/>
          <w:color w:val="auto"/>
        </w:rPr>
      </w:pPr>
      <w:r>
        <w:rPr>
          <w:rFonts w:ascii="Arial" w:cs="Arial" w:eastAsia="Arial" w:hAnsi="Arial"/>
          <w:sz w:val="17"/>
          <w:szCs w:val="17"/>
          <w:color w:val="auto"/>
        </w:rPr>
        <w:t>public offering price of $ per share would result in a net decrease (increase) of approximately in the aggregate number of shares of Class A common stock outstanding, shares of Class A common stock issuable upon redemption of LLC Interests and shares of Class A common stock issuable under stock awards. The relative magnitude of the change in shares of Class A common stock outstanding and shares of Class A common stock issuable upon redemption of LLC Interests decreases as the share price moves further away from the midpoint.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9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39903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Summary Consolidated Historical and Pro Forma Financial Data</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The following tables present the summary consolidated historical and pro forma financial data for Rani LLC and its subsidiary for the periods and at the dates indicated. Rani LLC is the predecessor of the issuer, Rani Holdings, for financial reporting purposes. The summary consolidated statements of operations and comprehensive loss data for the three months ended March 31, 2020 and 2021 and the summary consolidated balance sheet data as of March 31, 2021 are derived from the Rani LLC unaudited condensed consolidated financial statements included elsewhere in this prospectus. The summary consolidated statement of operations and comprehensive loss data for the years ended December 31, 2019 and 2020 and the summary consolidated balance sheet data as of December 31, 2019 and 2020 have been derived from the audited consolidated financial statements and notes of Rani LLC and its subsidiary included elsewhere in this prospectus. You should read this data together with our audited consolidated financial statements and related notes appearing elsewhere in this prospectus and the information in the sections titled “Capitalization,” “Unaudited Pro Forma Condensed Consolidated Financial Information” and “Management’s Discussion and Analysis of Financial Condition and Results of Operations.” Our historical results are not necessarily indicative of our future results and results of interim periods are not necessarily indicative of results for the entire year.</w:t>
      </w:r>
    </w:p>
    <w:p>
      <w:pPr>
        <w:spacing w:after="0" w:line="182" w:lineRule="exact"/>
        <w:rPr>
          <w:sz w:val="20"/>
          <w:szCs w:val="20"/>
          <w:color w:val="auto"/>
        </w:rPr>
      </w:pPr>
    </w:p>
    <w:p>
      <w:pPr>
        <w:ind w:left="300" w:firstLine="852"/>
        <w:spacing w:after="0" w:line="288" w:lineRule="auto"/>
        <w:rPr>
          <w:sz w:val="20"/>
          <w:szCs w:val="20"/>
          <w:color w:val="auto"/>
        </w:rPr>
      </w:pPr>
      <w:r>
        <w:rPr>
          <w:rFonts w:ascii="Arial" w:cs="Arial" w:eastAsia="Arial" w:hAnsi="Arial"/>
          <w:sz w:val="16"/>
          <w:szCs w:val="16"/>
          <w:color w:val="auto"/>
        </w:rPr>
        <w:t>The summary unaudited pro forma condensed consolidated financial data of Rani Holdings presented below have been derived from our unaudited pro forma condensed consolidated financial statements included elsewhere in this prospectus. The summary unaudited pro forma balance sheet data as of March 31, 2021 gives effect to the Organizational Transactions as described in the section titled “Organizational Transactions,” including the completion of this offering, as if all such transactions had occurred on that date and the summary unaudited pro forma statement of operations and comprehensive loss data for the year ended December 31, 2020 and three months ended March 31, 2021 gives effect to the Organizational Transactions, as if all such transactions had occurred on January 1, 2020. The unaudited pro forma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the section titled “Unaudited Pro Forma Condensed Consolidated Financial Information” for a complete description of the adjustments and assumptions underlying the summary unaudited pro forma condensed consolidated financial data.</w:t>
      </w:r>
    </w:p>
    <w:p>
      <w:pPr>
        <w:spacing w:after="0" w:line="168" w:lineRule="exact"/>
        <w:rPr>
          <w:sz w:val="20"/>
          <w:szCs w:val="20"/>
          <w:color w:val="auto"/>
        </w:rPr>
      </w:pPr>
    </w:p>
    <w:p>
      <w:pPr>
        <w:ind w:left="300" w:right="180" w:firstLine="852"/>
        <w:spacing w:after="0" w:line="308" w:lineRule="auto"/>
        <w:rPr>
          <w:sz w:val="20"/>
          <w:szCs w:val="20"/>
          <w:color w:val="auto"/>
        </w:rPr>
      </w:pPr>
      <w:r>
        <w:rPr>
          <w:rFonts w:ascii="Arial" w:cs="Arial" w:eastAsia="Arial" w:hAnsi="Arial"/>
          <w:sz w:val="17"/>
          <w:szCs w:val="17"/>
          <w:color w:val="auto"/>
        </w:rPr>
        <w:t>The summary consolidated historical data of Rani Holdings have not been presented as Rani Holdings is a newly incorporated entity, has had no business transactions or activities to date and had no assets or liabilities during the periods presented in this section.</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9" w:right="6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5"/>
              </w:rPr>
              <w:t>Historical Rani LLC</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Pro Forma Rani Holdings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980" w:type="dxa"/>
            <w:vAlign w:val="bottom"/>
            <w:tcBorders>
              <w:top w:val="single" w:sz="8" w:color="auto"/>
            </w:tcBorders>
            <w:gridSpan w:val="6"/>
          </w:tcPr>
          <w:p>
            <w:pPr>
              <w:jc w:val="right"/>
              <w:ind w:right="760"/>
              <w:spacing w:after="0" w:line="129" w:lineRule="exact"/>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24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Year Ended</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Ended March 31</w:t>
            </w:r>
          </w:p>
        </w:tc>
        <w:tc>
          <w:tcPr>
            <w:tcW w:w="2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84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8"/>
              </w:rPr>
              <w:t>March 31, 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9"/>
                <w:szCs w:val="9"/>
                <w:color w:val="auto"/>
              </w:rPr>
            </w:pPr>
          </w:p>
        </w:tc>
        <w:tc>
          <w:tcPr>
            <w:tcW w:w="21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5"/>
              </w:rPr>
              <w:t>(Unaudited)</w:t>
            </w: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per share and per unit amounts)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0"/>
              </w:rPr>
              <w:t>Consolidated Statements of Operations and Comprehensive Loss</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Data:</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300"/>
              <w:spacing w:after="0"/>
              <w:rPr>
                <w:sz w:val="20"/>
                <w:szCs w:val="20"/>
                <w:color w:val="auto"/>
              </w:rPr>
            </w:pPr>
            <w:r>
              <w:rPr>
                <w:rFonts w:ascii="Arial" w:cs="Arial" w:eastAsia="Arial" w:hAnsi="Arial"/>
                <w:sz w:val="16"/>
                <w:szCs w:val="16"/>
                <w:color w:val="auto"/>
              </w:rPr>
              <w:t>Contract revenue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979</w:t>
            </w:r>
          </w:p>
        </w:tc>
        <w:tc>
          <w:tcPr>
            <w:tcW w:w="1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c>
          <w:tcPr>
            <w:tcW w:w="740" w:type="dxa"/>
            <w:vAlign w:val="bottom"/>
            <w:gridSpan w:val="2"/>
          </w:tcPr>
          <w:p>
            <w:pPr>
              <w:jc w:val="right"/>
              <w:ind w:right="468"/>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640"/>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12,044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(16,544)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300"/>
              <w:spacing w:after="0"/>
              <w:rPr>
                <w:sz w:val="20"/>
                <w:szCs w:val="20"/>
                <w:color w:val="auto"/>
              </w:rPr>
            </w:pPr>
            <w:r>
              <w:rPr>
                <w:rFonts w:ascii="Arial" w:cs="Arial" w:eastAsia="Arial" w:hAnsi="Arial"/>
                <w:sz w:val="16"/>
                <w:szCs w:val="16"/>
                <w:color w:val="auto"/>
              </w:rPr>
              <w:t>Other income (expense),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640"/>
              <w:spacing w:after="0"/>
              <w:rPr>
                <w:sz w:val="20"/>
                <w:szCs w:val="20"/>
                <w:color w:val="auto"/>
              </w:rPr>
            </w:pPr>
            <w:r>
              <w:rPr>
                <w:rFonts w:ascii="Arial" w:cs="Arial" w:eastAsia="Arial" w:hAnsi="Arial"/>
                <w:sz w:val="16"/>
                <w:szCs w:val="16"/>
                <w:color w:val="auto"/>
              </w:rPr>
              <w:t>Interest expense and other, net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6"/>
                <w:szCs w:val="16"/>
                <w:color w:val="auto"/>
                <w:w w:val="99"/>
              </w:rPr>
              <w:t>Change in estimated fair value of preferred unit warrant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300"/>
              <w:spacing w:after="0"/>
              <w:rPr>
                <w:sz w:val="20"/>
                <w:szCs w:val="20"/>
                <w:color w:val="auto"/>
              </w:rPr>
            </w:pPr>
            <w:r>
              <w:rPr>
                <w:rFonts w:ascii="Arial" w:cs="Arial" w:eastAsia="Arial" w:hAnsi="Arial"/>
                <w:sz w:val="16"/>
                <w:szCs w:val="16"/>
                <w:color w:val="auto"/>
              </w:rPr>
              <w:t>Loss before income taxes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(26,587)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(16,668)</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 expense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300"/>
              <w:spacing w:after="0"/>
              <w:rPr>
                <w:sz w:val="20"/>
                <w:szCs w:val="20"/>
                <w:color w:val="auto"/>
              </w:rPr>
            </w:pPr>
            <w:r>
              <w:rPr>
                <w:rFonts w:ascii="Arial" w:cs="Arial" w:eastAsia="Arial" w:hAnsi="Arial"/>
                <w:sz w:val="16"/>
                <w:szCs w:val="16"/>
                <w:color w:val="auto"/>
              </w:rPr>
              <w:t>Net loss and comprehensive net loss</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560" w:type="dxa"/>
            <w:vAlign w:val="bottom"/>
            <w:vMerge w:val="continue"/>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(26,587)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(16,703)</w:t>
            </w:r>
          </w:p>
        </w:tc>
        <w:tc>
          <w:tcPr>
            <w:tcW w:w="740" w:type="dxa"/>
            <w:vAlign w:val="bottom"/>
            <w:gridSpan w:val="2"/>
          </w:tcPr>
          <w:p>
            <w:pPr>
              <w:jc w:val="right"/>
              <w:ind w:right="468"/>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per unit, basic and diluted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(0.36)</w:t>
            </w:r>
          </w:p>
        </w:tc>
        <w:tc>
          <w:tcPr>
            <w:tcW w:w="740" w:type="dxa"/>
            <w:vAlign w:val="bottom"/>
            <w:gridSpan w:val="2"/>
            <w:shd w:val="clear" w:color="auto" w:fill="CCEEFF"/>
          </w:tcPr>
          <w:p>
            <w:pPr>
              <w:jc w:val="right"/>
              <w:ind w:right="468"/>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tcPr>
          <w:p>
            <w:pPr>
              <w:ind w:left="300"/>
              <w:spacing w:after="0"/>
              <w:rPr>
                <w:sz w:val="20"/>
                <w:szCs w:val="20"/>
                <w:color w:val="auto"/>
              </w:rPr>
            </w:pPr>
            <w:r>
              <w:rPr>
                <w:rFonts w:ascii="Arial" w:cs="Arial" w:eastAsia="Arial" w:hAnsi="Arial"/>
                <w:sz w:val="16"/>
                <w:szCs w:val="16"/>
                <w:color w:val="auto"/>
                <w:w w:val="94"/>
              </w:rPr>
              <w:t>Weighted average common units outstanding, basic and diluted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46,890,280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46,890,280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Per Share Data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Pro forma weighted average shares of Class A common stock</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Pr>
          <w:p>
            <w:pPr>
              <w:ind w:left="140"/>
              <w:spacing w:after="0"/>
              <w:rPr>
                <w:sz w:val="20"/>
                <w:szCs w:val="20"/>
                <w:color w:val="auto"/>
              </w:rPr>
            </w:pPr>
            <w:r>
              <w:rPr>
                <w:rFonts w:ascii="Arial" w:cs="Arial" w:eastAsia="Arial" w:hAnsi="Arial"/>
                <w:sz w:val="16"/>
                <w:szCs w:val="16"/>
                <w:color w:val="auto"/>
              </w:rPr>
              <w:t>outstanding, basic and diluted: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w w:val="98"/>
              </w:rPr>
              <w:t>Pro forma net loss available to Class A common stock per share,</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and diluted: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right="640" w:hanging="422"/>
        <w:spacing w:after="0" w:line="293"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the unaudited pro forma consolidated statement of operations in “Unaudited Pro Forma Condensed Consolidated Financial Information” for the description of the assumptions underlying the pro forma net loss per share calculations.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Historical Rani LLC</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Pro Forma Rani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Holdings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As of December 31,</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48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2"/>
                <w:szCs w:val="12"/>
                <w:color w:val="auto"/>
              </w:rPr>
            </w:pPr>
          </w:p>
        </w:tc>
        <w:tc>
          <w:tcPr>
            <w:tcW w:w="62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500" w:type="dxa"/>
            <w:vAlign w:val="bottom"/>
            <w:gridSpan w:val="2"/>
          </w:tcPr>
          <w:p>
            <w:pPr>
              <w:jc w:val="center"/>
              <w:ind w:left="424"/>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40" w:type="dxa"/>
            <w:vAlign w:val="bottom"/>
            <w:gridSpan w:val="2"/>
            <w:vMerge w:val="continue"/>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480" w:type="dxa"/>
            <w:vAlign w:val="bottom"/>
          </w:tcPr>
          <w:p>
            <w:pPr>
              <w:spacing w:after="0"/>
              <w:rPr>
                <w:sz w:val="15"/>
                <w:szCs w:val="15"/>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$ 16,536</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73,058</w:t>
            </w:r>
          </w:p>
        </w:tc>
        <w:tc>
          <w:tcPr>
            <w:tcW w:w="520" w:type="dxa"/>
            <w:vAlign w:val="bottom"/>
          </w:tcPr>
          <w:p>
            <w:pPr>
              <w:spacing w:after="0"/>
              <w:rPr>
                <w:sz w:val="17"/>
                <w:szCs w:val="17"/>
                <w:color w:val="auto"/>
              </w:rPr>
            </w:pPr>
          </w:p>
        </w:tc>
        <w:tc>
          <w:tcPr>
            <w:tcW w:w="1020" w:type="dxa"/>
            <w:vAlign w:val="bottom"/>
            <w:gridSpan w:val="2"/>
          </w:tcPr>
          <w:p>
            <w:pPr>
              <w:jc w:val="right"/>
              <w:ind w:right="848"/>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23"/>
                <w:szCs w:val="23"/>
                <w:color w:val="auto"/>
                <w:vertAlign w:val="superscript"/>
              </w:rPr>
              <w:t>(1)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69,637</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Total assets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23,022</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79,415</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Total liabilities</w:t>
            </w:r>
          </w:p>
        </w:tc>
        <w:tc>
          <w:tcPr>
            <w:tcW w:w="2000" w:type="dxa"/>
            <w:vAlign w:val="bottom"/>
            <w:gridSpan w:val="2"/>
          </w:tcPr>
          <w:p>
            <w:pPr>
              <w:jc w:val="right"/>
              <w:spacing w:after="0"/>
              <w:rPr>
                <w:sz w:val="20"/>
                <w:szCs w:val="20"/>
                <w:color w:val="auto"/>
              </w:rPr>
            </w:pPr>
            <w:r>
              <w:rPr>
                <w:rFonts w:ascii="Arial" w:cs="Arial" w:eastAsia="Arial" w:hAnsi="Arial"/>
                <w:sz w:val="16"/>
                <w:szCs w:val="16"/>
                <w:color w:val="auto"/>
              </w:rPr>
              <w:t>4,153</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units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115,505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184,714</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6"/>
                <w:szCs w:val="16"/>
                <w:color w:val="auto"/>
              </w:rPr>
              <w:t>Total members’ (deficit)/stockholders’ equity</w:t>
            </w:r>
          </w:p>
        </w:tc>
        <w:tc>
          <w:tcPr>
            <w:tcW w:w="2240" w:type="dxa"/>
            <w:vAlign w:val="bottom"/>
            <w:gridSpan w:val="3"/>
          </w:tcPr>
          <w:p>
            <w:pPr>
              <w:jc w:val="right"/>
              <w:ind w:right="180"/>
              <w:spacing w:after="0"/>
              <w:rPr>
                <w:sz w:val="20"/>
                <w:szCs w:val="20"/>
                <w:color w:val="auto"/>
              </w:rPr>
            </w:pPr>
            <w:r>
              <w:rPr>
                <w:rFonts w:ascii="Arial" w:cs="Arial" w:eastAsia="Arial" w:hAnsi="Arial"/>
                <w:sz w:val="16"/>
                <w:szCs w:val="16"/>
                <w:color w:val="auto"/>
              </w:rPr>
              <w:t>(96,636)</w:t>
            </w:r>
          </w:p>
        </w:tc>
        <w:tc>
          <w:tcPr>
            <w:tcW w:w="1500" w:type="dxa"/>
            <w:vAlign w:val="bottom"/>
            <w:gridSpan w:val="3"/>
          </w:tcPr>
          <w:p>
            <w:pPr>
              <w:jc w:val="right"/>
              <w:ind w:right="480"/>
              <w:spacing w:after="0"/>
              <w:rPr>
                <w:sz w:val="20"/>
                <w:szCs w:val="20"/>
                <w:color w:val="auto"/>
              </w:rPr>
            </w:pPr>
            <w:r>
              <w:rPr>
                <w:rFonts w:ascii="Arial" w:cs="Arial" w:eastAsia="Arial" w:hAnsi="Arial"/>
                <w:sz w:val="16"/>
                <w:szCs w:val="16"/>
                <w:color w:val="auto"/>
              </w:rPr>
              <w:t>(113,339)</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720" w:hanging="422"/>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all of the other information contained in this prospectus,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and you may lose some or all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4"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RT-105, RT-102, RT-109, RT-110, RT-108, RT-103, and RT-106,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We have incurred significant operating losses since our formation in 2012. Our net loss for the years ended December 31, 2019 and 2020 was approximately $26.6 million and $16.7 million, respectively. As of December 31, 2020, we had an accumulated deficit of $114.0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8"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approved product. Therefore, even if we are able to generate revenue from the sale of any approved product, we may never become profitable.</w:t>
      </w:r>
    </w:p>
    <w:p>
      <w:pPr>
        <w:spacing w:after="0" w:line="23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RT-105, RT-102, RT-108, RT-103, and RT-106. We plan to initiate Phase 1 clinical trials of RT-102 and RT-109 in 2022 and RT-105 and RT-110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97"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cGMP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jc w:val="both"/>
        <w:ind w:left="1420" w:right="180" w:hanging="319"/>
        <w:spacing w:after="0" w:line="263"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attract and retain key personnel with appropriate expertise and experience to manage our business effectively.</w:t>
      </w:r>
    </w:p>
    <w:p>
      <w:pPr>
        <w:spacing w:after="0" w:line="237"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4"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0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We conducted a Phase 1 clinical trial of RT-101 in healthy volunteers, conducted preclinical studies of RT-108 and RT-105, are in the process of conducting preclinical studies for RT-102, RT-109, RT-110, RT-108, RT-103, and RT-106, and are preparing to conduct Phase 1 clinical trials of RT-102 and RT-109,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Based on our current operating plan, as of April 2021,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this offering,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75"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the global credit and financial markets have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experienced extreme volatility and disruptions, including severely diminished liquidity and credit availability, 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211" w:lineRule="exact"/>
        <w:rPr>
          <w:sz w:val="20"/>
          <w:szCs w:val="20"/>
          <w:color w:val="auto"/>
        </w:rPr>
      </w:pPr>
    </w:p>
    <w:p>
      <w:pPr>
        <w:ind w:left="1420" w:right="8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29"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1"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are in the early stages of our development efforts and have only one product candidate, RT-101, in early clinical development. Our initial goal is to evaluate the safety of the RaniPill capsule, independent of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biologic, through a clinical trial conducted under an IDE. Any delays or setback in the clinical testing of the RaniPill capsule independent of any biologic, which we plan to undertake prior to submitting an IND for any of our candidates,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RT-105, RT-102, RT-109, RT-110, RT-108, RT-103, and RT-106, are still in the formulation and preclinical stages. We intend to initiate Phase 1 clinical trials for RT-102 and RT-109 in 2022 and RT-105 and RT-110 in 2023. We will need to progress these product candidates through IND-enabling studies and submit INDs to the FDA prior to initiating their clinical development. None of our product candidates have advanced into a pivotal study.</w:t>
      </w:r>
    </w:p>
    <w:p>
      <w:pPr>
        <w:spacing w:after="0" w:line="177"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11"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NDAs from the FDA, and maintaining such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52"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7"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97" w:lineRule="exact"/>
        <w:rPr>
          <w:rFonts w:ascii="Arial" w:cs="Arial" w:eastAsia="Arial" w:hAnsi="Arial"/>
          <w:sz w:val="18"/>
          <w:szCs w:val="18"/>
          <w:color w:val="auto"/>
        </w:rPr>
      </w:pPr>
    </w:p>
    <w:p>
      <w:pPr>
        <w:ind w:left="1420" w:right="40" w:hanging="319"/>
        <w:spacing w:after="0" w:line="308" w:lineRule="auto"/>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7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78"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7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11"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IRB or EC approval at each site;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ind w:left="120" w:right="400" w:firstLine="881"/>
        <w:spacing w:after="0" w:line="291" w:lineRule="auto"/>
        <w:rPr>
          <w:sz w:val="20"/>
          <w:szCs w:val="20"/>
          <w:color w:val="auto"/>
        </w:rPr>
      </w:pPr>
      <w:r>
        <w:rPr>
          <w:rFonts w:ascii="Arial" w:cs="Arial" w:eastAsia="Arial" w:hAnsi="Arial"/>
          <w:sz w:val="16"/>
          <w:szCs w:val="16"/>
          <w:color w:val="auto"/>
        </w:rPr>
        <w:t>In addition, data obtained from trials and studies are susceptible to varying interpretations, and regulators may not interpret our data as favorably as we do, which may delay, limit or prevent regulatory approval. Further, if patients drop out of our clinical trials, miss scheduled doses</w:t>
      </w:r>
    </w:p>
    <w:p>
      <w:pPr>
        <w:ind w:left="120" w:right="160"/>
        <w:spacing w:after="0" w:line="255" w:lineRule="auto"/>
        <w:rPr>
          <w:sz w:val="20"/>
          <w:szCs w:val="20"/>
          <w:color w:val="auto"/>
        </w:rPr>
      </w:pPr>
      <w:r>
        <w:rPr>
          <w:rFonts w:ascii="Arial" w:cs="Arial" w:eastAsia="Arial" w:hAnsi="Arial"/>
          <w:sz w:val="18"/>
          <w:szCs w:val="18"/>
          <w:color w:val="auto"/>
        </w:rPr>
        <w:t>or follow-up visits, or otherwise fail to follow clinical trial protocols, whether as a result of the COVID-19 pandemic, actions taken to slow the spread of COVID-19 or otherwise, the integrity of data from our clinical trials may be compromised or not accepted by the FDA or comparable foreign regulatory authorities, which would represent a significant setback for the applicable program.</w:t>
      </w:r>
    </w:p>
    <w:p>
      <w:pPr>
        <w:spacing w:after="0" w:line="190"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For the foregoing reasons, our ongoing and planned preclinical studies and clinical trials may not be successful. Any safety concerns observed in any one of our clinical trials in our targeted or contemplated biologic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indications could limit the prospects for regulatory approval of our product candidates in those and other indications, which could have an adverse effect on our business, financial condition and results of operations.</w:t>
      </w:r>
    </w:p>
    <w:p>
      <w:pPr>
        <w:spacing w:after="0" w:line="170"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RT-105, RT-102, RT-109, RT-110, RT-108, RT-103, and RT-106, are still in the formulation or preclinical stages. We intend to initiate Phase 1 clinical trials for RT-102 and RT-109 in 2022 and RT-105 and RT-110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77"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263" w:lineRule="exact"/>
        <w:rPr>
          <w:rFonts w:ascii="Arial" w:cs="Arial" w:eastAsia="Arial" w:hAnsi="Arial"/>
          <w:sz w:val="17"/>
          <w:szCs w:val="17"/>
          <w:color w:val="auto"/>
        </w:rPr>
      </w:pPr>
    </w:p>
    <w:p>
      <w:pPr>
        <w:ind w:left="1420" w:right="58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adverse effects;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420" w:right="720" w:hanging="319"/>
        <w:spacing w:after="0" w:line="286"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97" w:lineRule="exact"/>
        <w:rPr>
          <w:rFonts w:ascii="Arial" w:cs="Arial" w:eastAsia="Arial" w:hAnsi="Arial"/>
          <w:sz w:val="18"/>
          <w:szCs w:val="18"/>
          <w:color w:val="auto"/>
        </w:rPr>
      </w:pPr>
    </w:p>
    <w:p>
      <w:pPr>
        <w:ind w:left="1420" w:right="400" w:hanging="319"/>
        <w:spacing w:after="0" w:line="308"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8" w:lineRule="exact"/>
        <w:rPr>
          <w:sz w:val="20"/>
          <w:szCs w:val="20"/>
          <w:color w:val="auto"/>
        </w:rPr>
      </w:pPr>
    </w:p>
    <w:p>
      <w:pPr>
        <w:ind w:left="120" w:right="60" w:firstLine="881"/>
        <w:spacing w:after="0" w:line="289" w:lineRule="auto"/>
        <w:rPr>
          <w:sz w:val="20"/>
          <w:szCs w:val="20"/>
          <w:color w:val="auto"/>
        </w:rPr>
      </w:pPr>
      <w:r>
        <w:rPr>
          <w:rFonts w:ascii="Arial" w:cs="Arial" w:eastAsia="Arial" w:hAnsi="Arial"/>
          <w:sz w:val="16"/>
          <w:szCs w:val="16"/>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future clinical trials would result in significant delays or may require us to abandon one or more clinical trials altogether.</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8"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2"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4"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 regulatory requirements. We may face increased regulatory scrutiny and ultimately may have to abandon our product candidate of the same class, which would have an adverse effect on our business, financial condition and operations.</w:t>
      </w:r>
    </w:p>
    <w:p>
      <w:pPr>
        <w:spacing w:after="0" w:line="171"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97"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early in our development efforts for our product candidates, and we will need to successfully</w:t>
      </w:r>
    </w:p>
    <w:p>
      <w:pPr>
        <w:spacing w:after="0" w:line="23"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for RT-102 and RT-109.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identify programs that ultimately result in approved products, we may spend material amounts of our capital and other resources evaluating, acquiring and developing products that ultimately do not provide a return on our investment.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64"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clinical data on our product candidates to indicate whether they are safe or effective for long-term use in humans.</w:t>
      </w:r>
    </w:p>
    <w:p>
      <w:pPr>
        <w:spacing w:after="0" w:line="23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have limited clinical data on our product candidates and we have not conducted any studies to evaluate whether they are safe or effective for long-term use in humans, including to evaluate the safety of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degradation products that may result after the drug is injected into the intestinal wall.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87"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4"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7"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manufacturing procedures conform to cGMP regulations. As such, we and our contract manufacturers, if any, 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4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98"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214" w:lineRule="exact"/>
        <w:rPr>
          <w:sz w:val="20"/>
          <w:szCs w:val="20"/>
          <w:color w:val="auto"/>
        </w:rPr>
      </w:pPr>
    </w:p>
    <w:p>
      <w:pPr>
        <w:ind w:left="1420" w:right="10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efficacy of our product candidates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shelf-life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offer our product candidates for sale at competitive prices;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the RaniPill capsule;</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63" w:lineRule="exact"/>
        <w:rPr>
          <w:rFonts w:ascii="Arial" w:cs="Arial" w:eastAsia="Arial" w:hAnsi="Arial"/>
          <w:sz w:val="17"/>
          <w:szCs w:val="17"/>
          <w:color w:val="auto"/>
        </w:rPr>
      </w:pPr>
    </w:p>
    <w:p>
      <w:pPr>
        <w:ind w:left="1420" w:right="9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adequate reimbursement;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manufacture sufficient supply to meet patients’ demand;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 or treatments.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46"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6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187"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 blocking intellectual property to which we do not have a license, there would be a material adverse impact on the future prospects for our product candidates and business.</w:t>
      </w:r>
    </w:p>
    <w:p>
      <w:pPr>
        <w:spacing w:after="0" w:line="176"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52"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price of our products, including in comparison to branded or generic competitors;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avoid infringing on the intellectual property rights of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63" w:lineRule="exact"/>
        <w:rPr>
          <w:rFonts w:ascii="Arial" w:cs="Arial" w:eastAsia="Arial" w:hAnsi="Arial"/>
          <w:sz w:val="17"/>
          <w:szCs w:val="17"/>
          <w:color w:val="auto"/>
        </w:rPr>
      </w:pPr>
    </w:p>
    <w:p>
      <w:pPr>
        <w:ind w:left="1420" w:right="2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 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7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for the treatment of osteoporosis, for which we estimate the patient population is approximately</w:t>
      </w:r>
    </w:p>
    <w:p>
      <w:pPr>
        <w:spacing w:after="0" w:line="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10.0 million in the United States as of 2018, and RT-105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time may be required to obtain regulatory approval for our product candidates because they are combination products.</w:t>
      </w:r>
    </w:p>
    <w:p>
      <w:pPr>
        <w:spacing w:after="0" w:line="23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8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entered into evaluation agreements with Novartis Pharmaceuticals Corporation, or Novartis, Takeda and CCHN concerning the formulation and manufacture of oral versions of octreotide, Factor VIII and hGH, respectively. Such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9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204" w:lineRule="exact"/>
        <w:rPr>
          <w:sz w:val="20"/>
          <w:szCs w:val="20"/>
          <w:color w:val="auto"/>
        </w:rPr>
      </w:pPr>
    </w:p>
    <w:p>
      <w:pPr>
        <w:ind w:left="1420" w:hanging="319"/>
        <w:spacing w:after="0"/>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reductions in the payment of royalties or other payments we believe are due pursuant to the applicable collaboration arrangement;</w:t>
      </w:r>
    </w:p>
    <w:p>
      <w:pPr>
        <w:spacing w:after="0" w:line="275" w:lineRule="exact"/>
        <w:rPr>
          <w:rFonts w:ascii="Arial" w:cs="Arial" w:eastAsia="Arial" w:hAnsi="Arial"/>
          <w:sz w:val="16"/>
          <w:szCs w:val="16"/>
          <w:color w:val="auto"/>
        </w:rPr>
      </w:pPr>
    </w:p>
    <w:p>
      <w:pPr>
        <w:ind w:left="1420" w:right="76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4"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We have relied upon and plan to continue to rely upon third-party CROs to monitor and manage clinical trials and collect data during our preclinical studies and clinical programs. We rely on these parties for execution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of our preclinical studies and clinical trials, and control only certain aspects of their activities. Nevertheless, we 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4" w:lineRule="exact"/>
        <w:rPr>
          <w:sz w:val="20"/>
          <w:szCs w:val="20"/>
          <w:color w:val="auto"/>
        </w:rPr>
      </w:pPr>
    </w:p>
    <w:p>
      <w:pPr>
        <w:ind w:left="120" w:right="200" w:firstLine="881"/>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8"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24"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are likely to get lower priority than our competitors who are larger than we are. We do not have long-term supply 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6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4"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20" w:right="1300" w:hanging="319"/>
        <w:spacing w:after="0" w:line="342" w:lineRule="auto"/>
        <w:tabs>
          <w:tab w:leader="none" w:pos="14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timing, degree of success and cost of, and level of investment in, research, development, regulatory approval and commercialization activities relating to our product candidates, which may change from time to time;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9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RT-105, RT-102, RT-108, RT-103, and RT-106. We plan to initiate Phase 1 clinical trials of RT-102 and RT-109 in 2022 and RT-105 and RT-110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 and inherently uncertain process, and the regulatory authorities may delay, limit or deny approval of our product candidates for many reasons, including:</w:t>
      </w:r>
    </w:p>
    <w:p>
      <w:pPr>
        <w:spacing w:after="0" w:line="214" w:lineRule="exact"/>
        <w:rPr>
          <w:sz w:val="20"/>
          <w:szCs w:val="20"/>
          <w:color w:val="auto"/>
        </w:rPr>
      </w:pPr>
    </w:p>
    <w:p>
      <w:pPr>
        <w:ind w:left="1420" w:right="8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3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7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46"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4"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financial and internal resources are insufficient;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research methodology used may not be successful in identifying potential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uncompetitive;</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product candidates may not be accepted by patients, the medical community, healthcare providers or third-party payors.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52" w:lineRule="exact"/>
        <w:rPr>
          <w:sz w:val="20"/>
          <w:szCs w:val="20"/>
          <w:color w:val="auto"/>
        </w:rPr>
      </w:pPr>
    </w:p>
    <w:p>
      <w:pPr>
        <w:ind w:left="1420" w:right="62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63" w:lineRule="exact"/>
        <w:rPr>
          <w:rFonts w:ascii="Arial" w:cs="Arial" w:eastAsia="Arial" w:hAnsi="Arial"/>
          <w:sz w:val="17"/>
          <w:szCs w:val="17"/>
          <w:color w:val="auto"/>
        </w:rPr>
      </w:pPr>
    </w:p>
    <w:p>
      <w:pPr>
        <w:ind w:left="1420" w:right="74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4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7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25"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jc w:val="both"/>
        <w:ind w:left="120" w:right="60" w:firstLine="881"/>
        <w:spacing w:after="0" w:line="27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214" w:lineRule="exact"/>
        <w:rPr>
          <w:sz w:val="20"/>
          <w:szCs w:val="20"/>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delay or termination of 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revenue from product sales;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commercialize any our product candidates, if approved.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or API, for the biologics of our product candidates.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92" w:lineRule="exact"/>
        <w:rPr>
          <w:sz w:val="20"/>
          <w:szCs w:val="20"/>
          <w:color w:val="auto"/>
        </w:rPr>
      </w:pPr>
    </w:p>
    <w:p>
      <w:pPr>
        <w:ind w:left="120" w:right="220" w:firstLine="881"/>
        <w:spacing w:after="0" w:line="271" w:lineRule="auto"/>
        <w:rPr>
          <w:sz w:val="20"/>
          <w:szCs w:val="20"/>
          <w:color w:val="auto"/>
        </w:rPr>
      </w:pPr>
      <w:r>
        <w:rPr>
          <w:rFonts w:ascii="Arial" w:cs="Arial" w:eastAsia="Arial" w:hAnsi="Arial"/>
          <w:sz w:val="17"/>
          <w:szCs w:val="17"/>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78"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205" w:lineRule="exact"/>
        <w:rPr>
          <w:sz w:val="20"/>
          <w:szCs w:val="20"/>
          <w:color w:val="auto"/>
        </w:rPr>
      </w:pPr>
    </w:p>
    <w:p>
      <w:pPr>
        <w:ind w:left="1420" w:right="8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54" w:lineRule="auto"/>
        <w:rPr>
          <w:sz w:val="20"/>
          <w:szCs w:val="20"/>
          <w:color w:val="auto"/>
        </w:rPr>
      </w:pPr>
      <w:r>
        <w:rPr>
          <w:rFonts w:ascii="Arial" w:cs="Arial" w:eastAsia="Arial" w:hAnsi="Arial"/>
          <w:sz w:val="18"/>
          <w:szCs w:val="18"/>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222" w:lineRule="exact"/>
        <w:rPr>
          <w:sz w:val="20"/>
          <w:szCs w:val="20"/>
          <w:color w:val="auto"/>
        </w:rPr>
      </w:pPr>
    </w:p>
    <w:p>
      <w:pPr>
        <w:ind w:left="1420" w:right="40" w:hanging="319"/>
        <w:spacing w:after="0" w:line="270" w:lineRule="auto"/>
        <w:tabs>
          <w:tab w:leader="none" w:pos="1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207"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8" w:lineRule="exact"/>
        <w:rPr>
          <w:rFonts w:ascii="Arial" w:cs="Arial" w:eastAsia="Arial" w:hAnsi="Arial"/>
          <w:sz w:val="18"/>
          <w:szCs w:val="18"/>
          <w:color w:val="auto"/>
        </w:rPr>
      </w:pPr>
    </w:p>
    <w:p>
      <w:pPr>
        <w:ind w:left="1420" w:right="100" w:hanging="319"/>
        <w:spacing w:after="0" w:line="271" w:lineRule="auto"/>
        <w:tabs>
          <w:tab w:leader="none" w:pos="1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5" w:lineRule="exact"/>
        <w:rPr>
          <w:rFonts w:ascii="Arial" w:cs="Arial" w:eastAsia="Arial" w:hAnsi="Arial"/>
          <w:sz w:val="17"/>
          <w:szCs w:val="17"/>
          <w:color w:val="auto"/>
        </w:rPr>
      </w:pPr>
    </w:p>
    <w:p>
      <w:pPr>
        <w:jc w:val="both"/>
        <w:ind w:left="1420" w:right="6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spacing w:after="0" w:line="291"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93" w:lineRule="exact"/>
        <w:rPr>
          <w:sz w:val="20"/>
          <w:szCs w:val="20"/>
          <w:color w:val="auto"/>
        </w:rPr>
      </w:pPr>
    </w:p>
    <w:p>
      <w:pPr>
        <w:ind w:left="1420" w:hanging="319"/>
        <w:spacing w:after="0" w:line="290" w:lineRule="auto"/>
        <w:tabs>
          <w:tab w:leader="none" w:pos="1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203" w:lineRule="exact"/>
        <w:rPr>
          <w:sz w:val="20"/>
          <w:szCs w:val="20"/>
          <w:color w:val="auto"/>
        </w:rPr>
      </w:pPr>
    </w:p>
    <w:p>
      <w:pPr>
        <w:ind w:left="1420" w:right="20" w:hanging="319"/>
        <w:spacing w:after="0" w:line="263"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or Tax Act, included a provision that decreased the tax-based shared responsibility payment imposed by the ACA on certain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The United States Supreme Court is currently reviewing this case, although it is unclear when a decision will be made or how the Supreme Court will rule. On February 10, 2021, the Biden administration withdrew the federal government’s support for overturning the ACA. Further, although the Supreme Court has not yet ruled on the constitutionality of the ACA,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8"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9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existing senior management team, especially Mir Imran, our President and Chief Executive Officer, Mir Hashim, our Chief Scientific Officer, Svai Sanford, our Chief Financial Officer, Stephanie McGrory, our Vice President of Business Development and Talat Imran, our Vice President of Strategy.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6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As of March 31, 2021, we had 69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76"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designing and managing our clinical trials effectively;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managing our manufacturing and development efforts effectively;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controls;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1"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efforts of our collaborators and the success of our own efforts with respect to the commercialization of our products; and</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00"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4"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84"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3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214" w:lineRule="exact"/>
        <w:rPr>
          <w:sz w:val="20"/>
          <w:szCs w:val="20"/>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inability of our management to travel in connection with establishing partnerships and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disruption of our access to capital in the global financial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delays or difficulties in enrolling patients in our planned Phase 1 clinical trials of RT-102, RT-109 and our other future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63"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97" w:lineRule="exact"/>
        <w:rPr>
          <w:rFonts w:ascii="Arial" w:cs="Arial" w:eastAsia="Arial" w:hAnsi="Arial"/>
          <w:sz w:val="18"/>
          <w:szCs w:val="18"/>
          <w:color w:val="auto"/>
        </w:rPr>
      </w:pPr>
    </w:p>
    <w:p>
      <w:pPr>
        <w:jc w:val="both"/>
        <w:ind w:left="1420" w:right="12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10" w:lineRule="exact"/>
        <w:rPr>
          <w:rFonts w:ascii="Arial" w:cs="Arial" w:eastAsia="Arial" w:hAnsi="Arial"/>
          <w:sz w:val="18"/>
          <w:szCs w:val="18"/>
          <w:color w:val="auto"/>
        </w:rPr>
      </w:pPr>
    </w:p>
    <w:p>
      <w:pPr>
        <w:ind w:left="1420" w:right="20" w:hanging="319"/>
        <w:spacing w:after="0" w:line="311"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75" w:lineRule="exact"/>
        <w:rPr>
          <w:rFonts w:ascii="Arial" w:cs="Arial" w:eastAsia="Arial" w:hAnsi="Arial"/>
          <w:sz w:val="16"/>
          <w:szCs w:val="16"/>
          <w:color w:val="auto"/>
        </w:rPr>
      </w:pPr>
    </w:p>
    <w:p>
      <w:pPr>
        <w:ind w:left="1420" w:right="4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97" w:lineRule="exact"/>
        <w:rPr>
          <w:rFonts w:ascii="Arial" w:cs="Arial" w:eastAsia="Arial" w:hAnsi="Arial"/>
          <w:sz w:val="18"/>
          <w:szCs w:val="18"/>
          <w:color w:val="auto"/>
        </w:rPr>
      </w:pPr>
    </w:p>
    <w:p>
      <w:pPr>
        <w:ind w:left="1420" w:right="540" w:hanging="319"/>
        <w:spacing w:after="0" w:line="342"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interruptions or delays to our pipeline and research programs; and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8"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76"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Additionally,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7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collaborators or other contractors or consultants, may fail or suffer security breaches.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w:t>
      </w:r>
    </w:p>
    <w:p>
      <w:pPr>
        <w:spacing w:after="0" w:line="6" w:lineRule="exact"/>
        <w:rPr>
          <w:sz w:val="20"/>
          <w:szCs w:val="20"/>
          <w:color w:val="auto"/>
        </w:rPr>
      </w:pPr>
    </w:p>
    <w:p>
      <w:pPr>
        <w:jc w:val="both"/>
        <w:ind w:left="120" w:right="120"/>
        <w:spacing w:after="0" w:line="302" w:lineRule="auto"/>
        <w:rPr>
          <w:sz w:val="20"/>
          <w:szCs w:val="20"/>
          <w:color w:val="auto"/>
        </w:rPr>
      </w:pPr>
      <w:r>
        <w:rPr>
          <w:rFonts w:ascii="Arial" w:cs="Arial" w:eastAsia="Arial" w:hAnsi="Arial"/>
          <w:sz w:val="16"/>
          <w:szCs w:val="16"/>
          <w:color w:val="auto"/>
        </w:rPr>
        <w:t>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87" w:lineRule="exact"/>
        <w:rPr>
          <w:sz w:val="20"/>
          <w:szCs w:val="20"/>
          <w:color w:val="auto"/>
        </w:rPr>
      </w:pPr>
    </w:p>
    <w:p>
      <w:pPr>
        <w:ind w:left="120" w:right="580" w:firstLine="881"/>
        <w:spacing w:after="0" w:line="342"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161"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4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7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6"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 patent rights, they may be reduced or eliminated. If there are material defects in the form, preparation, prosecution or enforcement of our patents or patent applications, such patents may be invalid and/or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unenforceable, and such applications may never result in valid, enforceable patents. Any of these outcomes could impair our ability to prevent competition from third parties, which may have an adverse impact on our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8"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trademarks.</w:t>
      </w:r>
    </w:p>
    <w:p>
      <w:pPr>
        <w:spacing w:after="0" w:line="21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8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Moreover, changes in laws, or changes in interpretations of laws, may unpredictably weaken our ability to obtain, defend, or enforce our intellectual property rights. A weakened ability to obtain, defend, or enforce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2"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25" w:lineRule="exact"/>
        <w:rPr>
          <w:sz w:val="20"/>
          <w:szCs w:val="20"/>
          <w:color w:val="auto"/>
        </w:rPr>
      </w:pPr>
    </w:p>
    <w:p>
      <w:pPr>
        <w:ind w:left="120" w:right="240" w:firstLine="881"/>
        <w:spacing w:after="0" w:line="286"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700"/>
        <w:spacing w:after="0" w:line="342" w:lineRule="auto"/>
        <w:rPr>
          <w:sz w:val="20"/>
          <w:szCs w:val="20"/>
          <w:color w:val="auto"/>
        </w:rPr>
      </w:pPr>
      <w:r>
        <w:rPr>
          <w:rFonts w:ascii="Arial" w:cs="Arial" w:eastAsia="Arial" w:hAnsi="Arial"/>
          <w:sz w:val="16"/>
          <w:szCs w:val="16"/>
          <w:color w:val="auto"/>
        </w:rPr>
        <w:t>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24"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4"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6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8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87"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8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4"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70"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There is a risk that one or more of our issued European patents will be invalidated, or have its claims amended, through an opposition process. If this were to happen to one of our European patents, the corresponding national patent in each European country in which the European was validated would similarly be invalidated or have its claims amended. Invalidation or amendment could have a material adverse impact on our ability to commercialize in Europe and/or a material adverse impact on our ability to deter competition from potential competitors in Europe.</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40"/>
          </w:cols>
          <w:pgMar w:left="320" w:top="459" w:right="5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86"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However, despite our efforts to avoid infringement, we may face infringement challenges by competitors, or from non-practicing entities which purchase intellectual property assets for the purpose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6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1"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 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78"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may be subject to challenges that we or our employees, consultants, or contractors have inadvertently or otherwise used or disclosed proprietary information of our employees’ former employers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other third parties. There is no guarantee of success in defending such challenges, and if we are not successful, we may be blocked from using the technology that is the subject of the misappropriation challenge.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7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7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84"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3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Upon the closing of this offering, we will be a holding company and will have no material assets other than our ownership of LLC Interests of Rani LLC. As such, we will have no independent means of generating net sales or cash flow, and our ability to pay our taxes and operating expenses or declare and pay dividends in the future, if any, will be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w:t>
      </w:r>
    </w:p>
    <w:p>
      <w:pPr>
        <w:spacing w:after="0" w:line="17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Rani LLC and will also incur expenses related to our operations, including payments under the Tax Receivable Agreement, which we expect could be significant. See the section titled “Certain Relationships and Related Person Transactions—Tax Receivable Agreement.” Furthermore, our allocable share of Rani LLC’s net taxable income will increase over time as the Continuing LLC Owners redeem or exchange their LLC Interests for shares of our Class A common stock.</w:t>
      </w:r>
    </w:p>
    <w:p>
      <w:pPr>
        <w:spacing w:after="0" w:line="17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the section titled “Certain Relationships and Related Person Transactions—Tax Receivable Agreement.” In addition, if Rani LLC does not have sufficient funds to make distributions, our ability to declare and pay cash dividends will also be restricted or impaired. See the section titled “Risk Factors—Risks Related to this Offering and Ownership of Our Class A Common Stock” and “Dividend Policy.”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57"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Following the completion of this offering, 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See the section titled “Certain Relationships and Related Person Transactions—Rani LLC Agreement” and “Dividend Policy” for further information.</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Upon the closing of this offering, we will be a party to the Tax Receivable Agreement with the Continuing LLC Owners. Under the Tax Receivable Agreement, we will be required to make cash payments to the Continuing LLC Owners equal to 85% of the tax benefits, if any, that we are deemed to realize (calculated using certain assumptions) as a result of (i) increases in the tax basis of assets of Rani LLC resulting from (a) any future redemptions or exchanges of LLC Interests described under “Certain Relationships and Related Person Transactions—Rani LLC Agreement—LLC Interest Redemption Right,” and (b) payments under the Tax Receivable Agreement and (ii) certain other tax benefits arising from payments under the Tax Receivable Agreement. See the section titled “Certain Relationships and Related Person Transactions—Tax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 the Continuing LLC Owners could be significant.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or another tax authority may challenge all or part of the tax basis increases, as well as other related tax positions we take, and a court could sustain such challenge. The Continuing LLC Owners will not reimburse us for any payments previously made under the Tax Receivable Agreement if such basis increases or other benefits are subsequently disallowed, except that any excess payments made by us to the Continuing LLC Owners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 See the section titled “Certain Relationships and Related Person Transactions—Tax Receivable Agreement.”</w:t>
      </w:r>
    </w:p>
    <w:p>
      <w:pPr>
        <w:spacing w:after="0" w:line="16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transactions or negatively impact the value received by owners of our Class A common stock in a change of control transaction.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84"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so after the completion of this offering pursuant to a services agreement, and if we are unable to replicate or replace these functions if the services agreement is terminated, our operations could be adversely affected.</w:t>
      </w:r>
    </w:p>
    <w:p>
      <w:pPr>
        <w:spacing w:after="0" w:line="18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services agreement, which is being renewed on an annual basis. Pursuant to the services agreement, ICL will provide us certain administrative and development support services after completion of this offering. For example, we anticipate receiving from ICL certain general management, intellectual property, office and information technology services. In addition, pursuant to the services agreement, we will continue to sublease from ICL office and laboratory space encompassing approximately 22,000 square feet.</w:t>
      </w:r>
    </w:p>
    <w:p>
      <w:pPr>
        <w:spacing w:after="0" w:line="16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fees to be charged for any services rendered pursuant to the services agreement will be based upon the hours incurred by ICL employees working on behalf of Rani LLC as well as allocations of expenses based upon Rani LLC’s utilization of ICL’s facilities and equipment for the relevant period.</w:t>
      </w:r>
    </w:p>
    <w:p>
      <w:pPr>
        <w:spacing w:after="0" w:line="184"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The services agreement will renew for successive one-year terms unless sooner terminated by either party. Termination of most services requires 60 days’ notice, except for occupancy services which requires six months’ notice. In the event the services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16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services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Rani is controlled by the Continuing LLC Owners, whose interests may differ from those of our public stockholders.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Immediately following the completion of this offering and the application of net proceeds from this offering, the Original LLC Owners will control approximately % of the combined voting power of our common stock through their ownership of both Class A common stock and Class B common stock. The Original LLC Owners will, for the foreseeable future, have the ability to substantially influence us through their ownership position over corporate management and affairs, and will be able to control virtually all matters requiring stockholder approval. The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 Continuing LLC Owners may in some circumstances conflict with our interests and the interests of our other stockholders, including you. For example, the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Rani should terminate the Tax Receivable Agreement and accelerate its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obligations thereunder. In addition, the determination of future tax reporting positions and the structuring of future transactions may take into consideration the Continuing LLC Owners’ tax or other considerations, which may differ from the considerations of us or our other stockholders. See the section titled “Certain Relationships and Related Person Transactions—Tax Receivable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price or liquidity of our Class A common stock.</w:t>
      </w:r>
    </w:p>
    <w:p>
      <w:pPr>
        <w:spacing w:after="0" w:line="225" w:lineRule="exact"/>
        <w:rPr>
          <w:sz w:val="20"/>
          <w:szCs w:val="20"/>
          <w:color w:val="auto"/>
        </w:rPr>
      </w:pPr>
    </w:p>
    <w:p>
      <w:pPr>
        <w:ind w:left="120" w:right="220" w:firstLine="881"/>
        <w:spacing w:after="0" w:line="290" w:lineRule="auto"/>
        <w:rPr>
          <w:sz w:val="20"/>
          <w:szCs w:val="20"/>
          <w:color w:val="auto"/>
        </w:rPr>
      </w:pPr>
      <w:r>
        <w:rPr>
          <w:rFonts w:ascii="Arial" w:cs="Arial" w:eastAsia="Arial" w:hAnsi="Arial"/>
          <w:sz w:val="16"/>
          <w:szCs w:val="16"/>
          <w:color w:val="auto"/>
        </w:rPr>
        <w:t>The existence of dual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dual 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in control.</w:t>
      </w:r>
    </w:p>
    <w:p>
      <w:pPr>
        <w:spacing w:after="0" w:line="184"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offering, has one vote per share. All shares of our capital stock outstanding immediately prior to this offering, including all shares held by our executive officers, employees and directors, and their respective affiliates, will be reclassified into shares of our Class B common stock immediately prior to this offering.</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Upon the completion of this offering, holders of our outstanding Class B common stock will collectively hold approximately % of the voting power of our outstanding capital stock. Because of the 10-to-one voting ratio between our Class B common stock and Class A common stock, after the completion of this offering, the holders of our Class B common stock will collectively continue to control a majority of the combined voting power of our capital stock and therefore be able to control all matters submitted to our stockholders for approval so long as the shares of our Class B common stock represent at least % of all outstanding shares of our Class A common stock and Class B common stock.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Future transfers by holders of our Class B common stock will generally result in those shares converting into shares of our Class A common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stock, subject to limited exceptions, such as certain transfers effected for tax or estate planning purposes. The conversion of shares of our Class B</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common stock into shares of our Class A common stock will have the effect, over time, of increasing the relative voting power of those holders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Class B common stock who retain their shares in the long term. If, for example, Mir Imran, together with his affiliates, retains a significant portion of 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holdings of our Class B common stock for an extended period of time, he could control a significant portion of the voting power of our capital stock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foreseeable future. As a board member, Mir Imran owes a fiduciary duty to our stockholders and must act in good faith and in a manner they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reasonably believe to be in the best interests of our stockholders. As a stockholder, Mir Imran is entitled to vote his shares in his own interests,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not always be in the interests of our stockholders generally. For a description of the dual class structure, see the section titled “Description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Capital Stock.”</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Class A common stock.</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Prior to this offering there has been no market for shares of our Class A common stock or Class B common stock. Although we anticipate our Class A common stock will be approved for listing on Nasdaq, an active trading market for our shares may never develop or be sustained following the completion of this offering. The initial public offering price for our Class A common stock will be determined through negotiations with the underwriters, and the negotiated price may not be indicative of the market price of our Class A common stock after this offering. This initial public offering price may vary from the market price of our Class A common stock after the offering. The lack of an active market may impair your ability to sell your shares at the time you wish to sell them or at a price that you consider reasonable. In addition, as described further in these “Risk Factors,” a substantial percentage of our Class A common stock will continue to be held by our executive officers and existing investors (including any shares purchased in this offering), who will be subject to lock-up agreements expiring 180 days from the date of this prospectus (except that the lock-up will not apply to any shares purchased in this offering and will include other exemptions). As a result of these and other factors, you may be unable to resell your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prospectus, these factors including:</w:t>
      </w:r>
    </w:p>
    <w:p>
      <w:pPr>
        <w:spacing w:after="0" w:line="211" w:lineRule="exact"/>
        <w:rPr>
          <w:sz w:val="20"/>
          <w:szCs w:val="20"/>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adverse developments concerning Takeda, Novartis, CCHN or any of our third-party collaborators and suppliers;</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technology 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right="88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the COVID-19 pandemic;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expected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4"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As of , 2021, Mir Imran beneficially owned approximately % of the combined voting power of our Class A and Class B common stock. As a result, we will continue to be a “controlled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215" w:lineRule="exact"/>
        <w:rPr>
          <w:sz w:val="20"/>
          <w:szCs w:val="20"/>
          <w:color w:val="auto"/>
        </w:rPr>
      </w:pPr>
    </w:p>
    <w:p>
      <w:pPr>
        <w:ind w:left="5540" w:right="2380" w:hanging="4439"/>
        <w:spacing w:after="0" w:line="449" w:lineRule="auto"/>
        <w:tabs>
          <w:tab w:leader="none" w:pos="14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 82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252" w:lineRule="exact"/>
        <w:rPr>
          <w:rFonts w:ascii="Arial" w:cs="Arial" w:eastAsia="Arial" w:hAnsi="Arial"/>
          <w:sz w:val="18"/>
          <w:szCs w:val="18"/>
          <w:color w:val="auto"/>
        </w:rPr>
      </w:pPr>
    </w:p>
    <w:p>
      <w:pPr>
        <w:ind w:left="1420" w:right="1500" w:hanging="319"/>
        <w:spacing w:after="0" w:line="308" w:lineRule="auto"/>
        <w:tabs>
          <w:tab w:leader="none" w:pos="1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6"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5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initial public offering price of our Class A common stock will be substantially higher than the pro forma net tangible book value per share of our Class A common stock immediately after this offering. If you purchase shares of our Class A common stock in this offering, you will suffer</w:t>
      </w:r>
    </w:p>
    <w:p>
      <w:pPr>
        <w:ind w:left="120"/>
        <w:spacing w:after="0" w:line="252" w:lineRule="auto"/>
        <w:rPr>
          <w:sz w:val="20"/>
          <w:szCs w:val="20"/>
          <w:color w:val="auto"/>
        </w:rPr>
      </w:pPr>
      <w:r>
        <w:rPr>
          <w:rFonts w:ascii="Arial" w:cs="Arial" w:eastAsia="Arial" w:hAnsi="Arial"/>
          <w:sz w:val="18"/>
          <w:szCs w:val="18"/>
          <w:color w:val="auto"/>
        </w:rPr>
        <w:t>immediate dilution of $ per share, or $ per share if the underwriters exercise in full their option to purchase additional shares of Class A common stock, representing the difference between our pro forma as adjusted net tangible book value per share after giving effect to the sale of Class A common stock in this offering. To the extent outstanding warrants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titled “Dilution.”</w:t>
      </w:r>
    </w:p>
    <w:p>
      <w:pPr>
        <w:spacing w:after="0" w:line="19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invest or spend the proceeds in ways with which you do not agree and in ways that may not yield a return.</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will have broad discretion over the use of the net proceeds from this offering. Investors may not agree with our decisions, and our use of the net proceeds may not yield any return on your investment. We currently intend to use the net proceeds from this offering to (i) advance our internal pipeline, (ii) advance manufacturing scale-up and automation, (iii) repay outstanding PPP Loan with Comerica Bank, (iv) advance research and development programs, and the remainder will be used for working capital and general corporate purposes. Our failure to apply the net proceeds from this offering effectively could impair our ability to pursue our growth strategy or could require us to raise additional capital. In addition, pending their use, the net proceeds of this offering may be placed in investments that do not produce income or that may lose value. If we do not invest or apply the net proceeds from this offering in ways that enhance stockholder value, we may fail to achieve expected financial results, which could cause our stock price to decline.</w:t>
      </w:r>
    </w:p>
    <w:p>
      <w:pPr>
        <w:spacing w:after="0" w:line="192"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6"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211" w:lineRule="exact"/>
        <w:rPr>
          <w:sz w:val="20"/>
          <w:szCs w:val="20"/>
          <w:color w:val="auto"/>
        </w:rPr>
      </w:pPr>
    </w:p>
    <w:p>
      <w:pPr>
        <w:ind w:left="1420" w:hanging="319"/>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5540" w:right="4140" w:hanging="4439"/>
        <w:spacing w:after="0" w:line="449" w:lineRule="auto"/>
        <w:tabs>
          <w:tab w:leader="none" w:pos="1431" w:val="left"/>
        </w:tabs>
        <w:numPr>
          <w:ilvl w:val="0"/>
          <w:numId w:val="62"/>
        </w:numPr>
        <w:rPr>
          <w:rFonts w:ascii="Arial" w:cs="Arial" w:eastAsia="Arial" w:hAnsi="Arial"/>
          <w:sz w:val="18"/>
          <w:szCs w:val="18"/>
          <w:color w:val="auto"/>
        </w:rPr>
      </w:pPr>
      <w:r>
        <w:rPr>
          <w:rFonts w:ascii="Arial" w:cs="Arial" w:eastAsia="Arial" w:hAnsi="Arial"/>
          <w:sz w:val="18"/>
          <w:szCs w:val="18"/>
          <w:color w:val="auto"/>
        </w:rPr>
        <w:t>volatility with respect to the financial reporting related to such arrangements; 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assumption of indebtedness or contingent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issuance of our equity securities which would result in dilution to our stockholders;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63" w:lineRule="exact"/>
        <w:rPr>
          <w:rFonts w:ascii="Arial" w:cs="Arial" w:eastAsia="Arial" w:hAnsi="Arial"/>
          <w:sz w:val="17"/>
          <w:szCs w:val="17"/>
          <w:color w:val="auto"/>
        </w:rPr>
      </w:pPr>
    </w:p>
    <w:p>
      <w:pPr>
        <w:ind w:left="1420" w:right="34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6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Sales and issuances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87" w:lineRule="exact"/>
        <w:rPr>
          <w:sz w:val="20"/>
          <w:szCs w:val="20"/>
          <w:color w:val="auto"/>
        </w:rPr>
      </w:pPr>
    </w:p>
    <w:p>
      <w:pPr>
        <w:ind w:left="120" w:right="120" w:firstLine="881"/>
        <w:spacing w:after="0" w:line="274" w:lineRule="auto"/>
        <w:rPr>
          <w:sz w:val="20"/>
          <w:szCs w:val="20"/>
          <w:color w:val="auto"/>
        </w:rPr>
      </w:pPr>
      <w:r>
        <w:rPr>
          <w:rFonts w:ascii="Arial" w:cs="Arial" w:eastAsia="Arial" w:hAnsi="Arial"/>
          <w:sz w:val="17"/>
          <w:szCs w:val="17"/>
          <w:color w:val="auto"/>
        </w:rPr>
        <w:t>Based on shares of Class A common stock outstanding as of , upon the closing of this offering, we will have outstanding a total of shares of Class A common stock. Of these shares, only the shares of Class A common stock sold in this offering by us, plus any shares sold</w:t>
      </w:r>
    </w:p>
    <w:p>
      <w:pPr>
        <w:ind w:left="120" w:right="420"/>
        <w:spacing w:after="0" w:line="260" w:lineRule="auto"/>
        <w:rPr>
          <w:sz w:val="20"/>
          <w:szCs w:val="20"/>
          <w:color w:val="auto"/>
        </w:rPr>
      </w:pPr>
      <w:r>
        <w:rPr>
          <w:rFonts w:ascii="Arial" w:cs="Arial" w:eastAsia="Arial" w:hAnsi="Arial"/>
          <w:sz w:val="18"/>
          <w:szCs w:val="18"/>
          <w:color w:val="auto"/>
        </w:rPr>
        <w:t>upon exercise of the underwriters’ option to purchase additional shares, will be freely tradable without restriction in the public market immediately following the completion of this offering.</w:t>
      </w:r>
    </w:p>
    <w:p>
      <w:pPr>
        <w:spacing w:after="0" w:line="185" w:lineRule="exact"/>
        <w:rPr>
          <w:sz w:val="20"/>
          <w:szCs w:val="20"/>
          <w:color w:val="auto"/>
        </w:rPr>
      </w:pPr>
    </w:p>
    <w:p>
      <w:pPr>
        <w:ind w:left="120" w:right="200" w:firstLine="881"/>
        <w:spacing w:after="0" w:line="285" w:lineRule="auto"/>
        <w:rPr>
          <w:sz w:val="20"/>
          <w:szCs w:val="20"/>
          <w:color w:val="auto"/>
        </w:rPr>
      </w:pPr>
      <w:r>
        <w:rPr>
          <w:rFonts w:ascii="Arial" w:cs="Arial" w:eastAsia="Arial" w:hAnsi="Arial"/>
          <w:sz w:val="16"/>
          <w:szCs w:val="16"/>
          <w:color w:val="auto"/>
        </w:rPr>
        <w:t>In addition, all of our executive officers and directors and the holders of substantially all of our equity securities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the date of this prospectus, subject to specified exceptions. BofA Securities, Inc., Stifel, Nicolaus &amp; Company, Incorporated, Cantor Fitzgerald &amp; Co. and Canaccord Genuity LLC may, in their discretion, permit our stockholders who are subject to these lock-up agreements to sell shares prior to the expiration of the lock-up agreements.</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Upon the expiration of the lock-up period, of such shares will be eligible for sale as described in the section of this prospectus titled “Shares Eligible for Future Sale.”</w:t>
      </w:r>
    </w:p>
    <w:p>
      <w:pPr>
        <w:spacing w:after="0" w:line="185"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0"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After this offering, the holders of shares of our Class A common stock will be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8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120" w:right="480" w:firstLine="881"/>
        <w:spacing w:after="0" w:line="274" w:lineRule="auto"/>
        <w:rPr>
          <w:sz w:val="20"/>
          <w:szCs w:val="20"/>
          <w:color w:val="auto"/>
        </w:rPr>
      </w:pPr>
      <w:r>
        <w:rPr>
          <w:rFonts w:ascii="Arial" w:cs="Arial" w:eastAsia="Arial" w:hAnsi="Arial"/>
          <w:sz w:val="17"/>
          <w:szCs w:val="17"/>
          <w:color w:val="auto"/>
        </w:rPr>
        <w:t>As of , our executive officers, directors, holders of 5% or more of our capital stock and their respective affiliates beneficially owned approximately % of our stock and, upon the closing of this offering, assuming the purchase of $ million of shares of our Class A</w:t>
      </w:r>
    </w:p>
    <w:p>
      <w:pPr>
        <w:ind w:left="120"/>
        <w:spacing w:after="0"/>
        <w:rPr>
          <w:sz w:val="20"/>
          <w:szCs w:val="20"/>
          <w:color w:val="auto"/>
        </w:rPr>
      </w:pPr>
      <w:r>
        <w:rPr>
          <w:rFonts w:ascii="Arial" w:cs="Arial" w:eastAsia="Arial" w:hAnsi="Arial"/>
          <w:sz w:val="16"/>
          <w:szCs w:val="16"/>
          <w:color w:val="auto"/>
        </w:rPr>
        <w:t>common stock by entities affiliated with certain of our existing stockholders and directors who have indicated an interest in purchasing such shares in</w:t>
      </w:r>
    </w:p>
    <w:p>
      <w:pPr>
        <w:spacing w:after="0" w:line="3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this offering (or shares at an assumed initial public offering price of $ per share) that same group will hold approximately % of our outstanding stock. Therefore, even after this offering these stockholders will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7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170" w:lineRule="exact"/>
        <w:rPr>
          <w:sz w:val="20"/>
          <w:szCs w:val="20"/>
          <w:color w:val="auto"/>
        </w:rPr>
      </w:pPr>
    </w:p>
    <w:p>
      <w:pPr>
        <w:ind w:left="1000"/>
        <w:spacing w:after="0"/>
        <w:tabs>
          <w:tab w:leader="none" w:pos="6480" w:val="left"/>
        </w:tabs>
        <w:rPr>
          <w:sz w:val="20"/>
          <w:szCs w:val="20"/>
          <w:color w:val="auto"/>
        </w:rPr>
      </w:pPr>
      <w:r>
        <w:rPr>
          <w:rFonts w:ascii="Arial" w:cs="Arial" w:eastAsia="Arial" w:hAnsi="Arial"/>
          <w:sz w:val="18"/>
          <w:szCs w:val="18"/>
          <w:color w:val="auto"/>
        </w:rPr>
        <w:t>Based on the number of shares of common stock outstanding as of</w:t>
      </w:r>
      <w:r>
        <w:rPr>
          <w:sz w:val="20"/>
          <w:szCs w:val="20"/>
          <w:color w:val="auto"/>
        </w:rPr>
        <w:tab/>
      </w:r>
      <w:r>
        <w:rPr>
          <w:rFonts w:ascii="Arial" w:cs="Arial" w:eastAsia="Arial" w:hAnsi="Arial"/>
          <w:sz w:val="16"/>
          <w:szCs w:val="16"/>
          <w:color w:val="auto"/>
        </w:rPr>
        <w:t>and including the shares to be sold in this offering,</w:t>
      </w:r>
    </w:p>
    <w:p>
      <w:pPr>
        <w:spacing w:after="0" w:line="23" w:lineRule="exact"/>
        <w:rPr>
          <w:sz w:val="20"/>
          <w:szCs w:val="20"/>
          <w:color w:val="auto"/>
        </w:rPr>
      </w:pPr>
    </w:p>
    <w:p>
      <w:pPr>
        <w:ind w:left="120"/>
        <w:spacing w:after="0"/>
        <w:tabs>
          <w:tab w:leader="none" w:pos="8900" w:val="left"/>
        </w:tabs>
        <w:rPr>
          <w:sz w:val="20"/>
          <w:szCs w:val="20"/>
          <w:color w:val="auto"/>
        </w:rPr>
      </w:pPr>
      <w:r>
        <w:rPr>
          <w:rFonts w:ascii="Arial" w:cs="Arial" w:eastAsia="Arial" w:hAnsi="Arial"/>
          <w:sz w:val="18"/>
          <w:szCs w:val="18"/>
          <w:color w:val="auto"/>
        </w:rPr>
        <w:t>shares of Class B common stock issuable upon the automatic conversion of our preferred units outstanding as of</w:t>
      </w:r>
      <w:r>
        <w:rPr>
          <w:sz w:val="20"/>
          <w:szCs w:val="20"/>
          <w:color w:val="auto"/>
        </w:rPr>
        <w:tab/>
      </w:r>
      <w:r>
        <w:rPr>
          <w:rFonts w:ascii="Arial" w:cs="Arial" w:eastAsia="Arial" w:hAnsi="Arial"/>
          <w:sz w:val="15"/>
          <w:szCs w:val="15"/>
          <w:color w:val="auto"/>
        </w:rPr>
        <w:t>into an equal number of shares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our Class B common stock upon the closing of this offering, upon the closing of this offering, our executive officers, directors and current beneficial</w:t>
      </w:r>
    </w:p>
    <w:p>
      <w:pPr>
        <w:spacing w:after="0" w:line="32"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owners of 5% or more of our common stock will, in the aggregate, beneficially own approximately % of our Class A common stock (assuming the underwriters do not exercise in full their option to purchase additional shares of Class A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76"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Some of these persons or entities may have interests different than those of investors purchasing shares in this offering.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8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discretion of our board of directors and may be restricted by the terms of any then-current debt instruments. Accordingly, investors must rely on sales of their Class A common stock after price appreciation, which may never occur, as the only way to realize any future gains on their investments.</w:t>
      </w:r>
    </w:p>
    <w:p>
      <w:pPr>
        <w:spacing w:after="0" w:line="12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Because we are incorporated in Delaware, we are governed by the provisions of Section 203 of the Delaware 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Likewise, because our principal executive offices are located in California, the anti-takeover provisions of the California Corporations Code may apply to us under certain circumstances now or in the future. See the section of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prospectus titled “Description of Capital Stock—Anti-Takeover Effects of Certain Provisions of Delaware Law, Our Amended and Restated Certificate of Incorporation and Our Amended and Restated Bylaws” for additional information.</w:t>
      </w:r>
    </w:p>
    <w:p>
      <w:pPr>
        <w:spacing w:after="0" w:line="170"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0"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no longer an emerging growth company. We may take advantage of certain of the scaled disclosures available to smaller reporting companies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be able to take advantage of these scaled disclosures for so long as our voting and non-voting common stock held by non-affiliates is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 million measured on the last business day of our second fiscal quarter, or our annual revenue is less than $100.0 million during the most recently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fiscal year and our voting and non-voting common stock held by non-affiliates is less than $700.0 million measured on the last business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second fiscal quarter.</w:t>
      </w:r>
    </w:p>
    <w:p>
      <w:pPr>
        <w:spacing w:after="0" w:line="211"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left="120" w:right="220"/>
        <w:spacing w:after="0" w:line="381" w:lineRule="auto"/>
        <w:rPr>
          <w:sz w:val="20"/>
          <w:szCs w:val="20"/>
          <w:color w:val="auto"/>
        </w:rPr>
      </w:pPr>
      <w:r>
        <w:rPr>
          <w:rFonts w:ascii="Arial" w:cs="Arial" w:eastAsia="Arial" w:hAnsi="Arial"/>
          <w:sz w:val="15"/>
          <w:szCs w:val="15"/>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00"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Our amended and restated certificate of incorporation that will be in effect immediately following the closing of this offering and amended and restated bylaws that will be in effect immediately prior to the closing of this offering, contain provisions that could delay or prevent a change of control of our company or changes in our board of directors that our stockholders might consider favorable. Some of these provisions include:</w:t>
      </w:r>
    </w:p>
    <w:p>
      <w:pPr>
        <w:spacing w:after="0" w:line="176" w:lineRule="exact"/>
        <w:rPr>
          <w:sz w:val="20"/>
          <w:szCs w:val="20"/>
          <w:color w:val="auto"/>
        </w:rPr>
      </w:pPr>
    </w:p>
    <w:p>
      <w:pPr>
        <w:ind w:left="1420" w:right="50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97"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w:t>
      </w:r>
    </w:p>
    <w:p>
      <w:pPr>
        <w:spacing w:after="0" w:line="197" w:lineRule="exact"/>
        <w:rPr>
          <w:rFonts w:ascii="Arial" w:cs="Arial" w:eastAsia="Arial" w:hAnsi="Arial"/>
          <w:sz w:val="18"/>
          <w:szCs w:val="18"/>
          <w:color w:val="auto"/>
        </w:rPr>
      </w:pPr>
    </w:p>
    <w:p>
      <w:pPr>
        <w:ind w:left="1420" w:right="440" w:hanging="319"/>
        <w:spacing w:after="0" w:line="342" w:lineRule="auto"/>
        <w:tabs>
          <w:tab w:leader="none" w:pos="14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described above.</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7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 in effect immediately following the closing of this offering and amended and restated bylaws that will be in effect immediately prior to the closing of this offering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8"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will be the sole and exclusive forum for the following types of actions or proceedings under Delaware statutory or common law: (1) any 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6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32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92"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 critical accounting policies change or if actual circumstances differ from our assumptions, estimates 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judgments, our operating results may be adversely affected and could fall below our publicly announced guidance or the expectations of securities analysts and investors, resulting in a decline in the market price of our Class A common stock.</w:t>
      </w:r>
    </w:p>
    <w:p>
      <w:pPr>
        <w:spacing w:after="0" w:line="170"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211" w:lineRule="exact"/>
        <w:rPr>
          <w:sz w:val="20"/>
          <w:szCs w:val="20"/>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 effects of equity-based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If, after listing,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your ability to sell or purchase our Class A common stock when you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16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recipients in the public or private sector. We may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engage third parties outside of the United States to sell our test kits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8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49" w:lineRule="exact"/>
        <w:rPr>
          <w:sz w:val="20"/>
          <w:szCs w:val="20"/>
          <w:color w:val="auto"/>
        </w:rPr>
      </w:pPr>
    </w:p>
    <w:p>
      <w:pPr>
        <w:ind w:left="120" w:right="260" w:firstLine="881"/>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following our initial public offering.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64"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include, but are not limited to, statements about:</w:t>
      </w:r>
    </w:p>
    <w:p>
      <w:pPr>
        <w:spacing w:after="0" w:line="192" w:lineRule="exact"/>
        <w:rPr>
          <w:sz w:val="20"/>
          <w:szCs w:val="20"/>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40"/>
          </w:cols>
          <w:pgMar w:left="320" w:top="459" w:right="5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expectations regarding the timing and consummation of the Organizational Transactions;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1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40"/>
          </w:cols>
          <w:pgMar w:left="320" w:top="459" w:right="6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5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6980" w:type="dxa"/>
            <w:vAlign w:val="bottom"/>
            <w:gridSpan w:val="3"/>
          </w:tcPr>
          <w:p>
            <w:pPr>
              <w:ind w:left="108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6160" w:type="dxa"/>
            <w:vAlign w:val="bottom"/>
            <w:gridSpan w:val="4"/>
          </w:tcPr>
          <w:p>
            <w:pPr>
              <w:ind w:left="1000"/>
              <w:spacing w:after="0"/>
              <w:rPr>
                <w:sz w:val="20"/>
                <w:szCs w:val="20"/>
                <w:color w:val="auto"/>
              </w:rPr>
            </w:pPr>
            <w:r>
              <w:rPr>
                <w:rFonts w:ascii="Arial" w:cs="Arial" w:eastAsia="Arial" w:hAnsi="Arial"/>
                <w:sz w:val="18"/>
                <w:szCs w:val="18"/>
                <w:color w:val="auto"/>
                <w:w w:val="93"/>
              </w:rPr>
              <w:t>We estimate, based upon an assumed initial public offering price of $</w:t>
            </w:r>
          </w:p>
        </w:tc>
        <w:tc>
          <w:tcPr>
            <w:tcW w:w="4520" w:type="dxa"/>
            <w:vAlign w:val="bottom"/>
          </w:tcPr>
          <w:p>
            <w:pPr>
              <w:ind w:left="180"/>
              <w:spacing w:after="0"/>
              <w:rPr>
                <w:sz w:val="20"/>
                <w:szCs w:val="20"/>
                <w:color w:val="auto"/>
              </w:rPr>
            </w:pPr>
            <w:r>
              <w:rPr>
                <w:rFonts w:ascii="Arial" w:cs="Arial" w:eastAsia="Arial" w:hAnsi="Arial"/>
                <w:sz w:val="18"/>
                <w:szCs w:val="18"/>
                <w:color w:val="auto"/>
                <w:w w:val="91"/>
              </w:rPr>
              <w:t>per share of our Class A common stock, we will receive net</w:t>
            </w:r>
          </w:p>
        </w:tc>
      </w:tr>
      <w:tr>
        <w:trPr>
          <w:trHeight w:val="230"/>
        </w:trPr>
        <w:tc>
          <w:tcPr>
            <w:tcW w:w="3700" w:type="dxa"/>
            <w:vAlign w:val="bottom"/>
            <w:gridSpan w:val="2"/>
          </w:tcPr>
          <w:p>
            <w:pPr>
              <w:ind w:left="120"/>
              <w:spacing w:after="0"/>
              <w:rPr>
                <w:sz w:val="20"/>
                <w:szCs w:val="20"/>
                <w:color w:val="auto"/>
              </w:rPr>
            </w:pPr>
            <w:r>
              <w:rPr>
                <w:rFonts w:ascii="Arial" w:cs="Arial" w:eastAsia="Arial" w:hAnsi="Arial"/>
                <w:sz w:val="18"/>
                <w:szCs w:val="18"/>
                <w:color w:val="auto"/>
                <w:w w:val="97"/>
              </w:rPr>
              <w:t>proceeds from this offering of approximately $</w:t>
            </w:r>
          </w:p>
        </w:tc>
        <w:tc>
          <w:tcPr>
            <w:tcW w:w="128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w w:val="92"/>
              </w:rPr>
              <w:t>million if the underwriters exercise in full their option to purchase additional</w:t>
            </w:r>
          </w:p>
        </w:tc>
      </w:tr>
    </w:tbl>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Class A common stock, after deducting the underwriting discounts and commissions and estimated offering expenses payable by us.</w:t>
      </w:r>
    </w:p>
    <w:p>
      <w:pPr>
        <w:spacing w:after="0" w:line="222"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We intend to use the net proceeds to us from this offering to purchase newly issued LLC Interests (or LLC Interests if the underwriters exercise in full their option to purchase additional shares of Class A common stock) directly from Rani LLC at a purchase price per LLC Interest equal to the initial public offering price per share of Class A common stock less the underwriting discounts and commissions.</w:t>
      </w:r>
    </w:p>
    <w:p>
      <w:pPr>
        <w:spacing w:after="0" w:line="165" w:lineRule="exact"/>
        <w:rPr>
          <w:sz w:val="20"/>
          <w:szCs w:val="20"/>
          <w:color w:val="auto"/>
        </w:rPr>
      </w:pPr>
    </w:p>
    <w:p>
      <w:pPr>
        <w:ind w:left="120" w:right="200" w:firstLine="881"/>
        <w:spacing w:after="0" w:line="291" w:lineRule="auto"/>
        <w:rPr>
          <w:sz w:val="20"/>
          <w:szCs w:val="20"/>
          <w:color w:val="auto"/>
        </w:rPr>
      </w:pPr>
      <w:r>
        <w:rPr>
          <w:rFonts w:ascii="Arial" w:cs="Arial" w:eastAsia="Arial" w:hAnsi="Arial"/>
          <w:sz w:val="16"/>
          <w:szCs w:val="16"/>
          <w:color w:val="auto"/>
        </w:rPr>
        <w:t>We intend to cause Rani LLC to use such proceeds (together with any additional proceeds it may receive if the underwriters exercise their option to purchase additional shares of Class A common stock), after deducting estimated offering expenses, (i) to advance its internal pipeline,</w:t>
      </w:r>
    </w:p>
    <w:p>
      <w:pPr>
        <w:ind w:left="120" w:right="360" w:hanging="4"/>
        <w:spacing w:after="0" w:line="260" w:lineRule="auto"/>
        <w:tabs>
          <w:tab w:leader="none" w:pos="3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advance manufacturing scale-up and automation, (iii) repay outstanding PPP Loan with Comerica Bank, (iv) advance research and development programs and (v) for working capital and other general corporate purposes.</w:t>
      </w:r>
    </w:p>
    <w:p>
      <w:pPr>
        <w:spacing w:after="0" w:line="18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Assuming the underwriters do not exercise in full their option to purchase additional shares of Class A common stock, each $1.00 increase or decrease in the assumed initial public offering price of $ per share (which is the midpoint of the estimated public offering price range set forth on</w:t>
      </w:r>
    </w:p>
    <w:p>
      <w:pPr>
        <w:ind w:left="120"/>
        <w:spacing w:after="0" w:line="255" w:lineRule="auto"/>
        <w:rPr>
          <w:sz w:val="20"/>
          <w:szCs w:val="20"/>
          <w:color w:val="auto"/>
        </w:rPr>
      </w:pPr>
      <w:r>
        <w:rPr>
          <w:rFonts w:ascii="Arial" w:cs="Arial" w:eastAsia="Arial" w:hAnsi="Arial"/>
          <w:sz w:val="18"/>
          <w:szCs w:val="18"/>
          <w:color w:val="auto"/>
        </w:rPr>
        <w:t>the cover page of this prospectus) would increase or decrease the net proceeds to us from this offering by approximately $ million, assuming the number of shares of Class A common stock offered, as set forth on the cover page of this prospectus, remains the same, and after deducting underwriting discounts and commissions and estimated offering expenses payable by us.</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Each 1,000,000 increase or decrease in the number of shares of Class A common stock offered in this offering would increase or decrease</w:t>
      </w:r>
    </w:p>
    <w:p>
      <w:pPr>
        <w:spacing w:after="0" w:line="46" w:lineRule="exact"/>
        <w:rPr>
          <w:sz w:val="20"/>
          <w:szCs w:val="20"/>
          <w:color w:val="auto"/>
        </w:rPr>
      </w:pPr>
    </w:p>
    <w:p>
      <w:pPr>
        <w:ind w:left="120"/>
        <w:spacing w:after="0"/>
        <w:tabs>
          <w:tab w:leader="none" w:pos="4820" w:val="left"/>
        </w:tabs>
        <w:rPr>
          <w:sz w:val="20"/>
          <w:szCs w:val="20"/>
          <w:color w:val="auto"/>
        </w:rPr>
      </w:pPr>
      <w:r>
        <w:rPr>
          <w:rFonts w:ascii="Arial" w:cs="Arial" w:eastAsia="Arial" w:hAnsi="Arial"/>
          <w:sz w:val="18"/>
          <w:szCs w:val="18"/>
          <w:color w:val="auto"/>
        </w:rPr>
        <w:t>the net proceeds to us from this offering by approximately $</w:t>
      </w:r>
      <w:r>
        <w:rPr>
          <w:sz w:val="20"/>
          <w:szCs w:val="20"/>
          <w:color w:val="auto"/>
        </w:rPr>
        <w:tab/>
      </w:r>
      <w:r>
        <w:rPr>
          <w:rFonts w:ascii="Arial" w:cs="Arial" w:eastAsia="Arial" w:hAnsi="Arial"/>
          <w:sz w:val="16"/>
          <w:szCs w:val="16"/>
          <w:color w:val="auto"/>
        </w:rPr>
        <w:t>million, assuming that the initial public offering price per share for the offering</w:t>
      </w:r>
    </w:p>
    <w:p>
      <w:pPr>
        <w:spacing w:after="0" w:line="9" w:lineRule="exact"/>
        <w:rPr>
          <w:sz w:val="20"/>
          <w:szCs w:val="20"/>
          <w:color w:val="auto"/>
        </w:rPr>
      </w:pPr>
    </w:p>
    <w:p>
      <w:pPr>
        <w:ind w:left="120"/>
        <w:spacing w:after="0"/>
        <w:tabs>
          <w:tab w:leader="none" w:pos="1380" w:val="left"/>
        </w:tabs>
        <w:rPr>
          <w:sz w:val="20"/>
          <w:szCs w:val="20"/>
          <w:color w:val="auto"/>
        </w:rPr>
      </w:pPr>
      <w:r>
        <w:rPr>
          <w:rFonts w:ascii="Arial" w:cs="Arial" w:eastAsia="Arial" w:hAnsi="Arial"/>
          <w:sz w:val="18"/>
          <w:szCs w:val="18"/>
          <w:color w:val="auto"/>
        </w:rPr>
        <w:t>remains at $</w:t>
      </w:r>
      <w:r>
        <w:rPr>
          <w:sz w:val="20"/>
          <w:szCs w:val="20"/>
          <w:color w:val="auto"/>
        </w:rPr>
        <w:tab/>
      </w:r>
      <w:r>
        <w:rPr>
          <w:rFonts w:ascii="Arial" w:cs="Arial" w:eastAsia="Arial" w:hAnsi="Arial"/>
          <w:sz w:val="16"/>
          <w:szCs w:val="16"/>
          <w:color w:val="auto"/>
        </w:rPr>
        <w:t>, and after deducting the underwriting discounts and commissions and estimated offering expenses payable by us.</w:t>
      </w:r>
    </w:p>
    <w:p>
      <w:pPr>
        <w:spacing w:after="0" w:line="21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for the net proceeds to be received upon the completion of this offering, our management will have broad discretion over the use of any net proceeds from this offering that are to be applied for general corporate purposes. Pending the use of the proceeds from this offering, we intend to invest the net proceeds in short-term, interest-bearing, investment grade securities, certificates of deposit or governmental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46"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If we decide to pay cash dividends in the future, the declaration and payment of such dividends will be at the sole discretion of our board of directors and may be discontinued at any time. Holders of our Class B common stock are not entitled to participate in any dividends declared by our board of directors. In determining the amount of any future dividends, our board of directors will take into account any legal or contractual limitations, our actual and anticipated future earnings, cash flow, debt service and capital requirements and other factors that our board of directors may deem relevant.</w:t>
      </w:r>
    </w:p>
    <w:p>
      <w:pPr>
        <w:spacing w:after="0" w:line="17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Upon the completion of this offering, Rani Holdings will be a holding company and will have no material assets other than its ownership of LLC Interests. The limited liability company agreement of Rani LLC that will be in effect at the time of this offering provides that certain distributions intended to cover the taxes of the Continuing LLC Owners will be made based upon assumed tax rates and other assumptions provided in the Rani LLC Agreement. See the section titled “Certain Relationships and Related Person Transactions—Rani LLC Agreement.” Additionally, in the event Rani Holdings declares any cash dividends, we intend to cause Rani LLC to make distributions to Rani Holdings in an amount sufficient to cover such cash dividends declared by us. If Rani LLC makes such distributions to Rani Holdings, the Continuing LLC Owners will also be entitled to receive the respective equivalent pro rata distributions in accordance with the percentages of their respective LLC Interests. See the section titled “Risk Factors— Risks Related to Our Organizational Structure”. To the extent that the tax distributions we receive exceed the amounts we actually require to pay taxes, Tax Receivable Agreement payments, and other expenses, we will not be required to distribute such excess cash. Our principal asset after the completion of this offering will be our interest in Rani LLC, and, accordingly, we will depend on distributions from Rani LLC to pay our taxes and expenses, including payments under the Tax Receivable Agreement. Rani LLC’s ability to make such distributions may be subject to various limitations and restrictions.</w:t>
      </w:r>
    </w:p>
    <w:p>
      <w:pPr>
        <w:spacing w:after="0" w:line="17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In addition, Rani LLC is generally prohibited under Delaware law from making a distribution to a member to the extent that, at the time of the distribution, after giving effect to the distribution, liabilities of Rani LLC (with certain exceptions) exceed the fair value of its assets. Rani LLC’s subsidiary is generally subject to similar legal limitations on its ability to make distributions to Rani LLC.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ORGANIZATIONAL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Existing Organization</w:t>
      </w:r>
    </w:p>
    <w:p>
      <w:pPr>
        <w:spacing w:after="0" w:line="229"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Prior to the completion of this offering and the Organizational Transactions described below, the Former LLC Owners and the Continuing LLC Owners, or the Original LLC Owners, were the only owners of Rani LLC. Rani LLC is treated as a partnership for U.S. federal income tax purposes and, as such, generally is not subject to any U.S. federal entity-level income taxes (with the exception of its subsidiary, which is subject to entity-level income taxes). Rather, taxable income or loss is included in the U.S. federal income tax returns of Rani LLC’s members.</w:t>
      </w:r>
    </w:p>
    <w:p>
      <w:pPr>
        <w:spacing w:after="0" w:line="15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Rani Holdings was incorporated as a Delaware corporation on April 6, 2021 and is the issuer of the Class A common stock being offered in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“Organizational Transactions”:</w:t>
      </w:r>
    </w:p>
    <w:p>
      <w:pPr>
        <w:spacing w:after="0" w:line="197" w:lineRule="exact"/>
        <w:rPr>
          <w:sz w:val="20"/>
          <w:szCs w:val="20"/>
          <w:color w:val="auto"/>
        </w:rPr>
      </w:pPr>
    </w:p>
    <w:p>
      <w:pPr>
        <w:ind w:left="1420" w:right="260" w:hanging="319"/>
        <w:spacing w:after="0" w:line="263"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amend and restate the Rani LLC Agreement, effective as of the completion of this offering, to, among other things, appoint Rani Holdings as the sole managing member of Rani LLC and will otherwise operate as a holding company. Rani Holdings will include Rani LLC in its consolidated financial statements;</w:t>
      </w:r>
    </w:p>
    <w:p>
      <w:pPr>
        <w:spacing w:after="0" w:line="210"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and Class B common stock, each share of which entitle\s its holders to 10 votes per share on all matters presented to Rani Holdings’ stockholders;</w:t>
      </w:r>
    </w:p>
    <w:p>
      <w:pPr>
        <w:spacing w:after="0" w:line="211" w:lineRule="exact"/>
        <w:rPr>
          <w:sz w:val="20"/>
          <w:szCs w:val="20"/>
          <w:color w:val="auto"/>
        </w:rPr>
      </w:pPr>
    </w:p>
    <w:p>
      <w:pPr>
        <w:ind w:left="1420" w:right="40" w:hanging="319"/>
        <w:spacing w:after="0" w:line="277" w:lineRule="auto"/>
        <w:tabs>
          <w:tab w:leader="none" w:pos="1400" w:val="left"/>
        </w:tabs>
        <w:rPr>
          <w:sz w:val="20"/>
          <w:szCs w:val="20"/>
          <w:color w:val="auto"/>
        </w:rPr>
      </w:pPr>
      <w:r>
        <w:rPr>
          <w:rFonts w:ascii="Arial" w:cs="Arial" w:eastAsia="Arial" w:hAnsi="Arial"/>
          <w:sz w:val="18"/>
          <w:szCs w:val="18"/>
          <w:color w:val="auto"/>
        </w:rPr>
        <w:t>•</w:t>
        <w:tab/>
        <w:t>generally, all outstanding convertible preferred and common units will convert into a single class of economic nonvoting Class A units and an equal number of voting noneconomic Class B units of Rani LLC;</w:t>
      </w:r>
    </w:p>
    <w:p>
      <w:pPr>
        <w:spacing w:after="0" w:line="197" w:lineRule="exact"/>
        <w:rPr>
          <w:sz w:val="20"/>
          <w:szCs w:val="20"/>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generally, the Former LLC Owners will exchange their LLC Interests for shares of Class A common stock, representing</w:t>
      </w:r>
    </w:p>
    <w:p>
      <w:pPr>
        <w:sectPr>
          <w:pgSz w:w="11900" w:h="16838" w:orient="portrait"/>
          <w:cols w:equalWidth="0" w:num="1">
            <w:col w:w="11120"/>
          </w:cols>
          <w:pgMar w:left="320" w:top="459" w:right="459" w:bottom="1440" w:gutter="0" w:footer="0" w:header="0"/>
        </w:sectPr>
      </w:pPr>
    </w:p>
    <w:p>
      <w:pPr>
        <w:spacing w:after="0" w:line="23" w:lineRule="exact"/>
        <w:rPr>
          <w:sz w:val="20"/>
          <w:szCs w:val="20"/>
          <w:color w:val="auto"/>
        </w:rPr>
      </w:pPr>
    </w:p>
    <w:p>
      <w:pPr>
        <w:ind w:left="1420" w:right="40"/>
        <w:spacing w:after="0" w:line="265" w:lineRule="auto"/>
        <w:rPr>
          <w:sz w:val="20"/>
          <w:szCs w:val="20"/>
          <w:color w:val="auto"/>
        </w:rPr>
      </w:pPr>
      <w:r>
        <w:rPr>
          <w:rFonts w:ascii="Arial" w:cs="Arial" w:eastAsia="Arial" w:hAnsi="Arial"/>
          <w:sz w:val="17"/>
          <w:szCs w:val="17"/>
          <w:color w:val="auto"/>
        </w:rPr>
        <w:t>(i) approximately % of the combined voting power of all of Rani Holdings’ common stock (or approximately %, if the underwriters exercise in full their option to purchase additional shares of Class A common stock) and (ii) approximately % of the economic interest in the business of Rani LLC and its subsidiary (or approximately %, if the underwriters exercise in full their</w:t>
      </w:r>
    </w:p>
    <w:p>
      <w:pPr>
        <w:sectPr>
          <w:pgSz w:w="11900" w:h="16838" w:orient="portrait"/>
          <w:cols w:equalWidth="0" w:num="1">
            <w:col w:w="11120"/>
          </w:cols>
          <w:pgMar w:left="320" w:top="459" w:right="459" w:bottom="1440" w:gutter="0" w:footer="0" w:header="0"/>
          <w:type w:val="continuous"/>
        </w:sectPr>
      </w:pPr>
    </w:p>
    <w:p>
      <w:pPr>
        <w:ind w:left="1420"/>
        <w:spacing w:after="0"/>
        <w:rPr>
          <w:sz w:val="20"/>
          <w:szCs w:val="20"/>
          <w:color w:val="auto"/>
        </w:rPr>
      </w:pPr>
      <w:r>
        <w:rPr>
          <w:rFonts w:ascii="Arial" w:cs="Arial" w:eastAsia="Arial" w:hAnsi="Arial"/>
          <w:sz w:val="17"/>
          <w:szCs w:val="17"/>
          <w:color w:val="auto"/>
        </w:rPr>
        <w:t>option to purchase additional shares of Class A common stock), indirectly through Rani Holdings’ ownership of LLC Interests;</w:t>
      </w:r>
    </w:p>
    <w:p>
      <w:pPr>
        <w:spacing w:after="0" w:line="249" w:lineRule="exact"/>
        <w:rPr>
          <w:sz w:val="20"/>
          <w:szCs w:val="20"/>
          <w:color w:val="auto"/>
        </w:rPr>
      </w:pPr>
    </w:p>
    <w:p>
      <w:pPr>
        <w:ind w:left="1420" w:hanging="319"/>
        <w:spacing w:after="0"/>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 in</w:t>
      </w:r>
    </w:p>
    <w:p>
      <w:pPr>
        <w:sectPr>
          <w:pgSz w:w="11900" w:h="16838" w:orient="portrait"/>
          <w:cols w:equalWidth="0" w:num="1">
            <w:col w:w="11120"/>
          </w:cols>
          <w:pgMar w:left="320" w:top="459" w:right="459" w:bottom="1440" w:gutter="0" w:footer="0" w:header="0"/>
          <w:type w:val="continuous"/>
        </w:sectPr>
      </w:pPr>
    </w:p>
    <w:p>
      <w:pPr>
        <w:spacing w:after="0" w:line="46" w:lineRule="exact"/>
        <w:rPr>
          <w:sz w:val="20"/>
          <w:szCs w:val="20"/>
          <w:color w:val="auto"/>
        </w:rPr>
      </w:pPr>
    </w:p>
    <w:p>
      <w:pPr>
        <w:ind w:left="1420" w:right="300"/>
        <w:spacing w:after="0" w:line="265" w:lineRule="auto"/>
        <w:rPr>
          <w:sz w:val="20"/>
          <w:szCs w:val="20"/>
          <w:color w:val="auto"/>
        </w:rPr>
      </w:pPr>
      <w:r>
        <w:rPr>
          <w:rFonts w:ascii="Arial" w:cs="Arial" w:eastAsia="Arial" w:hAnsi="Arial"/>
          <w:sz w:val="17"/>
          <w:szCs w:val="17"/>
          <w:color w:val="auto"/>
        </w:rPr>
        <w:t>Rani LLC, representing approximately % of the economic interest in the business of Rani LLC and its subsidiary (or approximately %, if the underwriters exercise in full their option to purchase additional shares of Class A common stock), and</w:t>
      </w:r>
    </w:p>
    <w:p>
      <w:pPr>
        <w:sectPr>
          <w:pgSz w:w="11900" w:h="16838" w:orient="portrait"/>
          <w:cols w:equalWidth="0" w:num="1">
            <w:col w:w="11120"/>
          </w:cols>
          <w:pgMar w:left="320" w:top="459" w:right="459" w:bottom="1440" w:gutter="0" w:footer="0" w:header="0"/>
          <w:type w:val="continuous"/>
        </w:sectPr>
      </w:pPr>
    </w:p>
    <w:p>
      <w:pPr>
        <w:ind w:left="1420" w:right="160"/>
        <w:spacing w:after="0" w:line="260" w:lineRule="auto"/>
        <w:rPr>
          <w:sz w:val="20"/>
          <w:szCs w:val="20"/>
          <w:color w:val="auto"/>
        </w:rPr>
      </w:pPr>
      <w:r>
        <w:rPr>
          <w:rFonts w:ascii="Arial" w:cs="Arial" w:eastAsia="Arial" w:hAnsi="Arial"/>
          <w:sz w:val="18"/>
          <w:szCs w:val="18"/>
          <w:color w:val="auto"/>
        </w:rPr>
        <w:t>will be issued a number of shares of our Class B common stock equal to the number of LLC Interests held by them upon completion of this offering, each share of which entitles its holders to 10 votes per share;</w:t>
      </w:r>
    </w:p>
    <w:p>
      <w:pPr>
        <w:spacing w:after="0" w:line="212" w:lineRule="exact"/>
        <w:rPr>
          <w:sz w:val="20"/>
          <w:szCs w:val="20"/>
          <w:color w:val="auto"/>
        </w:rPr>
      </w:pPr>
    </w:p>
    <w:p>
      <w:pPr>
        <w:ind w:left="1420" w:hanging="319"/>
        <w:spacing w:after="0" w:line="272" w:lineRule="auto"/>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LLC Interests, following the completion of this offering, will be redeemable, at their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20" w:hanging="319"/>
        <w:spacing w:after="0" w:line="27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the Continuing LLC Owners, and (ii) a registration rights agreement, or the Registration Rights Agreement, with the Continuing LLC Owners;</w:t>
      </w:r>
    </w:p>
    <w:p>
      <w:pPr>
        <w:spacing w:after="0" w:line="197" w:lineRule="exact"/>
        <w:rPr>
          <w:sz w:val="20"/>
          <w:szCs w:val="20"/>
          <w:color w:val="auto"/>
        </w:rPr>
      </w:pPr>
    </w:p>
    <w:p>
      <w:pPr>
        <w:jc w:val="both"/>
        <w:ind w:left="1420" w:right="520" w:hanging="319"/>
        <w:spacing w:after="0" w:line="342" w:lineRule="auto"/>
        <w:tabs>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Rani Holdings will issue        shares of Class A common stock to the purchasers in this offering (or        shares of our Class A common stock if the underwriters exercise in full their option to purchase additional shares of Class A common stock);</w:t>
      </w:r>
    </w:p>
    <w:p>
      <w:pPr>
        <w:spacing w:after="0" w:line="151" w:lineRule="exact"/>
        <w:rPr>
          <w:sz w:val="20"/>
          <w:szCs w:val="20"/>
          <w:color w:val="auto"/>
        </w:rPr>
      </w:pPr>
    </w:p>
    <w:p>
      <w:pPr>
        <w:ind w:left="1420" w:hanging="319"/>
        <w:spacing w:after="0" w:line="287" w:lineRule="auto"/>
        <w:tabs>
          <w:tab w:leader="none" w:pos="14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Rani Holdings will use all of the net proceeds from this offering (including any net proceeds received upon exercise of the underwriters’ option to purchase additional shares of Class A common stock) to acquire newly issued LLC Interests from Rani LLC at a purchase price per interest equal to the initial public offering price per share of Class A common stock, less underwriting discounts</w:t>
      </w:r>
    </w:p>
    <w:p>
      <w:pPr>
        <w:spacing w:after="0" w:line="2" w:lineRule="exact"/>
        <w:rPr>
          <w:sz w:val="20"/>
          <w:szCs w:val="20"/>
          <w:color w:val="auto"/>
        </w:rPr>
      </w:pPr>
    </w:p>
    <w:p>
      <w:pPr>
        <w:ind w:left="1420" w:right="40"/>
        <w:spacing w:after="0" w:line="253" w:lineRule="auto"/>
        <w:rPr>
          <w:sz w:val="20"/>
          <w:szCs w:val="20"/>
          <w:color w:val="auto"/>
        </w:rPr>
      </w:pPr>
      <w:r>
        <w:rPr>
          <w:rFonts w:ascii="Arial" w:cs="Arial" w:eastAsia="Arial" w:hAnsi="Arial"/>
          <w:sz w:val="18"/>
          <w:szCs w:val="18"/>
          <w:color w:val="auto"/>
        </w:rPr>
        <w:t>and commissions, collectively representing % of Rani LLC’s outstanding LLC Interests (or %, if the underwriters exercise in full their option to purchase additional shares of Class A common stock). Following the completion of this offering, Rani Holdings will hold a number of LLC Interests that is equal to the number of shares of Class A common stock that it has issued, a relationship that we believe fosters transparency because it results in a single share of Class A common stock representing the same percentage ownership in Rani LLC as a single unit of LLC Interests.; and</w:t>
      </w:r>
    </w:p>
    <w:p>
      <w:pPr>
        <w:spacing w:after="0" w:line="218" w:lineRule="exact"/>
        <w:rPr>
          <w:sz w:val="20"/>
          <w:szCs w:val="20"/>
          <w:color w:val="auto"/>
        </w:rPr>
      </w:pPr>
    </w:p>
    <w:p>
      <w:pPr>
        <w:ind w:left="1420" w:hanging="319"/>
        <w:spacing w:after="0"/>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Rani LLC will use the proceeds from the sale of LLC Interests to Rani Holdings as described in the section titled “Use of Proceeds.”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Immediately following the completion of the Organizational Transactions, including this offering:</w:t>
      </w:r>
    </w:p>
    <w:p>
      <w:pPr>
        <w:spacing w:after="0" w:line="252"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Rani Holdings will be a holding company and the principal asset of Rani Holdings will be LLC Interests of Rani LLC;</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Rani Holdings will be the sole managing member of Rani LLC and will control the business and affairs of Rani LLC and its subsidiary;</w:t>
      </w:r>
    </w:p>
    <w:p>
      <w:pPr>
        <w:spacing w:after="0" w:line="197" w:lineRule="exact"/>
        <w:rPr>
          <w:rFonts w:ascii="Arial" w:cs="Arial" w:eastAsia="Arial" w:hAnsi="Arial"/>
          <w:sz w:val="18"/>
          <w:szCs w:val="18"/>
          <w:color w:val="auto"/>
        </w:rPr>
      </w:pPr>
    </w:p>
    <w:p>
      <w:pPr>
        <w:ind w:left="1420" w:right="40" w:hanging="319"/>
        <w:spacing w:after="0" w:line="279" w:lineRule="auto"/>
        <w:tabs>
          <w:tab w:leader="none" w:pos="1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Rani Holdings’ amended and restated certificate of incorporation and the Rani LLC Agreement will require that we and Rani LLC at all times maintain a one-to-one ratio between the number of shares of Class A common stock issued by us and the number of LLC Interests owned by us, as well as a one-to-one ratio between the number of shares of Class B common stock owned by the Continuing LLC Owners and the number of LLC Interests owned by the Continuing LLC Owners;</w:t>
      </w:r>
    </w:p>
    <w:p>
      <w:pPr>
        <w:sectPr>
          <w:pgSz w:w="11900" w:h="16838" w:orient="portrait"/>
          <w:cols w:equalWidth="0" w:num="1">
            <w:col w:w="11100"/>
          </w:cols>
          <w:pgMar w:left="320" w:top="459" w:right="479" w:bottom="1440" w:gutter="0" w:footer="0" w:header="0"/>
        </w:sectPr>
      </w:pPr>
    </w:p>
    <w:p>
      <w:pPr>
        <w:spacing w:after="0" w:line="198"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Rani Holdings will own LLC Interests representing % of the economic interest in Rani LLC (or exercise in full their option to purchase additional shares of Class A common stock);</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 if the underwriters</w:t>
      </w:r>
    </w:p>
    <w:p>
      <w:pPr>
        <w:spacing w:after="0" w:line="490" w:lineRule="exact"/>
        <w:rPr>
          <w:sz w:val="20"/>
          <w:szCs w:val="20"/>
          <w:color w:val="auto"/>
        </w:rPr>
      </w:pPr>
    </w:p>
    <w:p>
      <w:pPr>
        <w:sectPr>
          <w:pgSz w:w="11900" w:h="16838" w:orient="portrait"/>
          <w:cols w:equalWidth="0" w:num="3">
            <w:col w:w="1160" w:space="260"/>
            <w:col w:w="7200" w:space="360"/>
            <w:col w:w="2120"/>
          </w:cols>
          <w:pgMar w:left="320" w:top="459" w:right="479" w:bottom="1440" w:gutter="0" w:footer="0" w:header="0"/>
          <w:type w:val="continuous"/>
        </w:sectPr>
      </w:pPr>
    </w:p>
    <w:p>
      <w:pPr>
        <w:ind w:left="1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the purchasers in this offering (i) will own shares of Class A common stock, representing approximately % of the combined voting power of all of Rani Holdings common stock (or shares of Class A common stock, representing approximately %, if the underwriters exercise in full their option to purchase additional shares of Class A common stock), (ii) will own % of the economic interest in Rani Holdings (or %,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 of the economic interest in Rani LLC (or % if the underwriters exercise in full their option to purchase additional shares of Class A common stock);</w:t>
      </w:r>
    </w:p>
    <w:p>
      <w:pPr>
        <w:spacing w:after="0" w:line="124" w:lineRule="exact"/>
        <w:rPr>
          <w:sz w:val="20"/>
          <w:szCs w:val="20"/>
          <w:color w:val="auto"/>
        </w:rPr>
      </w:pPr>
    </w:p>
    <w:p>
      <w:pPr>
        <w:sectPr>
          <w:pgSz w:w="11900" w:h="16838" w:orient="portrait"/>
          <w:cols w:equalWidth="0" w:num="2">
            <w:col w:w="1160" w:space="260"/>
            <w:col w:w="968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00"/>
          </w:cols>
          <w:pgMar w:left="320" w:top="459" w:right="47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519"/>
        </w:trPr>
        <w:tc>
          <w:tcPr>
            <w:tcW w:w="4820" w:type="dxa"/>
            <w:vAlign w:val="bottom"/>
            <w:gridSpan w:val="2"/>
          </w:tcPr>
          <w:p>
            <w:pPr>
              <w:ind w:left="1100"/>
              <w:spacing w:after="0"/>
              <w:rPr>
                <w:sz w:val="20"/>
                <w:szCs w:val="20"/>
                <w:color w:val="auto"/>
              </w:rPr>
            </w:pPr>
            <w:r>
              <w:rPr>
                <w:rFonts w:ascii="Arial" w:cs="Arial" w:eastAsia="Arial" w:hAnsi="Arial"/>
                <w:sz w:val="18"/>
                <w:szCs w:val="18"/>
                <w:color w:val="auto"/>
              </w:rPr>
              <w:t>•   the Former LLC Owners (i) will own</w:t>
            </w:r>
          </w:p>
        </w:tc>
        <w:tc>
          <w:tcPr>
            <w:tcW w:w="4560" w:type="dxa"/>
            <w:vAlign w:val="bottom"/>
            <w:gridSpan w:val="4"/>
          </w:tcPr>
          <w:p>
            <w:pPr>
              <w:jc w:val="right"/>
              <w:ind w:right="50"/>
              <w:spacing w:after="0"/>
              <w:rPr>
                <w:sz w:val="20"/>
                <w:szCs w:val="20"/>
                <w:color w:val="auto"/>
              </w:rPr>
            </w:pPr>
            <w:r>
              <w:rPr>
                <w:rFonts w:ascii="Arial" w:cs="Arial" w:eastAsia="Arial" w:hAnsi="Arial"/>
                <w:sz w:val="18"/>
                <w:szCs w:val="18"/>
                <w:color w:val="auto"/>
                <w:w w:val="89"/>
              </w:rPr>
              <w:t>shares of Class A common stock, representing approximately</w:t>
            </w:r>
          </w:p>
        </w:tc>
        <w:tc>
          <w:tcPr>
            <w:tcW w:w="1680" w:type="dxa"/>
            <w:vAlign w:val="bottom"/>
            <w:gridSpan w:val="2"/>
          </w:tcPr>
          <w:p>
            <w:pPr>
              <w:ind w:left="220"/>
              <w:spacing w:after="0"/>
              <w:rPr>
                <w:sz w:val="20"/>
                <w:szCs w:val="20"/>
                <w:color w:val="auto"/>
              </w:rPr>
            </w:pPr>
            <w:r>
              <w:rPr>
                <w:rFonts w:ascii="Arial" w:cs="Arial" w:eastAsia="Arial" w:hAnsi="Arial"/>
                <w:sz w:val="18"/>
                <w:szCs w:val="18"/>
                <w:color w:val="auto"/>
                <w:w w:val="96"/>
              </w:rPr>
              <w:t>% of the combined</w:t>
            </w:r>
          </w:p>
        </w:tc>
      </w:tr>
      <w:tr>
        <w:trPr>
          <w:trHeight w:val="216"/>
        </w:trPr>
        <w:tc>
          <w:tcPr>
            <w:tcW w:w="1360" w:type="dxa"/>
            <w:vAlign w:val="bottom"/>
          </w:tcPr>
          <w:p>
            <w:pPr>
              <w:spacing w:after="0"/>
              <w:rPr>
                <w:sz w:val="18"/>
                <w:szCs w:val="18"/>
                <w:color w:val="auto"/>
              </w:rPr>
            </w:pPr>
          </w:p>
        </w:tc>
        <w:tc>
          <w:tcPr>
            <w:tcW w:w="5220" w:type="dxa"/>
            <w:vAlign w:val="bottom"/>
            <w:gridSpan w:val="3"/>
          </w:tcPr>
          <w:p>
            <w:pPr>
              <w:ind w:left="60"/>
              <w:spacing w:after="0"/>
              <w:rPr>
                <w:sz w:val="20"/>
                <w:szCs w:val="20"/>
                <w:color w:val="auto"/>
              </w:rPr>
            </w:pPr>
            <w:r>
              <w:rPr>
                <w:rFonts w:ascii="Arial" w:cs="Arial" w:eastAsia="Arial" w:hAnsi="Arial"/>
                <w:sz w:val="18"/>
                <w:szCs w:val="18"/>
                <w:color w:val="auto"/>
                <w:w w:val="93"/>
              </w:rPr>
              <w:t>voting power of all of Rani Holdings common stock (or approximately</w:t>
            </w:r>
          </w:p>
        </w:tc>
        <w:tc>
          <w:tcPr>
            <w:tcW w:w="4480" w:type="dxa"/>
            <w:vAlign w:val="bottom"/>
            <w:gridSpan w:val="4"/>
          </w:tcPr>
          <w:p>
            <w:pPr>
              <w:ind w:left="300"/>
              <w:spacing w:after="0"/>
              <w:rPr>
                <w:sz w:val="20"/>
                <w:szCs w:val="20"/>
                <w:color w:val="auto"/>
              </w:rPr>
            </w:pPr>
            <w:r>
              <w:rPr>
                <w:rFonts w:ascii="Arial" w:cs="Arial" w:eastAsia="Arial" w:hAnsi="Arial"/>
                <w:sz w:val="18"/>
                <w:szCs w:val="18"/>
                <w:color w:val="auto"/>
              </w:rPr>
              <w:t>%, if the underwriters exercise in full their option to</w:t>
            </w:r>
          </w:p>
        </w:tc>
      </w:tr>
      <w:tr>
        <w:trPr>
          <w:trHeight w:val="216"/>
        </w:trPr>
        <w:tc>
          <w:tcPr>
            <w:tcW w:w="1360" w:type="dxa"/>
            <w:vAlign w:val="bottom"/>
          </w:tcPr>
          <w:p>
            <w:pPr>
              <w:spacing w:after="0"/>
              <w:rPr>
                <w:sz w:val="18"/>
                <w:szCs w:val="18"/>
                <w:color w:val="auto"/>
              </w:rPr>
            </w:pPr>
          </w:p>
        </w:tc>
        <w:tc>
          <w:tcPr>
            <w:tcW w:w="5220" w:type="dxa"/>
            <w:vAlign w:val="bottom"/>
            <w:gridSpan w:val="3"/>
          </w:tcPr>
          <w:p>
            <w:pPr>
              <w:ind w:left="60"/>
              <w:spacing w:after="0"/>
              <w:rPr>
                <w:sz w:val="20"/>
                <w:szCs w:val="20"/>
                <w:color w:val="auto"/>
              </w:rPr>
            </w:pPr>
            <w:r>
              <w:rPr>
                <w:rFonts w:ascii="Arial" w:cs="Arial" w:eastAsia="Arial" w:hAnsi="Arial"/>
                <w:sz w:val="18"/>
                <w:szCs w:val="18"/>
                <w:color w:val="auto"/>
                <w:w w:val="97"/>
              </w:rPr>
              <w:t>purchase additional shares of Class A common stock), (ii) will own</w:t>
            </w:r>
          </w:p>
        </w:tc>
        <w:tc>
          <w:tcPr>
            <w:tcW w:w="3740" w:type="dxa"/>
            <w:vAlign w:val="bottom"/>
            <w:gridSpan w:val="3"/>
          </w:tcPr>
          <w:p>
            <w:pPr>
              <w:ind w:left="40"/>
              <w:spacing w:after="0"/>
              <w:rPr>
                <w:sz w:val="20"/>
                <w:szCs w:val="20"/>
                <w:color w:val="auto"/>
              </w:rPr>
            </w:pPr>
            <w:r>
              <w:rPr>
                <w:rFonts w:ascii="Arial" w:cs="Arial" w:eastAsia="Arial" w:hAnsi="Arial"/>
                <w:sz w:val="18"/>
                <w:szCs w:val="18"/>
                <w:color w:val="auto"/>
                <w:w w:val="98"/>
              </w:rPr>
              <w:t>% of the economic interest in Rani Holdings (or</w:t>
            </w:r>
          </w:p>
        </w:tc>
        <w:tc>
          <w:tcPr>
            <w:tcW w:w="740" w:type="dxa"/>
            <w:vAlign w:val="bottom"/>
          </w:tcPr>
          <w:p>
            <w:pPr>
              <w:ind w:left="120"/>
              <w:spacing w:after="0"/>
              <w:rPr>
                <w:sz w:val="20"/>
                <w:szCs w:val="20"/>
                <w:color w:val="auto"/>
              </w:rPr>
            </w:pPr>
            <w:r>
              <w:rPr>
                <w:rFonts w:ascii="Arial" w:cs="Arial" w:eastAsia="Arial" w:hAnsi="Arial"/>
                <w:sz w:val="18"/>
                <w:szCs w:val="18"/>
                <w:color w:val="auto"/>
                <w:w w:val="92"/>
              </w:rPr>
              <w:t>%, if the</w:t>
            </w:r>
          </w:p>
        </w:tc>
      </w:tr>
      <w:tr>
        <w:trPr>
          <w:trHeight w:val="216"/>
        </w:trPr>
        <w:tc>
          <w:tcPr>
            <w:tcW w:w="1360" w:type="dxa"/>
            <w:vAlign w:val="bottom"/>
          </w:tcPr>
          <w:p>
            <w:pPr>
              <w:spacing w:after="0"/>
              <w:rPr>
                <w:sz w:val="18"/>
                <w:szCs w:val="18"/>
                <w:color w:val="auto"/>
              </w:rPr>
            </w:pPr>
          </w:p>
        </w:tc>
        <w:tc>
          <w:tcPr>
            <w:tcW w:w="9700" w:type="dxa"/>
            <w:vAlign w:val="bottom"/>
            <w:gridSpan w:val="7"/>
          </w:tcPr>
          <w:p>
            <w:pPr>
              <w:ind w:left="60"/>
              <w:spacing w:after="0"/>
              <w:rPr>
                <w:sz w:val="20"/>
                <w:szCs w:val="20"/>
                <w:color w:val="auto"/>
              </w:rPr>
            </w:pPr>
            <w:r>
              <w:rPr>
                <w:rFonts w:ascii="Arial" w:cs="Arial" w:eastAsia="Arial" w:hAnsi="Arial"/>
                <w:sz w:val="18"/>
                <w:szCs w:val="18"/>
                <w:color w:val="auto"/>
                <w:w w:val="94"/>
              </w:rPr>
              <w:t>underwriters exercise in full their option to purchase additional shares of Class A common stock) and (iii) through Rani Holdings</w:t>
            </w:r>
          </w:p>
        </w:tc>
      </w:tr>
      <w:tr>
        <w:trPr>
          <w:trHeight w:val="216"/>
        </w:trPr>
        <w:tc>
          <w:tcPr>
            <w:tcW w:w="1360" w:type="dxa"/>
            <w:vAlign w:val="bottom"/>
          </w:tcPr>
          <w:p>
            <w:pPr>
              <w:spacing w:after="0"/>
              <w:rPr>
                <w:sz w:val="18"/>
                <w:szCs w:val="18"/>
                <w:color w:val="auto"/>
              </w:rPr>
            </w:pPr>
          </w:p>
        </w:tc>
        <w:tc>
          <w:tcPr>
            <w:tcW w:w="9700" w:type="dxa"/>
            <w:vAlign w:val="bottom"/>
            <w:gridSpan w:val="7"/>
          </w:tcPr>
          <w:p>
            <w:pPr>
              <w:ind w:left="60"/>
              <w:spacing w:after="0"/>
              <w:rPr>
                <w:sz w:val="20"/>
                <w:szCs w:val="20"/>
                <w:color w:val="auto"/>
              </w:rPr>
            </w:pPr>
            <w:r>
              <w:rPr>
                <w:rFonts w:ascii="Arial" w:cs="Arial" w:eastAsia="Arial" w:hAnsi="Arial"/>
                <w:sz w:val="18"/>
                <w:szCs w:val="18"/>
                <w:color w:val="auto"/>
                <w:w w:val="93"/>
              </w:rPr>
              <w:t>ownership of LLC Interests, indirectly will hold (applying the percentages in the preceding clause (ii) to Rani Holdings percentage</w:t>
            </w:r>
          </w:p>
        </w:tc>
      </w:tr>
      <w:tr>
        <w:trPr>
          <w:trHeight w:val="216"/>
        </w:trPr>
        <w:tc>
          <w:tcPr>
            <w:tcW w:w="136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w w:val="93"/>
              </w:rPr>
              <w:t>economic interest in Rani LLC) approximately</w:t>
            </w:r>
          </w:p>
        </w:tc>
        <w:tc>
          <w:tcPr>
            <w:tcW w:w="3660" w:type="dxa"/>
            <w:vAlign w:val="bottom"/>
            <w:gridSpan w:val="3"/>
          </w:tcPr>
          <w:p>
            <w:pPr>
              <w:ind w:left="340"/>
              <w:spacing w:after="0"/>
              <w:rPr>
                <w:sz w:val="20"/>
                <w:szCs w:val="20"/>
                <w:color w:val="auto"/>
              </w:rPr>
            </w:pPr>
            <w:r>
              <w:rPr>
                <w:rFonts w:ascii="Arial" w:cs="Arial" w:eastAsia="Arial" w:hAnsi="Arial"/>
                <w:sz w:val="18"/>
                <w:szCs w:val="18"/>
                <w:color w:val="auto"/>
                <w:w w:val="97"/>
              </w:rPr>
              <w:t>% of the economic interest in Rani LLC (or</w:t>
            </w:r>
          </w:p>
        </w:tc>
        <w:tc>
          <w:tcPr>
            <w:tcW w:w="2580" w:type="dxa"/>
            <w:vAlign w:val="bottom"/>
            <w:gridSpan w:val="3"/>
          </w:tcPr>
          <w:p>
            <w:pPr>
              <w:ind w:left="180"/>
              <w:spacing w:after="0"/>
              <w:rPr>
                <w:sz w:val="20"/>
                <w:szCs w:val="20"/>
                <w:color w:val="auto"/>
              </w:rPr>
            </w:pPr>
            <w:r>
              <w:rPr>
                <w:rFonts w:ascii="Arial" w:cs="Arial" w:eastAsia="Arial" w:hAnsi="Arial"/>
                <w:sz w:val="18"/>
                <w:szCs w:val="18"/>
                <w:color w:val="auto"/>
                <w:w w:val="91"/>
              </w:rPr>
              <w:t>%, if the underwriters exercise in</w:t>
            </w:r>
          </w:p>
        </w:tc>
      </w:tr>
      <w:tr>
        <w:trPr>
          <w:trHeight w:val="230"/>
        </w:trPr>
        <w:tc>
          <w:tcPr>
            <w:tcW w:w="1360" w:type="dxa"/>
            <w:vAlign w:val="bottom"/>
          </w:tcPr>
          <w:p>
            <w:pPr>
              <w:spacing w:after="0"/>
              <w:rPr>
                <w:sz w:val="20"/>
                <w:szCs w:val="20"/>
                <w:color w:val="auto"/>
              </w:rPr>
            </w:pPr>
          </w:p>
        </w:tc>
        <w:tc>
          <w:tcPr>
            <w:tcW w:w="7120" w:type="dxa"/>
            <w:vAlign w:val="bottom"/>
            <w:gridSpan w:val="4"/>
          </w:tcPr>
          <w:p>
            <w:pPr>
              <w:ind w:left="60"/>
              <w:spacing w:after="0"/>
              <w:rPr>
                <w:sz w:val="20"/>
                <w:szCs w:val="20"/>
                <w:color w:val="auto"/>
              </w:rPr>
            </w:pPr>
            <w:r>
              <w:rPr>
                <w:rFonts w:ascii="Arial" w:cs="Arial" w:eastAsia="Arial" w:hAnsi="Arial"/>
                <w:sz w:val="18"/>
                <w:szCs w:val="18"/>
                <w:color w:val="auto"/>
              </w:rPr>
              <w:t>full their option to purchase additional shares of Class A common stock);</w:t>
            </w: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45"/>
        </w:trPr>
        <w:tc>
          <w:tcPr>
            <w:tcW w:w="9380" w:type="dxa"/>
            <w:vAlign w:val="bottom"/>
            <w:gridSpan w:val="6"/>
          </w:tcPr>
          <w:p>
            <w:pPr>
              <w:ind w:left="1100"/>
              <w:spacing w:after="0"/>
              <w:rPr>
                <w:sz w:val="20"/>
                <w:szCs w:val="20"/>
                <w:color w:val="auto"/>
              </w:rPr>
            </w:pPr>
            <w:r>
              <w:rPr>
                <w:rFonts w:ascii="Arial" w:cs="Arial" w:eastAsia="Arial" w:hAnsi="Arial"/>
                <w:sz w:val="18"/>
                <w:szCs w:val="18"/>
                <w:color w:val="auto"/>
                <w:w w:val="96"/>
              </w:rPr>
              <w:t>•   the Continuing LLC Owners will own (i) through their ownership of Class B common stock, approximately</w:t>
            </w:r>
          </w:p>
        </w:tc>
        <w:tc>
          <w:tcPr>
            <w:tcW w:w="1680" w:type="dxa"/>
            <w:vAlign w:val="bottom"/>
            <w:gridSpan w:val="2"/>
          </w:tcPr>
          <w:p>
            <w:pPr>
              <w:ind w:left="160"/>
              <w:spacing w:after="0"/>
              <w:rPr>
                <w:sz w:val="20"/>
                <w:szCs w:val="20"/>
                <w:color w:val="auto"/>
              </w:rPr>
            </w:pPr>
            <w:r>
              <w:rPr>
                <w:rFonts w:ascii="Arial" w:cs="Arial" w:eastAsia="Arial" w:hAnsi="Arial"/>
                <w:sz w:val="18"/>
                <w:szCs w:val="18"/>
                <w:color w:val="auto"/>
              </w:rPr>
              <w:t>% of the voting</w:t>
            </w:r>
          </w:p>
        </w:tc>
      </w:tr>
      <w:tr>
        <w:trPr>
          <w:trHeight w:val="216"/>
        </w:trPr>
        <w:tc>
          <w:tcPr>
            <w:tcW w:w="1360" w:type="dxa"/>
            <w:vAlign w:val="bottom"/>
          </w:tcPr>
          <w:p>
            <w:pPr>
              <w:spacing w:after="0"/>
              <w:rPr>
                <w:sz w:val="18"/>
                <w:szCs w:val="18"/>
                <w:color w:val="auto"/>
              </w:rPr>
            </w:pPr>
          </w:p>
        </w:tc>
        <w:tc>
          <w:tcPr>
            <w:tcW w:w="3460" w:type="dxa"/>
            <w:vAlign w:val="bottom"/>
          </w:tcPr>
          <w:p>
            <w:pPr>
              <w:ind w:left="60"/>
              <w:spacing w:after="0"/>
              <w:rPr>
                <w:sz w:val="20"/>
                <w:szCs w:val="20"/>
                <w:color w:val="auto"/>
              </w:rPr>
            </w:pPr>
            <w:r>
              <w:rPr>
                <w:rFonts w:ascii="Arial" w:cs="Arial" w:eastAsia="Arial" w:hAnsi="Arial"/>
                <w:sz w:val="18"/>
                <w:szCs w:val="18"/>
                <w:color w:val="auto"/>
              </w:rPr>
              <w:t>power in Rani Holdings (or approximately</w:t>
            </w:r>
          </w:p>
        </w:tc>
        <w:tc>
          <w:tcPr>
            <w:tcW w:w="6240" w:type="dxa"/>
            <w:vAlign w:val="bottom"/>
            <w:gridSpan w:val="6"/>
          </w:tcPr>
          <w:p>
            <w:pPr>
              <w:ind w:left="20"/>
              <w:spacing w:after="0"/>
              <w:rPr>
                <w:sz w:val="20"/>
                <w:szCs w:val="20"/>
                <w:color w:val="auto"/>
              </w:rPr>
            </w:pPr>
            <w:r>
              <w:rPr>
                <w:rFonts w:ascii="Arial" w:cs="Arial" w:eastAsia="Arial" w:hAnsi="Arial"/>
                <w:sz w:val="18"/>
                <w:szCs w:val="18"/>
                <w:color w:val="auto"/>
                <w:w w:val="96"/>
              </w:rPr>
              <w:t>%, if the underwriters exercise in full their option to purchase additional shares of</w:t>
            </w:r>
          </w:p>
        </w:tc>
      </w:tr>
      <w:tr>
        <w:trPr>
          <w:trHeight w:val="230"/>
        </w:trPr>
        <w:tc>
          <w:tcPr>
            <w:tcW w:w="1360" w:type="dxa"/>
            <w:vAlign w:val="bottom"/>
          </w:tcPr>
          <w:p>
            <w:pPr>
              <w:spacing w:after="0"/>
              <w:rPr>
                <w:sz w:val="20"/>
                <w:szCs w:val="20"/>
                <w:color w:val="auto"/>
              </w:rPr>
            </w:pPr>
          </w:p>
        </w:tc>
        <w:tc>
          <w:tcPr>
            <w:tcW w:w="4540" w:type="dxa"/>
            <w:vAlign w:val="bottom"/>
            <w:gridSpan w:val="2"/>
          </w:tcPr>
          <w:p>
            <w:pPr>
              <w:ind w:left="60"/>
              <w:spacing w:after="0"/>
              <w:rPr>
                <w:sz w:val="20"/>
                <w:szCs w:val="20"/>
                <w:color w:val="auto"/>
              </w:rPr>
            </w:pPr>
            <w:r>
              <w:rPr>
                <w:rFonts w:ascii="Arial" w:cs="Arial" w:eastAsia="Arial" w:hAnsi="Arial"/>
                <w:sz w:val="18"/>
                <w:szCs w:val="18"/>
                <w:color w:val="auto"/>
                <w:w w:val="94"/>
              </w:rPr>
              <w:t>Class A common stock) and (ii) LLC Interests, representing</w:t>
            </w:r>
          </w:p>
        </w:tc>
        <w:tc>
          <w:tcPr>
            <w:tcW w:w="3480" w:type="dxa"/>
            <w:vAlign w:val="bottom"/>
            <w:gridSpan w:val="3"/>
          </w:tcPr>
          <w:p>
            <w:pPr>
              <w:jc w:val="right"/>
              <w:ind w:right="70"/>
              <w:spacing w:after="0"/>
              <w:rPr>
                <w:sz w:val="20"/>
                <w:szCs w:val="20"/>
                <w:color w:val="auto"/>
              </w:rPr>
            </w:pPr>
            <w:r>
              <w:rPr>
                <w:rFonts w:ascii="Arial" w:cs="Arial" w:eastAsia="Arial" w:hAnsi="Arial"/>
                <w:sz w:val="18"/>
                <w:szCs w:val="18"/>
                <w:color w:val="auto"/>
                <w:w w:val="97"/>
              </w:rPr>
              <w:t>% of the economic interest in Rani LLC (or</w:t>
            </w:r>
          </w:p>
        </w:tc>
        <w:tc>
          <w:tcPr>
            <w:tcW w:w="940" w:type="dxa"/>
            <w:vAlign w:val="bottom"/>
          </w:tcPr>
          <w:p>
            <w:pPr>
              <w:ind w:left="200"/>
              <w:spacing w:after="0"/>
              <w:rPr>
                <w:sz w:val="20"/>
                <w:szCs w:val="20"/>
                <w:color w:val="auto"/>
              </w:rPr>
            </w:pPr>
            <w:r>
              <w:rPr>
                <w:rFonts w:ascii="Arial" w:cs="Arial" w:eastAsia="Arial" w:hAnsi="Arial"/>
                <w:sz w:val="18"/>
                <w:szCs w:val="18"/>
                <w:color w:val="auto"/>
              </w:rPr>
              <w:t>%, if the</w:t>
            </w:r>
          </w:p>
        </w:tc>
        <w:tc>
          <w:tcPr>
            <w:tcW w:w="740" w:type="dxa"/>
            <w:vAlign w:val="bottom"/>
          </w:tcPr>
          <w:p>
            <w:pPr>
              <w:spacing w:after="0"/>
              <w:rPr>
                <w:sz w:val="20"/>
                <w:szCs w:val="20"/>
                <w:color w:val="auto"/>
              </w:rPr>
            </w:pPr>
          </w:p>
        </w:tc>
      </w:tr>
    </w:tbl>
    <w:p>
      <w:pPr>
        <w:ind w:left="142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exercise in full their option to purchase additional shares of Class A common stock). Following the completion of the offering, each LLC Interest held by the Continuing LLC Owners will be redeemable, at their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 See the section titled “Certain Relationships and Related Person Transactions—Rani LLC Agreement;” and</w:t>
      </w:r>
    </w:p>
    <w:p>
      <w:pPr>
        <w:spacing w:after="0" w:line="199" w:lineRule="exact"/>
        <w:rPr>
          <w:sz w:val="20"/>
          <w:szCs w:val="20"/>
          <w:color w:val="auto"/>
        </w:rPr>
      </w:pPr>
    </w:p>
    <w:p>
      <w:pPr>
        <w:ind w:left="1420" w:right="360" w:hanging="319"/>
        <w:spacing w:after="0" w:line="277" w:lineRule="auto"/>
        <w:tabs>
          <w:tab w:leader="none" w:pos="14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the Continuing LLC Owners and (ii) the Registration Rights Agreement with the Continuing LLC Owners.</w:t>
      </w:r>
    </w:p>
    <w:p>
      <w:pPr>
        <w:spacing w:after="0" w:line="170"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Our corporate structure following the completion of this offering, as described below, is commonly referred to as an umbrella partnership-C-corporation, or Up-C, structure, which is often used by partnerships and limited liability companies when they undertake an initial public offering of their business. 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 Investors in this offering will, by contrast, hold their equity ownership in Rani Holdings, a Delaware corporation that is a domestic corporation for U.S. federal income tax purposes, in the form of shares of Class A common stock. The Former LLC Owners will hold their equity ownership in Rani Holdings in the form of shares of Class A common stock. The Continuing LLC Owners will hold LLC Interests and equity interest in the form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newly issued shares of our Class A common stock on a one-for-one basis or, at our option, for cash. The Up-C structure also provides the Continuing LLC Owners with potential liquidity that holders of non-publicly traded limited liability companies are not typically afforded. If we generate sufficient taxable income, Rani Holdings expects to benefit from the Up-C structure because, in general, we expect cash tax savings in amounts equal to 15% of the tax benefits, as described above,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Factors—Risks Related to Our Organizational Structure.”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4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Immediately following the completion of this offering and the application of net proceeds therefrom, Rani Holdings will be a holding company and our principal asset will be the LLC Interests we purchase from Rani LLC and acquire from the Former LLC Owners. As a result, Rani Holdings will have no independent means of generating revenue. As the sole managing member of Rani LLC, Rani Holdings will operate and control all of the business and affairs of Rani LLC and, through Rani LLC and its subsidiary, conduct our business. Accordingly, we will have the sole voting interest in, and control the management of, Rani LLC. As a result, Rani Holdings will consolidate Rani LLC in our consolidated financial statements and will report a non-controlling interest related to the LLC Interests held by the Continuing LLC Owners on our consolidated financial statements. Rani Holdings will have a board of directors and executive officers and employees.</w:t>
      </w:r>
    </w:p>
    <w:p>
      <w:pPr>
        <w:spacing w:after="0" w:line="17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Rani LLC will be treated as a partnership for U.S. federal income tax purposes and, as such, will generally not be subject to U.S. federal income tax. Instead, taxable income will be allocated to holders of LLC Interests, including Rani Holdings. Accordingly, Rani Holdings will incur income taxes on its allocable share of any net taxable income of Rani LLC. Pursuant to the Rani LLC Agreement, Rani LLC will make cash distributions to the owners of LLC Interests in an amount sufficient to fund their tax obligations in respect of the cumulative taxable income in excess of cumulative taxable losses of Rani LLC that is allocated to them, to the extent previous tax distributions from Rani LLC have been insufficient. In addition to tax expenses, Rani Holdings also will incur expenses related to its operations, plus payments under the Tax Receivable Agreement, which Rani Holdings expects will be significant. Rani Holdings intends to cause Rani LLC to make distributions or, in the case of certain expenses, payments in an amount sufficient to allow Rani Holdings to pay its taxes and operating expenses, including distributions to fund any ordinary course payments due under the Tax Receivable Agreement.</w:t>
      </w:r>
    </w:p>
    <w:p>
      <w:pPr>
        <w:spacing w:after="0" w:line="196"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the sole managing member of Rani LLC, Rani Holdings will have the right to determine when distributions will be made to the holders of LLC Interests in Rani LLC and the amount of any such distributions (subject to the requirements with respect to the tax distributions described above). If Rani Holdings authorizes a distribution, such distribution will be made to the holders of LLC Interests, including Rani Holdings, pro rata in accordance with their respective ownership of Rani LLC, provided that Rani Holdings as sole managing member will be entitled to non-pro rata distributions for certain fees and expenses.</w:t>
      </w:r>
    </w:p>
    <w:p>
      <w:pPr>
        <w:spacing w:after="0" w:line="18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As noted above, each of the Continuing LLC Owners will also hold a number of shares of our Class B common stock initially equal to the number of LLC Interests held by such person. Although these shares have no economic rights, they will allow such Continuing LLC Owners to directly exercise voting power at Rani Holdings, the sole managing member of Rani LLC. Under Rani Holdings’ amended and restated certificate of incorporation, each share of Class B common stock will be entitled to 10 votes per share.</w:t>
      </w:r>
    </w:p>
    <w:p>
      <w:pPr>
        <w:spacing w:after="0" w:line="187"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The Rani LLC Agreement will provide that as a general matter a Continuing LLC Owner will not have the right to exchange LLC Interests if Rani Holdings determines that such exchange would be prohibited by law or regulation or would violate other agreements with us to which the Continuing LLC Owner may be subject, including the Rani LLC Agreement. Additionally, the Rani LLC Agreement contains restrictions on redemptions and exchanges intended to prevent Rani LLC from being treated as a “publicly traded partnership” for U.S. federal income tax purposes. These restrictions are modeled on certain safe harbors provided for under applicable U.S. federal income tax law. Rani Holdings may impose additional restrictions on exchange that Rani Holdings determines to be necessary or advisable so that Rani LLC is not treated as a “publicly traded partnership” for U.S. federal income tax purposes. As a holder exchanges LLC Interests and Class B common stock for cash or shares of Class A common stock or a redemption transaction is effected, the number of LLC Interests held by Rani Holdings is correspondingly increased as it acquires the exchanged LLC Interests or funds the redemption transaction, and a corresponding number of shares of Class B common stock are cancelled. See the section titled “Certain Relationships and Related Person Transactions—Rani LLC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Following This Offering</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Continuing LLC Owners of Rani LLC, from time to time following the completion of this offering, may, subject to the terms of the Rani LLC Agreement, exchange their LLC Interests, together with the corresponding shares of Class B common stock, for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 These exchanges and redemptions are expected to result in increases in the tax basis of the assets of Rani LLC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w:t>
      </w:r>
    </w:p>
    <w:p>
      <w:pPr>
        <w:spacing w:after="0" w:line="168" w:lineRule="exact"/>
        <w:rPr>
          <w:sz w:val="20"/>
          <w:szCs w:val="20"/>
          <w:color w:val="auto"/>
        </w:rPr>
      </w:pPr>
    </w:p>
    <w:p>
      <w:pPr>
        <w:ind w:left="120" w:right="340" w:firstLine="881"/>
        <w:spacing w:after="0" w:line="296" w:lineRule="auto"/>
        <w:rPr>
          <w:sz w:val="20"/>
          <w:szCs w:val="20"/>
          <w:color w:val="auto"/>
        </w:rPr>
      </w:pPr>
      <w:r>
        <w:rPr>
          <w:rFonts w:ascii="Arial" w:cs="Arial" w:eastAsia="Arial" w:hAnsi="Arial"/>
          <w:sz w:val="16"/>
          <w:szCs w:val="16"/>
          <w:color w:val="auto"/>
        </w:rPr>
        <w:t>Rani Holdings will enter into a Tax Receivable Agreement with the Continuing LLC Owners that will provide for the payment by Rani Holdings of 85% of the amount of the calculated tax savings, if any, that Rani Holdings realizes, or in some circumstances is deemed to realize, as a result of this existing and increased tax basis and certain other tax benefits related to it entering into the Tax Receivable Agreement, including tax benefits attributable to payments under the Tax Receivable Agreement. These payment obligations are obligations of Rani Holdings and not of Rani LLC. See the section titled “Certain Relationships and Related Person Transactions—Tax Receivable Agreement” for additional information.</w:t>
      </w:r>
    </w:p>
    <w:p>
      <w:pPr>
        <w:spacing w:after="0" w:line="16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Rani Holdings may accumulate cash balances in future years resulting from distributions from Rani LLC exceeding its tax or other liabilities. To the extent Rani Holdings does not use such cash balances to pay a dividend on or repurchase shares of Class A common stock and instead decides to hold or recontribute such cash balances to Rani LLC for use in its operations, Continuing LLC Owners who exchange LLC Interests and shares of Class B common stock for shares of Class A common stock in the future could also benefit from any value attributable to such accumulated cash balances.</w:t>
      </w:r>
    </w:p>
    <w:p>
      <w:pPr>
        <w:spacing w:after="0" w:line="188"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See the section titled “Description of Capital Stock” for more information about our certificate of incorporation and the terms of the Class A common stock and Class B common stock. See the section titled “Certain Relationships and Related Person Transactions” for more information about</w:t>
      </w:r>
    </w:p>
    <w:p>
      <w:pPr>
        <w:ind w:left="120" w:right="180" w:hanging="4"/>
        <w:spacing w:after="0" w:line="260" w:lineRule="auto"/>
        <w:tabs>
          <w:tab w:leader="none" w:pos="3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Rani LLC Agreement, including the terms of the LLC Interests and the redemption right of the Continuing LLC Owner; (ii) the Tax Receivable Agreement; and (iii) the Registration Rights Agreement.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134620</wp:posOffset>
            </wp:positionV>
            <wp:extent cx="5143500" cy="6617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6617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580"/>
          </w:cols>
          <w:pgMar w:left="320" w:top="459" w:right="9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cash and cash equivalents and consolidated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 Rani LLC and its subsidiary on an actual basis;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of Rani Holdings on a pro forma basis, after giving effect to:</w:t>
      </w:r>
    </w:p>
    <w:p>
      <w:pPr>
        <w:spacing w:after="0" w:line="252" w:lineRule="exact"/>
        <w:rPr>
          <w:sz w:val="20"/>
          <w:szCs w:val="20"/>
          <w:color w:val="auto"/>
        </w:rPr>
      </w:pPr>
    </w:p>
    <w:p>
      <w:pPr>
        <w:ind w:left="1740" w:right="100" w:hanging="319"/>
        <w:spacing w:after="0" w:line="286" w:lineRule="auto"/>
        <w:tabs>
          <w:tab w:leader="none" w:pos="1720" w:val="left"/>
        </w:tabs>
        <w:rPr>
          <w:sz w:val="20"/>
          <w:szCs w:val="20"/>
          <w:color w:val="auto"/>
        </w:rPr>
      </w:pPr>
      <w:r>
        <w:rPr>
          <w:rFonts w:ascii="Arial" w:cs="Arial" w:eastAsia="Arial" w:hAnsi="Arial"/>
          <w:sz w:val="17"/>
          <w:szCs w:val="17"/>
          <w:color w:val="auto"/>
        </w:rPr>
        <w:t>•</w:t>
        <w:tab/>
        <w:t>the conversion of all outstanding units of our convertible preferred units as of March 31, 2021 into a of a single class of economic nonvoting Class A units and an equal number of voting noneconomic Class B units and the related reclassification of the carrying value of our convertible preferred units converted to our common stock as permanent equity;</w:t>
      </w:r>
    </w:p>
    <w:p>
      <w:pPr>
        <w:spacing w:after="0" w:line="192" w:lineRule="exact"/>
        <w:rPr>
          <w:sz w:val="20"/>
          <w:szCs w:val="20"/>
          <w:color w:val="auto"/>
        </w:rPr>
      </w:pPr>
    </w:p>
    <w:p>
      <w:pPr>
        <w:ind w:left="1740" w:hanging="315"/>
        <w:spacing w:after="0"/>
        <w:tabs>
          <w:tab w:leader="none" w:pos="17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repay in full our outstanding PPP Loan with Comerica Bank which, as of March 31, 2021, had an outstanding principal balance of</w:t>
      </w:r>
    </w:p>
    <w:p>
      <w:pPr>
        <w:spacing w:after="0" w:line="46" w:lineRule="exact"/>
        <w:rPr>
          <w:sz w:val="20"/>
          <w:szCs w:val="20"/>
          <w:color w:val="auto"/>
        </w:rPr>
      </w:pPr>
    </w:p>
    <w:p>
      <w:pPr>
        <w:ind w:left="2560" w:hanging="811"/>
        <w:spacing w:after="0"/>
        <w:tabs>
          <w:tab w:leader="none" w:pos="25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million;</w:t>
      </w:r>
    </w:p>
    <w:p>
      <w:pPr>
        <w:spacing w:after="0" w:line="23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320" w:type="dxa"/>
            <w:vAlign w:val="bottom"/>
            <w:gridSpan w:val="3"/>
          </w:tcPr>
          <w:p>
            <w:pPr>
              <w:ind w:left="120"/>
              <w:spacing w:after="0"/>
              <w:rPr>
                <w:sz w:val="20"/>
                <w:szCs w:val="20"/>
                <w:color w:val="auto"/>
              </w:rPr>
            </w:pPr>
            <w:r>
              <w:rPr>
                <w:rFonts w:ascii="Arial" w:cs="Arial" w:eastAsia="Arial" w:hAnsi="Arial"/>
                <w:sz w:val="18"/>
                <w:szCs w:val="18"/>
                <w:color w:val="auto"/>
                <w:w w:val="96"/>
              </w:rPr>
              <w:t>the Organizational Transactions, including our issuance and sale of</w:t>
            </w:r>
          </w:p>
        </w:tc>
        <w:tc>
          <w:tcPr>
            <w:tcW w:w="3980" w:type="dxa"/>
            <w:vAlign w:val="bottom"/>
            <w:gridSpan w:val="3"/>
          </w:tcPr>
          <w:p>
            <w:pPr>
              <w:ind w:left="360"/>
              <w:spacing w:after="0"/>
              <w:rPr>
                <w:sz w:val="20"/>
                <w:szCs w:val="20"/>
                <w:color w:val="auto"/>
              </w:rPr>
            </w:pPr>
            <w:r>
              <w:rPr>
                <w:rFonts w:ascii="Arial" w:cs="Arial" w:eastAsia="Arial" w:hAnsi="Arial"/>
                <w:sz w:val="18"/>
                <w:szCs w:val="18"/>
                <w:color w:val="auto"/>
                <w:w w:val="90"/>
              </w:rPr>
              <w:t>shares of Class A common stock in this offering at</w:t>
            </w:r>
          </w:p>
        </w:tc>
      </w:tr>
      <w:tr>
        <w:trPr>
          <w:trHeight w:val="216"/>
        </w:trPr>
        <w:tc>
          <w:tcPr>
            <w:tcW w:w="200" w:type="dxa"/>
            <w:vAlign w:val="bottom"/>
          </w:tcPr>
          <w:p>
            <w:pPr>
              <w:spacing w:after="0"/>
              <w:rPr>
                <w:sz w:val="18"/>
                <w:szCs w:val="18"/>
                <w:color w:val="auto"/>
              </w:rPr>
            </w:pP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w w:val="97"/>
              </w:rPr>
              <w:t>an assumed initial public offering price of $</w:t>
            </w:r>
          </w:p>
        </w:tc>
        <w:tc>
          <w:tcPr>
            <w:tcW w:w="5420" w:type="dxa"/>
            <w:vAlign w:val="bottom"/>
            <w:gridSpan w:val="3"/>
          </w:tcPr>
          <w:p>
            <w:pPr>
              <w:ind w:left="180"/>
              <w:spacing w:after="0"/>
              <w:rPr>
                <w:sz w:val="20"/>
                <w:szCs w:val="20"/>
                <w:color w:val="auto"/>
              </w:rPr>
            </w:pPr>
            <w:r>
              <w:rPr>
                <w:rFonts w:ascii="Arial" w:cs="Arial" w:eastAsia="Arial" w:hAnsi="Arial"/>
                <w:sz w:val="18"/>
                <w:szCs w:val="18"/>
                <w:color w:val="auto"/>
                <w:w w:val="90"/>
              </w:rPr>
              <w:t>per share, the midpoint of the price range listed on the cover page of this</w:t>
            </w:r>
          </w:p>
        </w:tc>
        <w:tc>
          <w:tcPr>
            <w:tcW w:w="4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9300" w:type="dxa"/>
            <w:vAlign w:val="bottom"/>
            <w:gridSpan w:val="6"/>
          </w:tcPr>
          <w:p>
            <w:pPr>
              <w:ind w:left="120"/>
              <w:spacing w:after="0"/>
              <w:rPr>
                <w:sz w:val="20"/>
                <w:szCs w:val="20"/>
                <w:color w:val="auto"/>
              </w:rPr>
            </w:pPr>
            <w:r>
              <w:rPr>
                <w:rFonts w:ascii="Arial" w:cs="Arial" w:eastAsia="Arial" w:hAnsi="Arial"/>
                <w:sz w:val="18"/>
                <w:szCs w:val="18"/>
                <w:color w:val="auto"/>
                <w:w w:val="90"/>
              </w:rPr>
              <w:t>prospectus after (x) deducting the underwriting discounts and commissions and estimated offering expenses payable by us and</w:t>
            </w:r>
          </w:p>
        </w:tc>
      </w:tr>
      <w:tr>
        <w:trPr>
          <w:trHeight w:val="230"/>
        </w:trPr>
        <w:tc>
          <w:tcPr>
            <w:tcW w:w="200" w:type="dxa"/>
            <w:vAlign w:val="bottom"/>
          </w:tcPr>
          <w:p>
            <w:pPr>
              <w:spacing w:after="0"/>
              <w:rPr>
                <w:sz w:val="20"/>
                <w:szCs w:val="20"/>
                <w:color w:val="auto"/>
              </w:rPr>
            </w:pPr>
          </w:p>
        </w:tc>
        <w:tc>
          <w:tcPr>
            <w:tcW w:w="8880" w:type="dxa"/>
            <w:vAlign w:val="bottom"/>
            <w:gridSpan w:val="5"/>
          </w:tcPr>
          <w:p>
            <w:pPr>
              <w:ind w:left="120"/>
              <w:spacing w:after="0"/>
              <w:rPr>
                <w:sz w:val="20"/>
                <w:szCs w:val="20"/>
                <w:color w:val="auto"/>
              </w:rPr>
            </w:pPr>
            <w:r>
              <w:rPr>
                <w:rFonts w:ascii="Arial" w:cs="Arial" w:eastAsia="Arial" w:hAnsi="Arial"/>
                <w:sz w:val="18"/>
                <w:szCs w:val="18"/>
                <w:color w:val="auto"/>
              </w:rPr>
              <w:t>(y) the application of the proceeds from the offering, each as described under “Use of Proceeds”; and</w:t>
            </w:r>
          </w:p>
        </w:tc>
        <w:tc>
          <w:tcPr>
            <w:tcW w:w="420" w:type="dxa"/>
            <w:vAlign w:val="bottom"/>
          </w:tcPr>
          <w:p>
            <w:pPr>
              <w:spacing w:after="0"/>
              <w:rPr>
                <w:sz w:val="20"/>
                <w:szCs w:val="20"/>
                <w:color w:val="auto"/>
              </w:rPr>
            </w:pPr>
          </w:p>
        </w:tc>
      </w:tr>
      <w:tr>
        <w:trPr>
          <w:trHeight w:val="44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rPr>
              <w:t>the issuance of</w:t>
            </w:r>
          </w:p>
        </w:tc>
        <w:tc>
          <w:tcPr>
            <w:tcW w:w="7320" w:type="dxa"/>
            <w:vAlign w:val="bottom"/>
            <w:gridSpan w:val="4"/>
          </w:tcPr>
          <w:p>
            <w:pPr>
              <w:ind w:left="360"/>
              <w:spacing w:after="0"/>
              <w:rPr>
                <w:sz w:val="20"/>
                <w:szCs w:val="20"/>
                <w:color w:val="auto"/>
              </w:rPr>
            </w:pPr>
            <w:r>
              <w:rPr>
                <w:rFonts w:ascii="Arial" w:cs="Arial" w:eastAsia="Arial" w:hAnsi="Arial"/>
                <w:sz w:val="18"/>
                <w:szCs w:val="18"/>
                <w:color w:val="auto"/>
                <w:w w:val="98"/>
              </w:rPr>
              <w:t>shares of Class A common stock issuable upon the net exercise of warrants to purchase</w:t>
            </w:r>
          </w:p>
        </w:tc>
        <w:tc>
          <w:tcPr>
            <w:tcW w:w="420" w:type="dxa"/>
            <w:vAlign w:val="bottom"/>
          </w:tcPr>
          <w:p>
            <w:pPr>
              <w:ind w:left="20"/>
              <w:spacing w:after="0"/>
              <w:rPr>
                <w:sz w:val="20"/>
                <w:szCs w:val="20"/>
                <w:color w:val="auto"/>
              </w:rPr>
            </w:pPr>
            <w:r>
              <w:rPr>
                <w:rFonts w:ascii="Arial" w:cs="Arial" w:eastAsia="Arial" w:hAnsi="Arial"/>
                <w:sz w:val="18"/>
                <w:szCs w:val="18"/>
                <w:color w:val="auto"/>
                <w:w w:val="99"/>
              </w:rPr>
              <w:t>units</w:t>
            </w:r>
          </w:p>
        </w:tc>
      </w:tr>
      <w:tr>
        <w:trPr>
          <w:trHeight w:val="216"/>
        </w:trPr>
        <w:tc>
          <w:tcPr>
            <w:tcW w:w="200" w:type="dxa"/>
            <w:vAlign w:val="bottom"/>
          </w:tcPr>
          <w:p>
            <w:pPr>
              <w:spacing w:after="0"/>
              <w:rPr>
                <w:sz w:val="18"/>
                <w:szCs w:val="18"/>
                <w:color w:val="auto"/>
              </w:rPr>
            </w:pPr>
          </w:p>
        </w:tc>
        <w:tc>
          <w:tcPr>
            <w:tcW w:w="6200" w:type="dxa"/>
            <w:vAlign w:val="bottom"/>
            <w:gridSpan w:val="4"/>
          </w:tcPr>
          <w:p>
            <w:pPr>
              <w:ind w:left="120"/>
              <w:spacing w:after="0"/>
              <w:rPr>
                <w:sz w:val="20"/>
                <w:szCs w:val="20"/>
                <w:color w:val="auto"/>
              </w:rPr>
            </w:pPr>
            <w:r>
              <w:rPr>
                <w:rFonts w:ascii="Arial" w:cs="Arial" w:eastAsia="Arial" w:hAnsi="Arial"/>
                <w:sz w:val="18"/>
                <w:szCs w:val="18"/>
                <w:color w:val="auto"/>
                <w:w w:val="97"/>
              </w:rPr>
              <w:t>outstanding as of March 31, 2021, assuming an initial public offering price of $</w:t>
            </w:r>
          </w:p>
        </w:tc>
        <w:tc>
          <w:tcPr>
            <w:tcW w:w="3100" w:type="dxa"/>
            <w:vAlign w:val="bottom"/>
            <w:gridSpan w:val="2"/>
          </w:tcPr>
          <w:p>
            <w:pPr>
              <w:ind w:left="360"/>
              <w:spacing w:after="0"/>
              <w:rPr>
                <w:sz w:val="20"/>
                <w:szCs w:val="20"/>
                <w:color w:val="auto"/>
              </w:rPr>
            </w:pPr>
            <w:r>
              <w:rPr>
                <w:rFonts w:ascii="Arial" w:cs="Arial" w:eastAsia="Arial" w:hAnsi="Arial"/>
                <w:sz w:val="18"/>
                <w:szCs w:val="18"/>
                <w:color w:val="auto"/>
                <w:w w:val="97"/>
              </w:rPr>
              <w:t>per share (the midpoint of the price</w:t>
            </w:r>
          </w:p>
        </w:tc>
      </w:tr>
      <w:tr>
        <w:trPr>
          <w:trHeight w:val="230"/>
        </w:trPr>
        <w:tc>
          <w:tcPr>
            <w:tcW w:w="200" w:type="dxa"/>
            <w:vAlign w:val="bottom"/>
          </w:tcPr>
          <w:p>
            <w:pPr>
              <w:spacing w:after="0"/>
              <w:rPr>
                <w:sz w:val="20"/>
                <w:szCs w:val="20"/>
                <w:color w:val="auto"/>
              </w:rPr>
            </w:pPr>
          </w:p>
        </w:tc>
        <w:tc>
          <w:tcPr>
            <w:tcW w:w="5320" w:type="dxa"/>
            <w:vAlign w:val="bottom"/>
            <w:gridSpan w:val="3"/>
          </w:tcPr>
          <w:p>
            <w:pPr>
              <w:ind w:left="120"/>
              <w:spacing w:after="0"/>
              <w:rPr>
                <w:sz w:val="20"/>
                <w:szCs w:val="20"/>
                <w:color w:val="auto"/>
              </w:rPr>
            </w:pPr>
            <w:r>
              <w:rPr>
                <w:rFonts w:ascii="Arial" w:cs="Arial" w:eastAsia="Arial" w:hAnsi="Arial"/>
                <w:sz w:val="18"/>
                <w:szCs w:val="18"/>
                <w:color w:val="auto"/>
              </w:rPr>
              <w:t>range listed on the cover page of the prospectus).</w:t>
            </w:r>
          </w:p>
        </w:tc>
        <w:tc>
          <w:tcPr>
            <w:tcW w:w="8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2"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the sections titled “Prospectus Summary—Summary Consolidated Historical and Pro Forma Financial Data,” “Organizational Transactions,” “Use of Proceeds,” and “Management’s Discussion and Analysis of Financial Condition and Results of Operations”.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March 31, 2021</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Pro Forma for</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Historical</w:t>
            </w:r>
          </w:p>
        </w:tc>
        <w:tc>
          <w:tcPr>
            <w:tcW w:w="54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Adjusted for the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the</w:t>
            </w: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0" w:type="dxa"/>
            <w:vAlign w:val="bottom"/>
          </w:tcPr>
          <w:p>
            <w:pPr>
              <w:spacing w:after="0"/>
              <w:rPr>
                <w:sz w:val="1"/>
                <w:szCs w:val="1"/>
                <w:color w:val="auto"/>
              </w:rPr>
            </w:pPr>
          </w:p>
        </w:tc>
      </w:tr>
      <w:tr>
        <w:trPr>
          <w:trHeight w:val="148"/>
        </w:trPr>
        <w:tc>
          <w:tcPr>
            <w:tcW w:w="47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par value)</w:t>
            </w: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27"/>
              <w:spacing w:after="0" w:line="149" w:lineRule="exact"/>
              <w:rPr>
                <w:sz w:val="20"/>
                <w:szCs w:val="20"/>
                <w:color w:val="auto"/>
              </w:rPr>
            </w:pPr>
            <w:r>
              <w:rPr>
                <w:rFonts w:ascii="Arial" w:cs="Arial" w:eastAsia="Arial" w:hAnsi="Arial"/>
                <w:sz w:val="14"/>
                <w:szCs w:val="14"/>
                <w:b w:val="1"/>
                <w:bCs w:val="1"/>
                <w:color w:val="auto"/>
              </w:rPr>
              <w:t>Rani</w:t>
            </w:r>
          </w:p>
        </w:tc>
        <w:tc>
          <w:tcPr>
            <w:tcW w:w="540" w:type="dxa"/>
            <w:vAlign w:val="bottom"/>
          </w:tcPr>
          <w:p>
            <w:pPr>
              <w:spacing w:after="0"/>
              <w:rPr>
                <w:sz w:val="12"/>
                <w:szCs w:val="12"/>
                <w:color w:val="auto"/>
              </w:rPr>
            </w:pP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Organizational</w:t>
            </w: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71"/>
        </w:trPr>
        <w:tc>
          <w:tcPr>
            <w:tcW w:w="4740" w:type="dxa"/>
            <w:vAlign w:val="bottom"/>
            <w:gridSpan w:val="5"/>
            <w:vMerge w:val="continue"/>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ind w:right="127"/>
              <w:spacing w:after="0"/>
              <w:rPr>
                <w:sz w:val="20"/>
                <w:szCs w:val="20"/>
                <w:color w:val="auto"/>
              </w:rPr>
            </w:pPr>
            <w:r>
              <w:rPr>
                <w:rFonts w:ascii="Arial" w:cs="Arial" w:eastAsia="Arial" w:hAnsi="Arial"/>
                <w:sz w:val="14"/>
                <w:szCs w:val="14"/>
                <w:b w:val="1"/>
                <w:bCs w:val="1"/>
                <w:color w:val="auto"/>
              </w:rPr>
              <w:t>LLC</w:t>
            </w:r>
          </w:p>
        </w:tc>
        <w:tc>
          <w:tcPr>
            <w:tcW w:w="54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Transactions </w:t>
            </w:r>
            <w:r>
              <w:rPr>
                <w:rFonts w:ascii="Arial" w:cs="Arial" w:eastAsia="Arial" w:hAnsi="Arial"/>
                <w:sz w:val="12"/>
                <w:szCs w:val="12"/>
                <w:b w:val="1"/>
                <w:bCs w:val="1"/>
                <w:color w:val="auto"/>
              </w:rPr>
              <w:t>(1)</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and the Offering</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(unaudited)</w:t>
            </w: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56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color w:val="auto"/>
                <w:w w:val="71"/>
              </w:rPr>
              <w:t>$</w:t>
            </w: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units,</w:t>
            </w:r>
          </w:p>
        </w:tc>
        <w:tc>
          <w:tcPr>
            <w:tcW w:w="224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units authorized, issued and</w:t>
            </w:r>
          </w:p>
        </w:tc>
        <w:tc>
          <w:tcPr>
            <w:tcW w:w="246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outstanding actual;</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no units authorized, issued or outstanding pro forma or pro as forma adjusted</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4"/>
          </w:tcPr>
          <w:p>
            <w:pPr>
              <w:spacing w:after="0"/>
              <w:rPr>
                <w:sz w:val="20"/>
                <w:szCs w:val="20"/>
                <w:color w:val="auto"/>
              </w:rPr>
            </w:pPr>
            <w:r>
              <w:rPr>
                <w:rFonts w:ascii="Arial" w:cs="Arial" w:eastAsia="Arial" w:hAnsi="Arial"/>
                <w:sz w:val="18"/>
                <w:szCs w:val="18"/>
                <w:color w:val="auto"/>
                <w:w w:val="95"/>
              </w:rPr>
              <w:t>Member’s deficit / stockholders’ equity:</w:t>
            </w:r>
          </w:p>
        </w:tc>
        <w:tc>
          <w:tcPr>
            <w:tcW w:w="1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units, $</w:t>
            </w:r>
          </w:p>
        </w:tc>
        <w:tc>
          <w:tcPr>
            <w:tcW w:w="318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rPr>
              <w:t>par value units authorized, issued and</w:t>
            </w:r>
          </w:p>
        </w:tc>
        <w:tc>
          <w:tcPr>
            <w:tcW w:w="2460" w:type="dxa"/>
            <w:vAlign w:val="bottom"/>
            <w:shd w:val="clear" w:color="auto" w:fill="CCEEFF"/>
          </w:tcPr>
          <w:p>
            <w:pPr>
              <w:jc w:val="center"/>
              <w:ind w:right="390"/>
              <w:spacing w:after="0" w:line="201" w:lineRule="exact"/>
              <w:rPr>
                <w:sz w:val="20"/>
                <w:szCs w:val="20"/>
                <w:color w:val="auto"/>
              </w:rPr>
            </w:pPr>
            <w:r>
              <w:rPr>
                <w:rFonts w:ascii="Arial" w:cs="Arial" w:eastAsia="Arial" w:hAnsi="Arial"/>
                <w:sz w:val="18"/>
                <w:szCs w:val="18"/>
                <w:color w:val="auto"/>
                <w:w w:val="89"/>
              </w:rPr>
              <w:t>outstanding actual; no</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units authorized, issued or outstanding pro forma or pro as forma adjusted</w:t>
            </w:r>
          </w:p>
        </w:tc>
        <w:tc>
          <w:tcPr>
            <w:tcW w:w="680" w:type="dxa"/>
            <w:vAlign w:val="bottom"/>
            <w:gridSpan w:val="2"/>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0" w:type="dxa"/>
            <w:vAlign w:val="bottom"/>
            <w:gridSpan w:val="6"/>
          </w:tcPr>
          <w:p>
            <w:pPr>
              <w:spacing w:after="0" w:line="201" w:lineRule="exact"/>
              <w:rPr>
                <w:sz w:val="20"/>
                <w:szCs w:val="20"/>
                <w:color w:val="auto"/>
              </w:rPr>
            </w:pPr>
            <w:r>
              <w:rPr>
                <w:rFonts w:ascii="Arial" w:cs="Arial" w:eastAsia="Arial" w:hAnsi="Arial"/>
                <w:sz w:val="18"/>
                <w:szCs w:val="18"/>
                <w:color w:val="auto"/>
              </w:rPr>
              <w:t>Class A common stock, $0.0001 par value per share, no shares authorized, issued or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ind w:left="180"/>
              <w:spacing w:after="0"/>
              <w:rPr>
                <w:sz w:val="20"/>
                <w:szCs w:val="20"/>
                <w:color w:val="auto"/>
              </w:rPr>
            </w:pPr>
            <w:r>
              <w:rPr>
                <w:rFonts w:ascii="Arial" w:cs="Arial" w:eastAsia="Arial" w:hAnsi="Arial"/>
                <w:sz w:val="18"/>
                <w:szCs w:val="18"/>
                <w:color w:val="auto"/>
                <w:w w:val="90"/>
              </w:rPr>
              <w:t>outstanding, on an actual basis;</w:t>
            </w:r>
          </w:p>
        </w:tc>
        <w:tc>
          <w:tcPr>
            <w:tcW w:w="4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shares authorized,</w:t>
            </w:r>
          </w:p>
        </w:tc>
        <w:tc>
          <w:tcPr>
            <w:tcW w:w="2460" w:type="dxa"/>
            <w:vAlign w:val="bottom"/>
          </w:tcPr>
          <w:p>
            <w:pPr>
              <w:ind w:left="160"/>
              <w:spacing w:after="0"/>
              <w:rPr>
                <w:sz w:val="20"/>
                <w:szCs w:val="20"/>
                <w:color w:val="auto"/>
              </w:rPr>
            </w:pPr>
            <w:r>
              <w:rPr>
                <w:rFonts w:ascii="Arial" w:cs="Arial" w:eastAsia="Arial" w:hAnsi="Arial"/>
                <w:sz w:val="18"/>
                <w:szCs w:val="18"/>
                <w:color w:val="auto"/>
              </w:rPr>
              <w:t>shares issued and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4"/>
          </w:tcPr>
          <w:p>
            <w:pPr>
              <w:ind w:left="180"/>
              <w:spacing w:after="0"/>
              <w:rPr>
                <w:sz w:val="20"/>
                <w:szCs w:val="20"/>
                <w:color w:val="auto"/>
              </w:rPr>
            </w:pPr>
            <w:r>
              <w:rPr>
                <w:rFonts w:ascii="Arial" w:cs="Arial" w:eastAsia="Arial" w:hAnsi="Arial"/>
                <w:sz w:val="18"/>
                <w:szCs w:val="18"/>
                <w:color w:val="auto"/>
              </w:rPr>
              <w:t>outstanding, on a pro forma basis;</w:t>
            </w:r>
          </w:p>
        </w:tc>
        <w:tc>
          <w:tcPr>
            <w:tcW w:w="1780" w:type="dxa"/>
            <w:vAlign w:val="bottom"/>
          </w:tcPr>
          <w:p>
            <w:pPr>
              <w:ind w:left="240"/>
              <w:spacing w:after="0"/>
              <w:rPr>
                <w:sz w:val="20"/>
                <w:szCs w:val="20"/>
                <w:color w:val="auto"/>
              </w:rPr>
            </w:pPr>
            <w:r>
              <w:rPr>
                <w:rFonts w:ascii="Arial" w:cs="Arial" w:eastAsia="Arial" w:hAnsi="Arial"/>
                <w:sz w:val="18"/>
                <w:szCs w:val="18"/>
                <w:color w:val="auto"/>
              </w:rPr>
              <w:t>shares authorized;</w:t>
            </w:r>
          </w:p>
        </w:tc>
        <w:tc>
          <w:tcPr>
            <w:tcW w:w="2460" w:type="dxa"/>
            <w:vAlign w:val="bottom"/>
          </w:tcPr>
          <w:p>
            <w:pPr>
              <w:jc w:val="center"/>
              <w:ind w:right="410"/>
              <w:spacing w:after="0"/>
              <w:rPr>
                <w:sz w:val="20"/>
                <w:szCs w:val="20"/>
                <w:color w:val="auto"/>
              </w:rPr>
            </w:pPr>
            <w:r>
              <w:rPr>
                <w:rFonts w:ascii="Arial" w:cs="Arial" w:eastAsia="Arial" w:hAnsi="Arial"/>
                <w:sz w:val="18"/>
                <w:szCs w:val="18"/>
                <w:color w:val="auto"/>
                <w:w w:val="84"/>
              </w:rPr>
              <w:t>shares issued and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5"/>
          </w:tcPr>
          <w:p>
            <w:pPr>
              <w:ind w:left="180"/>
              <w:spacing w:after="0"/>
              <w:rPr>
                <w:sz w:val="20"/>
                <w:szCs w:val="20"/>
                <w:color w:val="auto"/>
              </w:rPr>
            </w:pPr>
            <w:r>
              <w:rPr>
                <w:rFonts w:ascii="Arial" w:cs="Arial" w:eastAsia="Arial" w:hAnsi="Arial"/>
                <w:sz w:val="18"/>
                <w:szCs w:val="18"/>
                <w:color w:val="auto"/>
              </w:rPr>
              <w:t>outstanding, on a pro forma as adjusted basis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200" w:type="dxa"/>
            <w:vAlign w:val="bottom"/>
            <w:gridSpan w:val="6"/>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per share, no shares authorized, issued or</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outstanding, on an actual basis;</w:t>
            </w: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issued and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outstanding, on a pro forma basis;</w:t>
            </w:r>
          </w:p>
        </w:tc>
        <w:tc>
          <w:tcPr>
            <w:tcW w:w="1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authorized;</w:t>
            </w:r>
          </w:p>
        </w:tc>
        <w:tc>
          <w:tcPr>
            <w:tcW w:w="246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84"/>
              </w:rPr>
              <w:t>shares issued and</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outstanding, on a pro forma as adjusted basis</w:t>
            </w:r>
          </w:p>
        </w:tc>
        <w:tc>
          <w:tcPr>
            <w:tcW w:w="2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00" w:type="dxa"/>
            <w:vAlign w:val="bottom"/>
            <w:gridSpan w:val="3"/>
          </w:tcPr>
          <w:p>
            <w:pPr>
              <w:spacing w:after="0"/>
              <w:rPr>
                <w:sz w:val="20"/>
                <w:szCs w:val="20"/>
                <w:color w:val="auto"/>
              </w:rPr>
            </w:pPr>
            <w:r>
              <w:rPr>
                <w:rFonts w:ascii="Arial" w:cs="Arial" w:eastAsia="Arial" w:hAnsi="Arial"/>
                <w:sz w:val="18"/>
                <w:szCs w:val="18"/>
                <w:color w:val="auto"/>
              </w:rPr>
              <w:t>Additional paid-in-capital</w:t>
            </w: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Accumulated deficit</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gridSpan w:val="5"/>
          </w:tcPr>
          <w:p>
            <w:pPr>
              <w:spacing w:after="0"/>
              <w:rPr>
                <w:sz w:val="20"/>
                <w:szCs w:val="20"/>
                <w:color w:val="auto"/>
              </w:rPr>
            </w:pPr>
            <w:r>
              <w:rPr>
                <w:rFonts w:ascii="Arial" w:cs="Arial" w:eastAsia="Arial" w:hAnsi="Arial"/>
                <w:sz w:val="18"/>
                <w:szCs w:val="18"/>
                <w:color w:val="auto"/>
              </w:rPr>
              <w:t>Total members’ (deficit)/stockholders’ equity</w:t>
            </w:r>
          </w:p>
        </w:tc>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color w:val="auto"/>
                <w:w w:val="71"/>
              </w:rPr>
              <w:t>$</w:t>
            </w:r>
          </w:p>
        </w:tc>
        <w:tc>
          <w:tcPr>
            <w:tcW w:w="5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660" w:type="dxa"/>
            <w:vAlign w:val="bottom"/>
            <w:gridSpan w:val="7"/>
          </w:tcPr>
          <w:p>
            <w:pPr>
              <w:spacing w:after="0"/>
              <w:rPr>
                <w:sz w:val="11"/>
                <w:szCs w:val="11"/>
                <w:color w:val="auto"/>
              </w:rPr>
            </w:pPr>
          </w:p>
        </w:tc>
        <w:tc>
          <w:tcPr>
            <w:tcW w:w="314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880" w:type="dxa"/>
            <w:vAlign w:val="bottom"/>
            <w:gridSpan w:val="8"/>
          </w:tcPr>
          <w:p>
            <w:pPr>
              <w:spacing w:after="0"/>
              <w:rPr>
                <w:sz w:val="20"/>
                <w:szCs w:val="20"/>
                <w:color w:val="auto"/>
              </w:rPr>
            </w:pPr>
            <w:r>
              <w:rPr>
                <w:rFonts w:ascii="Arial" w:cs="Arial" w:eastAsia="Arial" w:hAnsi="Arial"/>
                <w:sz w:val="18"/>
                <w:szCs w:val="18"/>
                <w:color w:val="auto"/>
                <w:w w:val="93"/>
              </w:rPr>
              <w:t>(1)   On a pro forma as adjusted basis, includes the Rani LLC interests not owned by us, which represents</w:t>
            </w:r>
          </w:p>
        </w:tc>
        <w:tc>
          <w:tcPr>
            <w:tcW w:w="3140" w:type="dxa"/>
            <w:vAlign w:val="bottom"/>
            <w:gridSpan w:val="6"/>
          </w:tcPr>
          <w:p>
            <w:pPr>
              <w:ind w:left="160"/>
              <w:spacing w:after="0"/>
              <w:rPr>
                <w:sz w:val="20"/>
                <w:szCs w:val="20"/>
                <w:color w:val="auto"/>
              </w:rPr>
            </w:pPr>
            <w:r>
              <w:rPr>
                <w:rFonts w:ascii="Arial" w:cs="Arial" w:eastAsia="Arial" w:hAnsi="Arial"/>
                <w:sz w:val="18"/>
                <w:szCs w:val="18"/>
                <w:color w:val="auto"/>
              </w:rPr>
              <w:t>% of Rani LLC’s LLC Interests. The</w:t>
            </w:r>
          </w:p>
        </w:tc>
        <w:tc>
          <w:tcPr>
            <w:tcW w:w="0" w:type="dxa"/>
            <w:vAlign w:val="bottom"/>
          </w:tcPr>
          <w:p>
            <w:pPr>
              <w:spacing w:after="0"/>
              <w:rPr>
                <w:sz w:val="1"/>
                <w:szCs w:val="1"/>
                <w:color w:val="auto"/>
              </w:rPr>
            </w:pPr>
          </w:p>
        </w:tc>
      </w:tr>
      <w:tr>
        <w:trPr>
          <w:trHeight w:val="216"/>
        </w:trPr>
        <w:tc>
          <w:tcPr>
            <w:tcW w:w="8620" w:type="dxa"/>
            <w:vAlign w:val="bottom"/>
            <w:gridSpan w:val="10"/>
          </w:tcPr>
          <w:p>
            <w:pPr>
              <w:ind w:left="420"/>
              <w:spacing w:after="0"/>
              <w:rPr>
                <w:sz w:val="20"/>
                <w:szCs w:val="20"/>
                <w:color w:val="auto"/>
              </w:rPr>
            </w:pPr>
            <w:r>
              <w:rPr>
                <w:rFonts w:ascii="Arial" w:cs="Arial" w:eastAsia="Arial" w:hAnsi="Arial"/>
                <w:sz w:val="18"/>
                <w:szCs w:val="18"/>
                <w:color w:val="auto"/>
                <w:w w:val="96"/>
              </w:rPr>
              <w:t>Continuing LLC Owners will hold the non-controlling economic interest in Rani LLC. Rani Holdings will hold</w:t>
            </w:r>
          </w:p>
        </w:tc>
        <w:tc>
          <w:tcPr>
            <w:tcW w:w="2400" w:type="dxa"/>
            <w:vAlign w:val="bottom"/>
            <w:gridSpan w:val="4"/>
          </w:tcPr>
          <w:p>
            <w:pPr>
              <w:ind w:left="180"/>
              <w:spacing w:after="0"/>
              <w:rPr>
                <w:sz w:val="20"/>
                <w:szCs w:val="20"/>
                <w:color w:val="auto"/>
              </w:rPr>
            </w:pPr>
            <w:r>
              <w:rPr>
                <w:rFonts w:ascii="Arial" w:cs="Arial" w:eastAsia="Arial" w:hAnsi="Arial"/>
                <w:sz w:val="18"/>
                <w:szCs w:val="18"/>
                <w:color w:val="auto"/>
                <w:w w:val="95"/>
              </w:rPr>
              <w:t>% of the economic interest in</w:t>
            </w:r>
          </w:p>
        </w:tc>
        <w:tc>
          <w:tcPr>
            <w:tcW w:w="0" w:type="dxa"/>
            <w:vAlign w:val="bottom"/>
          </w:tcPr>
          <w:p>
            <w:pPr>
              <w:spacing w:after="0"/>
              <w:rPr>
                <w:sz w:val="1"/>
                <w:szCs w:val="1"/>
                <w:color w:val="auto"/>
              </w:rPr>
            </w:pPr>
          </w:p>
        </w:tc>
      </w:tr>
      <w:tr>
        <w:trPr>
          <w:trHeight w:val="230"/>
        </w:trPr>
        <w:tc>
          <w:tcPr>
            <w:tcW w:w="1560" w:type="dxa"/>
            <w:vAlign w:val="bottom"/>
            <w:gridSpan w:val="2"/>
          </w:tcPr>
          <w:p>
            <w:pPr>
              <w:ind w:left="420"/>
              <w:spacing w:after="0"/>
              <w:rPr>
                <w:sz w:val="20"/>
                <w:szCs w:val="20"/>
                <w:color w:val="auto"/>
              </w:rPr>
            </w:pPr>
            <w:r>
              <w:rPr>
                <w:rFonts w:ascii="Arial" w:cs="Arial" w:eastAsia="Arial" w:hAnsi="Arial"/>
                <w:sz w:val="18"/>
                <w:szCs w:val="18"/>
                <w:color w:val="auto"/>
              </w:rPr>
              <w:t>Rani LLC.</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Class A common stock to be outstanding after this offering is based on the units of Rani LLC outstanding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excludes:</w:t>
      </w:r>
    </w:p>
    <w:p>
      <w:pPr>
        <w:spacing w:after="0" w:line="238" w:lineRule="exact"/>
        <w:rPr>
          <w:sz w:val="20"/>
          <w:szCs w:val="20"/>
          <w:color w:val="auto"/>
        </w:rPr>
      </w:pPr>
    </w:p>
    <w:p>
      <w:pPr>
        <w:ind w:left="1420" w:right="460" w:hanging="319"/>
        <w:spacing w:after="0" w:line="277" w:lineRule="auto"/>
        <w:tabs>
          <w:tab w:leader="none" w:pos="21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140" w:hanging="1039"/>
        <w:spacing w:after="0"/>
        <w:tabs>
          <w:tab w:leader="none" w:pos="21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Profits Interests by Former LLC Owners;</w:t>
      </w:r>
    </w:p>
    <w:p>
      <w:pPr>
        <w:spacing w:after="0" w:line="263" w:lineRule="exact"/>
        <w:rPr>
          <w:rFonts w:ascii="Arial" w:cs="Arial" w:eastAsia="Arial" w:hAnsi="Arial"/>
          <w:sz w:val="17"/>
          <w:szCs w:val="17"/>
          <w:color w:val="auto"/>
        </w:rPr>
      </w:pPr>
    </w:p>
    <w:p>
      <w:pPr>
        <w:ind w:left="2140" w:hanging="1039"/>
        <w:spacing w:after="0"/>
        <w:tabs>
          <w:tab w:leader="none" w:pos="21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Series E preferred units issuable upon the conversion of our loan and security agreement with Avenue Venture Opportunities</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Fund, L.P., or Avenue, which is convertible at Avenue’s election, that will convert into shares of Class A common stock in connection</w:t>
      </w:r>
    </w:p>
    <w:p>
      <w:pPr>
        <w:spacing w:after="0" w:line="32" w:lineRule="exact"/>
        <w:rPr>
          <w:sz w:val="20"/>
          <w:szCs w:val="20"/>
          <w:color w:val="auto"/>
        </w:rPr>
      </w:pPr>
    </w:p>
    <w:p>
      <w:pPr>
        <w:ind w:left="1420" w:right="320"/>
        <w:spacing w:after="0" w:line="260" w:lineRule="auto"/>
        <w:rPr>
          <w:sz w:val="20"/>
          <w:szCs w:val="20"/>
          <w:color w:val="auto"/>
        </w:rPr>
      </w:pPr>
      <w:r>
        <w:rPr>
          <w:rFonts w:ascii="Arial" w:cs="Arial" w:eastAsia="Arial" w:hAnsi="Arial"/>
          <w:sz w:val="18"/>
          <w:szCs w:val="18"/>
          <w:color w:val="auto"/>
        </w:rPr>
        <w:t>with this offering (based on an assumed initial public offering price of $ per share, which is the midpoint of the estimated offering price range set forth on the cover page of this prospectus);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77" w:lineRule="auto"/>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right="200" w:hanging="319"/>
        <w:spacing w:after="0" w:line="259" w:lineRule="auto"/>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vesting and settlement of restricted stock units to be granted to certain of our employees and executive officers under our 2021 Plan, contingent and effective upon the effectiveness of the registration statement of which this prospectus forms a part, with an exercise price that is equal to the price per share at which our Class A common stock is first sold to the public in this offering.</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60"/>
          </w:cols>
          <w:pgMar w:left="320" w:top="459" w:right="6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The Continuing LLC Owners will maintain their LLC Interests in Rani LLC after the Organizational Transactions. Because the Continuing LLC Owners do not own any Class A common stock or have any right to receive distributions from Rani, we have presented dilution in pro forma net tangible book value per share after this offering assuming the Continuing LLC Owners had their LLC Interests redeemed or exchanged for newly issued shares of Class A common stock on a one-for-one basis (rather than for cash), and the cancellation for no consideration of all of its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Class A common stock investors.</w:t>
      </w:r>
    </w:p>
    <w:p>
      <w:pPr>
        <w:spacing w:after="0" w:line="166" w:lineRule="exact"/>
        <w:rPr>
          <w:sz w:val="20"/>
          <w:szCs w:val="20"/>
          <w:color w:val="auto"/>
        </w:rPr>
      </w:pPr>
    </w:p>
    <w:p>
      <w:pPr>
        <w:ind w:left="120" w:right="440" w:firstLine="881"/>
        <w:spacing w:after="0" w:line="291" w:lineRule="auto"/>
        <w:rPr>
          <w:sz w:val="20"/>
          <w:szCs w:val="20"/>
          <w:color w:val="auto"/>
        </w:rPr>
      </w:pPr>
      <w:r>
        <w:rPr>
          <w:rFonts w:ascii="Arial" w:cs="Arial" w:eastAsia="Arial" w:hAnsi="Arial"/>
          <w:sz w:val="16"/>
          <w:szCs w:val="16"/>
          <w:color w:val="auto"/>
        </w:rPr>
        <w:t>Dilution is the amount by which the offering price paid by the purchasers of the Class A common stock in this offering exceeds the pro forma net tangible book value per share of Class A common stock after the offering. Rani LLC’s net tangible book value as of March 31, 2021 was</w:t>
      </w:r>
    </w:p>
    <w:p>
      <w:pPr>
        <w:ind w:left="120" w:right="300" w:hanging="4"/>
        <w:spacing w:after="0" w:line="290" w:lineRule="auto"/>
        <w:tabs>
          <w:tab w:leader="none" w:pos="570" w:val="left"/>
        </w:tabs>
        <w:numPr>
          <w:ilvl w:val="0"/>
          <w:numId w:val="85"/>
        </w:numPr>
        <w:rPr>
          <w:rFonts w:ascii="Arial" w:cs="Arial" w:eastAsia="Arial" w:hAnsi="Arial"/>
          <w:sz w:val="17"/>
          <w:szCs w:val="17"/>
          <w:color w:val="auto"/>
        </w:rPr>
      </w:pPr>
      <w:r>
        <w:rPr>
          <w:rFonts w:ascii="Arial" w:cs="Arial" w:eastAsia="Arial" w:hAnsi="Arial"/>
          <w:sz w:val="17"/>
          <w:szCs w:val="17"/>
          <w:color w:val="auto"/>
        </w:rPr>
        <w:t>million. Net tangible book value per share is determined at any date by subtracting our total liabilities from the total book value of our tangible assets and dividing the difference by the number of shares of Class A common stock deemed to be outstanding at that date.</w:t>
      </w:r>
    </w:p>
    <w:p>
      <w:pPr>
        <w:spacing w:after="0" w:line="161"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84" w:lineRule="exact"/>
        <w:rPr>
          <w:sz w:val="20"/>
          <w:szCs w:val="20"/>
          <w:color w:val="auto"/>
        </w:rPr>
      </w:pPr>
    </w:p>
    <w:p>
      <w:pPr>
        <w:jc w:val="both"/>
        <w:ind w:left="120" w:right="360" w:firstLine="881"/>
        <w:spacing w:after="0" w:line="291" w:lineRule="auto"/>
        <w:rPr>
          <w:sz w:val="20"/>
          <w:szCs w:val="20"/>
          <w:color w:val="auto"/>
        </w:rPr>
      </w:pPr>
      <w:r>
        <w:rPr>
          <w:rFonts w:ascii="Arial" w:cs="Arial" w:eastAsia="Arial" w:hAnsi="Arial"/>
          <w:sz w:val="16"/>
          <w:szCs w:val="16"/>
          <w:color w:val="auto"/>
        </w:rPr>
        <w:t>Pro forma net tangible book value per share is determined at any date by subtracting our total liabilities from the total book value of our tangible assets and dividing the difference by the number of shares of Class A common stock, after giving effect to the Organizational Transactions,</w:t>
      </w:r>
    </w:p>
    <w:p>
      <w:pPr>
        <w:ind w:left="120" w:right="120"/>
        <w:spacing w:after="0" w:line="281" w:lineRule="auto"/>
        <w:rPr>
          <w:sz w:val="20"/>
          <w:szCs w:val="20"/>
          <w:color w:val="auto"/>
        </w:rPr>
      </w:pPr>
      <w:r>
        <w:rPr>
          <w:rFonts w:ascii="Arial" w:cs="Arial" w:eastAsia="Arial" w:hAnsi="Arial"/>
          <w:sz w:val="16"/>
          <w:szCs w:val="16"/>
          <w:color w:val="auto"/>
        </w:rPr>
        <w:t>including this offering, and the Assumed Redemption. Our pro forma net tangible book value as of March 31, 2021 would have been $ million, or $ per share of Class A common stock. This amount represents an immediate increase in pro forma net tangible book value of $ per share to our existing stockholders and an immediate dilution in pro forma net tangible book value of $ per share to new investors purchasing shares of Class A</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Class A share</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20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 per share as of March 31, 2021 before this offering</w:t>
            </w:r>
            <w:r>
              <w:rPr>
                <w:rFonts w:ascii="Arial" w:cs="Arial" w:eastAsia="Arial" w:hAnsi="Arial"/>
                <w:sz w:val="15"/>
                <w:szCs w:val="15"/>
                <w:color w:val="auto"/>
              </w:rPr>
              <w:t>(1)(2)</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investors in this offering</w:t>
            </w:r>
          </w:p>
        </w:tc>
        <w:tc>
          <w:tcPr>
            <w:tcW w:w="70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in this offering</w:t>
            </w:r>
          </w:p>
        </w:tc>
        <w:tc>
          <w:tcPr>
            <w:tcW w:w="17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20" w:hanging="424"/>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after the Assumed Redemption is set forth below:</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94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Book value of tangible assets</w:t>
            </w:r>
          </w:p>
        </w:tc>
        <w:tc>
          <w:tcPr>
            <w:tcW w:w="164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9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9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9320" w:type="dxa"/>
            <w:vAlign w:val="bottom"/>
            <w:gridSpan w:val="3"/>
          </w:tcPr>
          <w:p>
            <w:pPr>
              <w:ind w:left="360"/>
              <w:spacing w:after="0"/>
              <w:rPr>
                <w:sz w:val="20"/>
                <w:szCs w:val="20"/>
                <w:color w:val="auto"/>
              </w:rPr>
            </w:pPr>
            <w:r>
              <w:rPr>
                <w:rFonts w:ascii="Arial" w:cs="Arial" w:eastAsia="Arial" w:hAnsi="Arial"/>
                <w:sz w:val="18"/>
                <w:szCs w:val="18"/>
                <w:color w:val="auto"/>
              </w:rPr>
              <w:t>Shares of Class A common stock outstanding immediately prior to this offering and after Assumed Redemption</w:t>
            </w:r>
          </w:p>
        </w:tc>
        <w:tc>
          <w:tcPr>
            <w:tcW w:w="9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93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164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the Assumed Redemption.</w:t>
      </w:r>
    </w:p>
    <w:p>
      <w:pPr>
        <w:spacing w:after="0" w:line="252" w:lineRule="exact"/>
        <w:rPr>
          <w:sz w:val="20"/>
          <w:szCs w:val="20"/>
          <w:color w:val="auto"/>
        </w:rPr>
      </w:pPr>
    </w:p>
    <w:p>
      <w:pPr>
        <w:ind w:left="540" w:right="100" w:hanging="424"/>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before the Assumed Redemption is set forth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Book value of tangible assets</w:t>
            </w:r>
          </w:p>
        </w:tc>
        <w:tc>
          <w:tcPr>
            <w:tcW w:w="1380" w:type="dxa"/>
            <w:vAlign w:val="bottom"/>
            <w:gridSpan w:val="2"/>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9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580" w:type="dxa"/>
            <w:vAlign w:val="bottom"/>
            <w:gridSpan w:val="2"/>
          </w:tcPr>
          <w:p>
            <w:pPr>
              <w:ind w:left="360"/>
              <w:spacing w:after="0"/>
              <w:rPr>
                <w:sz w:val="20"/>
                <w:szCs w:val="20"/>
                <w:color w:val="auto"/>
              </w:rPr>
            </w:pPr>
            <w:r>
              <w:rPr>
                <w:rFonts w:ascii="Arial" w:cs="Arial" w:eastAsia="Arial" w:hAnsi="Arial"/>
                <w:sz w:val="18"/>
                <w:szCs w:val="18"/>
                <w:color w:val="auto"/>
                <w:w w:val="98"/>
              </w:rPr>
              <w:t>Shares of Class A common stock outstanding immediately prior to this offering and prior to any Assumed Redemption</w:t>
            </w:r>
          </w:p>
        </w:tc>
        <w:tc>
          <w:tcPr>
            <w:tcW w:w="6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9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138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excludes the Assumed Redemption.</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If the underwriters exercise in full their option to purchase additional shares of our Class A common stock in this offering, the pro forma net tangible book value after the offering would be $ per share, the increase in pro forma net tangible book value per share to existing stockholders would be $ and the dilution per share to new investors would be $ per share, in each case assuming an initial public offering price of $ per share, which is the midpoint of the price range listed on the cover page of this prospectus.</w:t>
      </w:r>
    </w:p>
    <w:p>
      <w:pPr>
        <w:spacing w:after="0" w:line="187"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following table summarizes, as of March 31, 2021 after giving effect to this offering, the Organizational Transactions and the differences between the Original LLC Owners and new investors in this offering with regard to:</w:t>
      </w:r>
    </w:p>
    <w:p>
      <w:pPr>
        <w:spacing w:after="0" w:line="197" w:lineRule="exact"/>
        <w:rPr>
          <w:sz w:val="20"/>
          <w:szCs w:val="20"/>
          <w:color w:val="auto"/>
        </w:rPr>
      </w:pPr>
    </w:p>
    <w:p>
      <w:pPr>
        <w:ind w:left="1420" w:right="1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number of shares of Class A common stock purchased from us by investors in this offering and the number of shares issued to the Original LLC Owners after giving effect to the Assumed Redemption,</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total consideration paid to us in cash by investors purchasing shares of Class A common stock in this offering and by the Original LLC Owners,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average price per share of Class A common stock that such Original LLC Owners and new investors paid.</w:t>
      </w:r>
    </w:p>
    <w:p>
      <w:pPr>
        <w:spacing w:after="0" w:line="252" w:lineRule="exact"/>
        <w:rPr>
          <w:sz w:val="20"/>
          <w:szCs w:val="20"/>
          <w:color w:val="auto"/>
        </w:rPr>
      </w:pPr>
    </w:p>
    <w:p>
      <w:pPr>
        <w:ind w:left="1420" w:right="100" w:hanging="319"/>
        <w:spacing w:after="0" w:line="263" w:lineRule="auto"/>
        <w:tabs>
          <w:tab w:leader="none" w:pos="1400" w:val="left"/>
        </w:tabs>
        <w:rPr>
          <w:sz w:val="20"/>
          <w:szCs w:val="20"/>
          <w:color w:val="auto"/>
        </w:rPr>
      </w:pPr>
      <w:r>
        <w:rPr>
          <w:rFonts w:ascii="Arial" w:cs="Arial" w:eastAsia="Arial" w:hAnsi="Arial"/>
          <w:sz w:val="18"/>
          <w:szCs w:val="18"/>
          <w:color w:val="auto"/>
        </w:rPr>
        <w:t>•</w:t>
        <w:tab/>
        <w:t>The table below is based on an assumed initial public offering price of $ per share, which is the midpoint of the price range listed on the cover page of this prospectus, before deducting the underwriting discounts and commissions and estimated offering expenses payable by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45"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Shares of Class A</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624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6240" w:type="dxa"/>
            <w:vAlign w:val="bottom"/>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62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auto"/>
                <w:w w:val="93"/>
              </w:rPr>
              <w:t>Percent</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Original LLC Owners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Class A common stock. The number of shares of our Class A common stock outstanding after this offering as shown in the tables above is based on the units of Rani LLC outstanding as of March 31, 2021, and excludes:</w:t>
      </w:r>
    </w:p>
    <w:p>
      <w:pPr>
        <w:spacing w:after="0" w:line="211" w:lineRule="exact"/>
        <w:rPr>
          <w:sz w:val="20"/>
          <w:szCs w:val="20"/>
          <w:color w:val="auto"/>
        </w:rPr>
      </w:pPr>
    </w:p>
    <w:p>
      <w:pPr>
        <w:ind w:left="1420" w:right="460" w:hanging="319"/>
        <w:spacing w:after="0" w:line="277" w:lineRule="auto"/>
        <w:tabs>
          <w:tab w:leader="none" w:pos="21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of Class A common stock reserved as of the closing date of this offering for future issuance upon redemption or exchange of LLC Interests by the Continuing LLC Owners;</w:t>
      </w:r>
    </w:p>
    <w:p>
      <w:pPr>
        <w:spacing w:after="0" w:line="197" w:lineRule="exact"/>
        <w:rPr>
          <w:rFonts w:ascii="Arial" w:cs="Arial" w:eastAsia="Arial" w:hAnsi="Arial"/>
          <w:sz w:val="18"/>
          <w:szCs w:val="18"/>
          <w:color w:val="auto"/>
        </w:rPr>
      </w:pPr>
    </w:p>
    <w:p>
      <w:pPr>
        <w:ind w:left="2140" w:hanging="1039"/>
        <w:spacing w:after="0"/>
        <w:tabs>
          <w:tab w:leader="none" w:pos="21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shares of Class A common stock issuable upon exchange of outstanding Profits Interests by Former LLC Owners;</w:t>
      </w:r>
    </w:p>
    <w:p>
      <w:pPr>
        <w:spacing w:after="0" w:line="263" w:lineRule="exact"/>
        <w:rPr>
          <w:rFonts w:ascii="Arial" w:cs="Arial" w:eastAsia="Arial" w:hAnsi="Arial"/>
          <w:sz w:val="17"/>
          <w:szCs w:val="17"/>
          <w:color w:val="auto"/>
        </w:rPr>
      </w:pPr>
    </w:p>
    <w:p>
      <w:pPr>
        <w:ind w:left="1960" w:hanging="859"/>
        <w:spacing w:after="0"/>
        <w:tabs>
          <w:tab w:leader="none" w:pos="19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Series E preferred units issuable upon the conversion of our loan and security agreement with Avenue Venture Opportunities</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Fund, L.P., or Avenue, which is convertible at Avenue’s election, that will convert into shares of Class A common stock in connection</w:t>
      </w:r>
    </w:p>
    <w:p>
      <w:pPr>
        <w:spacing w:after="0" w:line="32" w:lineRule="exact"/>
        <w:rPr>
          <w:sz w:val="20"/>
          <w:szCs w:val="20"/>
          <w:color w:val="auto"/>
        </w:rPr>
      </w:pPr>
    </w:p>
    <w:p>
      <w:pPr>
        <w:ind w:left="1420" w:right="320"/>
        <w:spacing w:after="0" w:line="260" w:lineRule="auto"/>
        <w:rPr>
          <w:sz w:val="20"/>
          <w:szCs w:val="20"/>
          <w:color w:val="auto"/>
        </w:rPr>
      </w:pPr>
      <w:r>
        <w:rPr>
          <w:rFonts w:ascii="Arial" w:cs="Arial" w:eastAsia="Arial" w:hAnsi="Arial"/>
          <w:sz w:val="18"/>
          <w:szCs w:val="18"/>
          <w:color w:val="auto"/>
        </w:rPr>
        <w:t>with this offering (based on an assumed initial public offering price of $ per share, which is the midpoint of the estimated offering price range set forth on the cover page of this prospectus);</w:t>
      </w:r>
    </w:p>
    <w:p>
      <w:pPr>
        <w:spacing w:after="0" w:line="212" w:lineRule="exact"/>
        <w:rPr>
          <w:sz w:val="20"/>
          <w:szCs w:val="20"/>
          <w:color w:val="auto"/>
        </w:rPr>
      </w:pPr>
    </w:p>
    <w:p>
      <w:pPr>
        <w:ind w:left="1420" w:right="180" w:hanging="319"/>
        <w:spacing w:after="0" w:line="277" w:lineRule="auto"/>
        <w:tabs>
          <w:tab w:leader="none" w:pos="2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2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the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right="380" w:hanging="319"/>
        <w:spacing w:after="0" w:line="259" w:lineRule="auto"/>
        <w:tabs>
          <w:tab w:leader="none" w:pos="2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of our Class A common stock issuable upon the vesting and settlement of restricted stock units to be granted to certain of our employees and executive officers under our 2021 Plan, contingent and effective upon the effectiveness of the registration statement of which this prospectus forms a part, with an exercise price that is equal to the price per share at which our Class A common stock is first sold to the public in this offering.</w:t>
      </w:r>
    </w:p>
    <w:p>
      <w:pPr>
        <w:spacing w:after="0" w:line="187"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Notwithstanding the foregoing, to the extent there is an increase in the public offering price, the number of Class A shares outstanding and Class A shares issuable upon redemption of LLC Interests would decrease from the amounts noted herein; to the extent there is a decrease in the public offering price, the number of Class A shares outstanding and Class A shares issuable upon redemption of LLC Interests would increase. However, to the extent there is an increase in the public offering price, the number of Class A shares issuable under awards would increase from the amounts noted herein; to the extent there is a decrease in the public offering price, the number of Class A shares issuable under awards would decrease. A $1.00</w:t>
      </w:r>
    </w:p>
    <w:p>
      <w:pPr>
        <w:spacing w:after="0" w:line="2"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increase (decrease) in the assumed initial public offering price of $ per share, the midpoint of the price range set forth on the cover page of this prospectus, would result in a net decrease (increase) of approximately in the aggregate number of Class A shares outstanding, Class A shares</w:t>
      </w:r>
    </w:p>
    <w:p>
      <w:pPr>
        <w:ind w:left="120" w:right="440"/>
        <w:spacing w:after="0" w:line="323" w:lineRule="auto"/>
        <w:rPr>
          <w:sz w:val="20"/>
          <w:szCs w:val="20"/>
          <w:color w:val="auto"/>
        </w:rPr>
      </w:pPr>
      <w:r>
        <w:rPr>
          <w:rFonts w:ascii="Arial" w:cs="Arial" w:eastAsia="Arial" w:hAnsi="Arial"/>
          <w:sz w:val="16"/>
          <w:szCs w:val="16"/>
          <w:color w:val="auto"/>
        </w:rPr>
        <w:t>issuable upon redemption of LLC Interests and Class A shares issuable under stock awards. The relative magnitude of the change in Class A shares outstanding and Class A shares issuable upon redemption of LLC Interests decreases as the share price moves further away from the midpoint.</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To the extent that any outstanding warrants are exercised or other equity awards are issued under our equity incentive plans, or we issue additional equity or convertible debt securities in the future, there will be further dilution to new investors participating in this offering.</w:t>
      </w:r>
    </w:p>
    <w:p>
      <w:pPr>
        <w:spacing w:after="0" w:line="7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780"/>
          </w:cols>
          <w:pgMar w:left="320" w:top="459" w:right="7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unaudited pro forma condensed consolidated balance sheet as of March 31, 2021 and the unaudited pro forma condensed consolidated statements of operations and comprehensive loss for the three months ended March 31, 2021 and the year ended December 31, 2020 present our consolidated financial position and results of operations after giving pro forma effect to:</w:t>
      </w:r>
    </w:p>
    <w:p>
      <w:pPr>
        <w:spacing w:after="0" w:line="184" w:lineRule="exact"/>
        <w:rPr>
          <w:sz w:val="20"/>
          <w:szCs w:val="20"/>
          <w:color w:val="auto"/>
        </w:rPr>
      </w:pPr>
    </w:p>
    <w:p>
      <w:pPr>
        <w:ind w:left="1000" w:right="440" w:hanging="3"/>
        <w:spacing w:after="0" w:line="263" w:lineRule="auto"/>
        <w:tabs>
          <w:tab w:leader="none" w:pos="1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Organizational Transactions described under the section titled “Organizational Structure,” as if such transactions occurred on March 31, 2021 for the unaudited pro forma condensed consolidated balance sheet and on January 1, 2020 for the unaudited pro forma condensed consolidated statements of operations and comprehensive loss;</w:t>
      </w:r>
    </w:p>
    <w:p>
      <w:pPr>
        <w:spacing w:after="0" w:line="183" w:lineRule="exact"/>
        <w:rPr>
          <w:rFonts w:ascii="Arial" w:cs="Arial" w:eastAsia="Arial" w:hAnsi="Arial"/>
          <w:sz w:val="18"/>
          <w:szCs w:val="18"/>
          <w:color w:val="auto"/>
        </w:rPr>
      </w:pPr>
    </w:p>
    <w:p>
      <w:pPr>
        <w:ind w:left="1000" w:right="860" w:hanging="3"/>
        <w:spacing w:after="0" w:line="277" w:lineRule="auto"/>
        <w:tabs>
          <w:tab w:leader="none" w:pos="12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effects of the Tax Receivable Agreement, as described under the section titled “Certain Relationships and Related Person Transactions—Tax Receivable Agreement;”</w:t>
      </w:r>
    </w:p>
    <w:p>
      <w:pPr>
        <w:spacing w:after="0" w:line="170" w:lineRule="exact"/>
        <w:rPr>
          <w:sz w:val="20"/>
          <w:szCs w:val="20"/>
          <w:color w:val="auto"/>
        </w:rPr>
      </w:pPr>
    </w:p>
    <w:p>
      <w:pPr>
        <w:ind w:left="1000" w:right="300"/>
        <w:spacing w:after="0" w:line="277" w:lineRule="auto"/>
        <w:rPr>
          <w:sz w:val="20"/>
          <w:szCs w:val="20"/>
          <w:color w:val="auto"/>
        </w:rPr>
      </w:pPr>
      <w:r>
        <w:rPr>
          <w:rFonts w:ascii="Arial" w:cs="Arial" w:eastAsia="Arial" w:hAnsi="Arial"/>
          <w:sz w:val="18"/>
          <w:szCs w:val="18"/>
          <w:color w:val="auto"/>
        </w:rPr>
        <w:t>(3) A provision for corporate income taxes on the income attributable to Rani Holdings at a tax rate of %, inclusive of all U.S. federal, state, and local income taxes; and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(4) This offering and the application of the estimated net proceeds from this offering as described under the section titled “Use of Proceeds.”</w:t>
      </w:r>
    </w:p>
    <w:p>
      <w:pPr>
        <w:spacing w:after="0" w:line="24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historical consolidated financial information has been derived from the consolidated financial statements of Rani LLC and its subsidiary and accompanying notes to the consolidated financial statements included elsewhere in this prospectus. Rani Holdings was incorporated on April 6, 2021 and has no material assets or results of operations until the completion of this offering. Therefore, its historical financial information is not included in the unaudited pro forma condensed consolidated financial information.</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The unaudited pro forma condensed consolidated financial information has been prepared on the basis that we will be taxed as a corporation for U.S. federal and state income tax purposes and, accordingly, will become a taxpaying entity subject to U.S. federal, state and foreign income taxes. The unaudited pro forma condensed consolidated financial information were prepared in accordance with Article 11 of SEC Regulation S-X as amended by the final rule, Release No. 33-10786 “Amendments to Financial Disclosures about Acquired and Disposed Businesses.” Release</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 33-10786 replaces the existing pro forma adjustment criteria with simplified requirements to depict the Organizational Transactions and present the reasonably estimable transaction effects that have occurred or reasonably expected to occur. See the accompanying notes to the Unaudited Pro Forma Condensed Consolidated Financial Information for a discussion of assumptions made.</w:t>
      </w:r>
    </w:p>
    <w:p>
      <w:pPr>
        <w:spacing w:after="0" w:line="190"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unaudited pro forma condensed consolidated financial information is not necessarily indicative of financial results that would have been attained had the described transactions occurred on the dates indicated above or that could be achieved in the future. The unaudited pro forma condensed consolidated financial information also does not give effect to the potential impact of any anticipated synergies, operating efficiencies or cost savings that may result from the transactions or any integration costs that result from the Organizational Transactions or any costs that do not have a continuing impact. Future results may vary significantly from the results reflected in the unaudited pro forma condensed consolidated statements of operations and comprehensive loss and should not be relied on as an indication of our results after the consummation of this offering and the other transactions contemplated by such unaudited pro forma condensed consolidated financial information.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condensed consolidated financial information.</w:t>
      </w:r>
    </w:p>
    <w:p>
      <w:pPr>
        <w:spacing w:after="0" w:line="16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director fees, costs to comply with the reporting requirements of the SEC, transfer agent fees, hiring of additional accounting, legal and administrative personnel, increased auditing and legal fees and similar expenses. We have not included any pro forma adjustments relating to these costs.</w:t>
      </w:r>
    </w:p>
    <w:p>
      <w:pPr>
        <w:spacing w:after="0" w:line="12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For purposes of the unaudited pro forma condensed consolidated financial information, we have assumed that we will issue shares of Class A common stock at a price per share equal to the midpoint of the estimated public offering price range set forth on the cover of this prospectus, and, as a result, immediately following the completion of this offering, the ownership percentage represented by LLC Interests not held by us will be</w:t>
      </w:r>
    </w:p>
    <w:p>
      <w:pPr>
        <w:spacing w:after="0" w:line="2" w:lineRule="exact"/>
        <w:rPr>
          <w:sz w:val="20"/>
          <w:szCs w:val="20"/>
          <w:color w:val="auto"/>
        </w:rPr>
      </w:pPr>
    </w:p>
    <w:p>
      <w:pPr>
        <w:ind w:left="120" w:right="180" w:firstLine="180"/>
        <w:spacing w:after="0" w:line="255" w:lineRule="auto"/>
        <w:rPr>
          <w:sz w:val="20"/>
          <w:szCs w:val="20"/>
          <w:color w:val="auto"/>
        </w:rPr>
      </w:pPr>
      <w:r>
        <w:rPr>
          <w:rFonts w:ascii="Arial" w:cs="Arial" w:eastAsia="Arial" w:hAnsi="Arial"/>
          <w:sz w:val="18"/>
          <w:szCs w:val="18"/>
          <w:color w:val="auto"/>
        </w:rPr>
        <w:t>%, and the net income attributable to LLC Interests not held by us will accordingly represent % of our net income. Except as otherwise indicated, the unaudited pro forma condensed consolidated financial information presented assumes no exercise by the underwriters of their option to purchase additional shares of Class A common stock.</w:t>
      </w:r>
    </w:p>
    <w:p>
      <w:pPr>
        <w:spacing w:after="0" w:line="19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As described in greater detail under the section titled “Certain Relationships and Related Person Transactions—Tax Receivable Agreement,” in connection with the consummation of this offering, we will enter into the Tax Receivable Agreement with Rani LLC and the Continuing LLC Owners that will provide for the payment by Rani Holdings to the Continuing LLC Owners of 85% of the amount of tax benefits, if any, that Rani Holdings are deemed to realize (calculated using certain assumptions) as a result of (i) increases in the tax basis of assets of Rani LLC resulting from (a) any future redemptions or exchanges of LLC Interests described above under “—The Offering—Redemption rights of holders of LLC interests”, and (b) 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pacing w:after="0" w:line="185"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If we ever generate sufficient taxable income to utilize the tax benefits from the Organizational Transactions, we expect to benefit from the remaining 15% of cash savings, if any, that we realize. We do not expect to record a liability under the Tax Receivable agreement as result of the Organizational Transactions and the purchase of currently outstanding LLC Interests from Rani LLC with a portion of the net proceeds from this offering. This is because we currently do not expect to generate sufficient taxable income to utilize the tax benefits from the Organizational Transactions and expect to record a full valuation allowance against the deferred tax asset created through the purchase of the LLC Interests. Due to the uncertainty in the amount and timing of future exchanges of LLC Interests by LLC Unitholders and purchases of LLC Interests from LLC Unitholders, the unaudited pro forma condensed consolidated financial information assumes that no future exchanges or purchases of LLC Interests have occurred and therefore no increases in tax basis in the Rani LLC assets or other tax benefits that may be realized thereunder have been assumed in the unaudited pro forma</w:t>
      </w:r>
    </w:p>
    <w:p>
      <w:pPr>
        <w:spacing w:after="0" w:line="1"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condensed consolidated financial information. However, if were to exchange or sell us all of its units, we would recognize a deferred tax asset of approximately $ million and a liability under the Tax Receivable Agreement of approximately $ million, assuming: (i) all exchanges or purchases occurred on the same day; (ii) a price of $ per share of Class A common stock (the midpoint of the price range set forth on the cover page of this prospectus); (iii) a constant corporate tax rate of %; (iv) that we will have sufficient taxable income to utilize the tax benefits and (v) no</w:t>
      </w:r>
    </w:p>
    <w:p>
      <w:pPr>
        <w:spacing w:after="0" w:line="1"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material changes in tax law. These amounts are estimates and have been prepared for illustrative purposes only. The actual amount of deferred tax assets and related liabilities that we will recognize, if any, will differ based on, among other things, the timing of the exchanges, the price per share of our Class A common stock at the time of the exchange, our ability to generate sufficient taxable income to utilize the tax benefits from the Organizational Transactions, and the tax rates then in effect.</w:t>
      </w:r>
    </w:p>
    <w:p>
      <w:pPr>
        <w:sectPr>
          <w:pgSz w:w="11900" w:h="16838" w:orient="portrait"/>
          <w:cols w:equalWidth="0" w:num="1">
            <w:col w:w="11120"/>
          </w:cols>
          <w:pgMar w:left="320" w:top="459" w:right="459" w:bottom="1440" w:gutter="0" w:footer="0" w:header="0"/>
        </w:sectPr>
      </w:pPr>
    </w:p>
    <w:p>
      <w:pPr>
        <w:spacing w:after="0" w:line="193"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each 5% increase (decrease) in the amount of LLC Interests exchanged by or purchased from Interests or other assignees), our deferred tax asset would increase (decrease)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(or their transferees of LLC</w:t>
      </w:r>
    </w:p>
    <w:p>
      <w:pPr>
        <w:spacing w:after="0" w:line="396" w:lineRule="exact"/>
        <w:rPr>
          <w:sz w:val="20"/>
          <w:szCs w:val="20"/>
          <w:color w:val="auto"/>
        </w:rPr>
      </w:pPr>
    </w:p>
    <w:p>
      <w:pPr>
        <w:sectPr>
          <w:pgSz w:w="11900" w:h="16838" w:orient="portrait"/>
          <w:cols w:equalWidth="0" w:num="2">
            <w:col w:w="8000" w:space="620"/>
            <w:col w:w="250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120"/>
          </w:cols>
          <w:pgMar w:left="320" w:top="459" w:right="459" w:bottom="1440" w:gutter="0" w:footer="0" w:header="0"/>
          <w:type w:val="continuous"/>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519"/>
        </w:trPr>
        <w:tc>
          <w:tcPr>
            <w:tcW w:w="1800" w:type="dxa"/>
            <w:vAlign w:val="bottom"/>
            <w:gridSpan w:val="2"/>
          </w:tcPr>
          <w:p>
            <w:pPr>
              <w:ind w:left="120"/>
              <w:spacing w:after="0"/>
              <w:rPr>
                <w:sz w:val="20"/>
                <w:szCs w:val="20"/>
                <w:color w:val="auto"/>
              </w:rPr>
            </w:pPr>
            <w:r>
              <w:rPr>
                <w:rFonts w:ascii="Arial" w:cs="Arial" w:eastAsia="Arial" w:hAnsi="Arial"/>
                <w:sz w:val="18"/>
                <w:szCs w:val="18"/>
                <w:color w:val="auto"/>
              </w:rPr>
              <w:t>by approximately $</w:t>
            </w:r>
          </w:p>
        </w:tc>
        <w:tc>
          <w:tcPr>
            <w:tcW w:w="6180" w:type="dxa"/>
            <w:vAlign w:val="bottom"/>
          </w:tcPr>
          <w:p>
            <w:pPr>
              <w:ind w:left="300"/>
              <w:spacing w:after="0"/>
              <w:rPr>
                <w:sz w:val="20"/>
                <w:szCs w:val="20"/>
                <w:color w:val="auto"/>
              </w:rPr>
            </w:pPr>
            <w:r>
              <w:rPr>
                <w:rFonts w:ascii="Arial" w:cs="Arial" w:eastAsia="Arial" w:hAnsi="Arial"/>
                <w:sz w:val="18"/>
                <w:szCs w:val="18"/>
                <w:color w:val="auto"/>
                <w:w w:val="96"/>
              </w:rPr>
              <w:t>million and the related liability would increase (decrease) by approximately $</w:t>
            </w:r>
          </w:p>
        </w:tc>
        <w:tc>
          <w:tcPr>
            <w:tcW w:w="2920" w:type="dxa"/>
            <w:vAlign w:val="bottom"/>
            <w:gridSpan w:val="2"/>
          </w:tcPr>
          <w:p>
            <w:pPr>
              <w:ind w:left="300"/>
              <w:spacing w:after="0"/>
              <w:rPr>
                <w:sz w:val="20"/>
                <w:szCs w:val="20"/>
                <w:color w:val="auto"/>
              </w:rPr>
            </w:pPr>
            <w:r>
              <w:rPr>
                <w:rFonts w:ascii="Arial" w:cs="Arial" w:eastAsia="Arial" w:hAnsi="Arial"/>
                <w:sz w:val="18"/>
                <w:szCs w:val="18"/>
                <w:color w:val="auto"/>
                <w:w w:val="93"/>
              </w:rPr>
              <w:t>million, assuming that the price per</w:t>
            </w:r>
          </w:p>
        </w:tc>
      </w:tr>
      <w:tr>
        <w:trPr>
          <w:trHeight w:val="230"/>
        </w:trPr>
        <w:tc>
          <w:tcPr>
            <w:tcW w:w="10380" w:type="dxa"/>
            <w:vAlign w:val="bottom"/>
            <w:gridSpan w:val="4"/>
          </w:tcPr>
          <w:p>
            <w:pPr>
              <w:ind w:left="120"/>
              <w:spacing w:after="0"/>
              <w:rPr>
                <w:sz w:val="20"/>
                <w:szCs w:val="20"/>
                <w:color w:val="auto"/>
              </w:rPr>
            </w:pPr>
            <w:r>
              <w:rPr>
                <w:rFonts w:ascii="Arial" w:cs="Arial" w:eastAsia="Arial" w:hAnsi="Arial"/>
                <w:sz w:val="18"/>
                <w:szCs w:val="18"/>
                <w:color w:val="auto"/>
                <w:w w:val="91"/>
              </w:rPr>
              <w:t>share of Class A common stock and corporate tax rate remain the same. For each $1.00 increase (decrease) in the assumed share price of $</w:t>
            </w:r>
          </w:p>
        </w:tc>
        <w:tc>
          <w:tcPr>
            <w:tcW w:w="520" w:type="dxa"/>
            <w:vAlign w:val="bottom"/>
          </w:tcPr>
          <w:p>
            <w:pPr>
              <w:ind w:left="280"/>
              <w:spacing w:after="0"/>
              <w:rPr>
                <w:sz w:val="20"/>
                <w:szCs w:val="20"/>
                <w:color w:val="auto"/>
              </w:rPr>
            </w:pPr>
            <w:r>
              <w:rPr>
                <w:rFonts w:ascii="Arial" w:cs="Arial" w:eastAsia="Arial" w:hAnsi="Arial"/>
                <w:sz w:val="18"/>
                <w:szCs w:val="18"/>
                <w:color w:val="auto"/>
                <w:w w:val="84"/>
              </w:rPr>
              <w:t>per</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 of Class A common stock, our deferred tax asset would increase (decrease) by approximately $million and the related liability would increase</w:t>
      </w:r>
    </w:p>
    <w:p>
      <w:pPr>
        <w:spacing w:after="0" w:line="3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(decrease) by approximately $ million, assuming that the number of LLC Interests exchanged by or purchased from (or their transferees of LLC Interests and other assignees) and the corporate tax rate remain the same. These amounts are estimates and have been prepared for illustrative purposes only. The actual amount of deferred tax assets and liability under the Tax Receivable Agreement that we will recognize will differ based on, among other things, the timing of the exchanges and purchases, the price of our shares of Class A common stock at the time of the exchange or purchase, our ability to generate sufficient taxable income to utilize the tax benefits from the Organizational Transactions, and the tax rates then in effect.</w:t>
      </w:r>
    </w:p>
    <w:p>
      <w:pPr>
        <w:spacing w:after="0" w:line="194" w:lineRule="exact"/>
        <w:rPr>
          <w:sz w:val="20"/>
          <w:szCs w:val="20"/>
          <w:color w:val="auto"/>
        </w:rPr>
      </w:pPr>
    </w:p>
    <w:p>
      <w:pPr>
        <w:jc w:val="both"/>
        <w:ind w:left="120" w:right="340" w:firstLine="881"/>
        <w:spacing w:after="0" w:line="279" w:lineRule="auto"/>
        <w:rPr>
          <w:sz w:val="20"/>
          <w:szCs w:val="20"/>
          <w:color w:val="auto"/>
        </w:rPr>
      </w:pPr>
      <w:r>
        <w:rPr>
          <w:rFonts w:ascii="Arial" w:cs="Arial" w:eastAsia="Arial" w:hAnsi="Arial"/>
          <w:sz w:val="17"/>
          <w:szCs w:val="17"/>
          <w:color w:val="auto"/>
        </w:rPr>
        <w:t>The unaudited pro forma condensed consolidated financial information should be read together with the sections titled “Risk Factors,” “Organizational Structure,” “Capitalization,” “Management’s Discussion and Analysis of Financial Condition and Results of Operations” and the audited consolidated financial statements of Rani LLC and related notes thereto as well as the interim unaudited condensed consolidated financial statements of Rani LLC and related notes thereto included elsewhere in this prospectus.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320" w:top="445"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Rani</w:t>
            </w:r>
          </w:p>
        </w:tc>
        <w:tc>
          <w:tcPr>
            <w:tcW w:w="460" w:type="dxa"/>
            <w:vAlign w:val="bottom"/>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2"/>
              </w:rPr>
              <w:t>Organizational</w:t>
            </w:r>
          </w:p>
        </w:tc>
        <w:tc>
          <w:tcPr>
            <w:tcW w:w="17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b w:val="1"/>
                <w:bCs w:val="1"/>
                <w:color w:val="auto"/>
                <w:w w:val="90"/>
              </w:rPr>
              <w:t>Therapeutics,</w:t>
            </w:r>
          </w:p>
        </w:tc>
        <w:tc>
          <w:tcPr>
            <w:tcW w:w="4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Therapeutics</w:t>
            </w:r>
          </w:p>
        </w:tc>
        <w:tc>
          <w:tcPr>
            <w:tcW w:w="0" w:type="dxa"/>
            <w:vAlign w:val="bottom"/>
          </w:tcPr>
          <w:p>
            <w:pPr>
              <w:spacing w:after="0"/>
              <w:rPr>
                <w:sz w:val="1"/>
                <w:szCs w:val="1"/>
                <w:color w:val="auto"/>
              </w:rPr>
            </w:pPr>
          </w:p>
        </w:tc>
      </w:tr>
      <w:tr>
        <w:trPr>
          <w:trHeight w:val="148"/>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(In thousands, except share and unit amounts)</w:t>
            </w:r>
          </w:p>
        </w:tc>
        <w:tc>
          <w:tcPr>
            <w:tcW w:w="5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LLC As</w:t>
            </w:r>
          </w:p>
        </w:tc>
        <w:tc>
          <w:tcPr>
            <w:tcW w:w="460" w:type="dxa"/>
            <w:vAlign w:val="bottom"/>
          </w:tcPr>
          <w:p>
            <w:pPr>
              <w:spacing w:after="0"/>
              <w:rPr>
                <w:sz w:val="12"/>
                <w:szCs w:val="12"/>
                <w:color w:val="auto"/>
              </w:rPr>
            </w:pPr>
          </w:p>
        </w:tc>
        <w:tc>
          <w:tcPr>
            <w:tcW w:w="92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Transactions</w:t>
            </w:r>
          </w:p>
        </w:tc>
        <w:tc>
          <w:tcPr>
            <w:tcW w:w="178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171"/>
        </w:trPr>
        <w:tc>
          <w:tcPr>
            <w:tcW w:w="292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46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4"/>
                <w:szCs w:val="14"/>
                <w:b w:val="1"/>
                <w:bCs w:val="1"/>
                <w:color w:val="auto"/>
                <w:w w:val="99"/>
              </w:rPr>
              <w:t>Adjustments</w:t>
            </w:r>
          </w:p>
        </w:tc>
        <w:tc>
          <w:tcPr>
            <w:tcW w:w="17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96"/>
        </w:trPr>
        <w:tc>
          <w:tcPr>
            <w:tcW w:w="1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Cash and cash equivalents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 (2) (6)</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6"/>
          </w:tcPr>
          <w:p>
            <w:pPr>
              <w:ind w:left="360"/>
              <w:spacing w:after="0"/>
              <w:rPr>
                <w:sz w:val="20"/>
                <w:szCs w:val="20"/>
                <w:color w:val="auto"/>
              </w:rPr>
            </w:pPr>
            <w:r>
              <w:rPr>
                <w:rFonts w:ascii="Arial" w:cs="Arial" w:eastAsia="Arial" w:hAnsi="Arial"/>
                <w:sz w:val="18"/>
                <w:szCs w:val="18"/>
                <w:color w:val="auto"/>
              </w:rPr>
              <w:t>Current portion of elated party notes receivable</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ind w:left="720"/>
              <w:spacing w:after="0"/>
              <w:rPr>
                <w:sz w:val="20"/>
                <w:szCs w:val="20"/>
                <w:color w:val="auto"/>
              </w:rPr>
            </w:pPr>
            <w:r>
              <w:rPr>
                <w:rFonts w:ascii="Arial" w:cs="Arial" w:eastAsia="Arial" w:hAnsi="Arial"/>
                <w:sz w:val="18"/>
                <w:szCs w:val="18"/>
                <w:color w:val="auto"/>
              </w:rPr>
              <w:t>Total current assets</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Related party notes receivable, less current portion</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gridSpan w:val="2"/>
          </w:tcPr>
          <w:p>
            <w:pPr>
              <w:ind w:left="360"/>
              <w:spacing w:after="0"/>
              <w:rPr>
                <w:sz w:val="20"/>
                <w:szCs w:val="20"/>
                <w:color w:val="auto"/>
              </w:rPr>
            </w:pPr>
            <w:r>
              <w:rPr>
                <w:rFonts w:ascii="Arial" w:cs="Arial" w:eastAsia="Arial" w:hAnsi="Arial"/>
                <w:sz w:val="18"/>
                <w:szCs w:val="18"/>
                <w:color w:val="auto"/>
                <w:w w:val="89"/>
              </w:rPr>
              <w:t>Property and equipment, net</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4"/>
              </w:rPr>
              <w:t>Total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5"/>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00" w:type="dxa"/>
            <w:vAlign w:val="bottom"/>
            <w:gridSpan w:val="5"/>
          </w:tcPr>
          <w:p>
            <w:pPr>
              <w:spacing w:after="0" w:line="192" w:lineRule="exact"/>
              <w:rPr>
                <w:sz w:val="20"/>
                <w:szCs w:val="20"/>
                <w:color w:val="auto"/>
              </w:rPr>
            </w:pPr>
            <w:r>
              <w:rPr>
                <w:rFonts w:ascii="Arial" w:cs="Arial" w:eastAsia="Arial" w:hAnsi="Arial"/>
                <w:sz w:val="18"/>
                <w:szCs w:val="18"/>
                <w:b w:val="1"/>
                <w:bCs w:val="1"/>
                <w:color w:val="auto"/>
              </w:rPr>
              <w:t>Liabilities, Redeemable Convertible Preferred Units and Members’</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Arial" w:cs="Arial" w:eastAsia="Arial" w:hAnsi="Arial"/>
                <w:sz w:val="18"/>
                <w:szCs w:val="18"/>
                <w:b w:val="1"/>
                <w:bCs w:val="1"/>
                <w:color w:val="auto"/>
                <w:w w:val="92"/>
              </w:rPr>
              <w:t>Deficit/Stockholders’ Equity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72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5"/>
              </w:rPr>
              <w:t>Related party payable</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4"/>
          </w:tcPr>
          <w:p>
            <w:pPr>
              <w:ind w:left="720"/>
              <w:spacing w:after="0"/>
              <w:rPr>
                <w:sz w:val="20"/>
                <w:szCs w:val="20"/>
                <w:color w:val="auto"/>
              </w:rPr>
            </w:pPr>
            <w:r>
              <w:rPr>
                <w:rFonts w:ascii="Arial" w:cs="Arial" w:eastAsia="Arial" w:hAnsi="Arial"/>
                <w:sz w:val="18"/>
                <w:szCs w:val="18"/>
                <w:color w:val="auto"/>
              </w:rPr>
              <w:t>Current portion of long-term debt</w:t>
            </w:r>
          </w:p>
        </w:tc>
        <w:tc>
          <w:tcPr>
            <w:tcW w:w="26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6"/>
              </w:rPr>
              <w:t>Long-term liabilities: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w w:val="93"/>
              </w:rPr>
              <w:t>Preferred unit warrant liability</w:t>
            </w:r>
          </w:p>
        </w:tc>
        <w:tc>
          <w:tcPr>
            <w:tcW w:w="5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4"/>
          </w:tcPr>
          <w:p>
            <w:pPr>
              <w:ind w:left="720"/>
              <w:spacing w:after="0"/>
              <w:rPr>
                <w:sz w:val="20"/>
                <w:szCs w:val="20"/>
                <w:color w:val="auto"/>
              </w:rPr>
            </w:pPr>
            <w:r>
              <w:rPr>
                <w:rFonts w:ascii="Arial" w:cs="Arial" w:eastAsia="Arial" w:hAnsi="Arial"/>
                <w:sz w:val="18"/>
                <w:szCs w:val="18"/>
                <w:color w:val="auto"/>
                <w:w w:val="93"/>
              </w:rPr>
              <w:t>Long-term debt, less current portion</w:t>
            </w:r>
          </w:p>
        </w:tc>
        <w:tc>
          <w:tcPr>
            <w:tcW w:w="26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(6)</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26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w w:val="91"/>
              </w:rPr>
              <w:t>Commitments and contingencies</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units,</w:t>
            </w:r>
          </w:p>
        </w:tc>
        <w:tc>
          <w:tcPr>
            <w:tcW w:w="4520" w:type="dxa"/>
            <w:vAlign w:val="bottom"/>
            <w:gridSpan w:val="4"/>
            <w:shd w:val="clear" w:color="auto" w:fill="CCEEFF"/>
          </w:tcPr>
          <w:p>
            <w:pPr>
              <w:ind w:left="20"/>
              <w:spacing w:after="0" w:line="201" w:lineRule="exact"/>
              <w:rPr>
                <w:sz w:val="20"/>
                <w:szCs w:val="20"/>
                <w:color w:val="auto"/>
              </w:rPr>
            </w:pPr>
            <w:r>
              <w:rPr>
                <w:rFonts w:ascii="Arial" w:cs="Arial" w:eastAsia="Arial" w:hAnsi="Arial"/>
                <w:sz w:val="18"/>
                <w:szCs w:val="18"/>
                <w:color w:val="auto"/>
              </w:rPr>
              <w:t>units authorized and units issued and</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Members’ Deficit/Stockholders’ Equity:</w:t>
            </w:r>
          </w:p>
        </w:tc>
        <w:tc>
          <w:tcPr>
            <w:tcW w:w="2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units,</w:t>
            </w:r>
          </w:p>
        </w:tc>
        <w:tc>
          <w:tcPr>
            <w:tcW w:w="18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units authorized and</w:t>
            </w:r>
          </w:p>
        </w:tc>
        <w:tc>
          <w:tcPr>
            <w:tcW w:w="352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units issued and outstanding</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7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5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Class A common stock, par value $</w:t>
            </w:r>
          </w:p>
        </w:tc>
        <w:tc>
          <w:tcPr>
            <w:tcW w:w="402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Class B common stock, par value $</w:t>
            </w:r>
          </w:p>
        </w:tc>
        <w:tc>
          <w:tcPr>
            <w:tcW w:w="40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Additional paid-in-capital</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80" w:type="dxa"/>
            <w:vAlign w:val="bottom"/>
          </w:tcPr>
          <w:p>
            <w:pPr>
              <w:ind w:left="160"/>
              <w:spacing w:after="0" w:line="201" w:lineRule="exact"/>
              <w:rPr>
                <w:sz w:val="20"/>
                <w:szCs w:val="20"/>
                <w:color w:val="auto"/>
              </w:rPr>
            </w:pPr>
            <w:r>
              <w:rPr>
                <w:rFonts w:ascii="Arial" w:cs="Arial" w:eastAsia="Arial" w:hAnsi="Arial"/>
                <w:sz w:val="18"/>
                <w:szCs w:val="18"/>
                <w:color w:val="auto"/>
              </w:rPr>
              <w:t>(3)</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8"/>
              </w:rPr>
              <w:t>Accumulated deficit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gridSpan w:val="4"/>
          </w:tcPr>
          <w:p>
            <w:pPr>
              <w:spacing w:after="0"/>
              <w:rPr>
                <w:sz w:val="20"/>
                <w:szCs w:val="20"/>
                <w:color w:val="auto"/>
              </w:rPr>
            </w:pPr>
            <w:r>
              <w:rPr>
                <w:rFonts w:ascii="Arial" w:cs="Arial" w:eastAsia="Arial" w:hAnsi="Arial"/>
                <w:sz w:val="18"/>
                <w:szCs w:val="18"/>
                <w:color w:val="auto"/>
                <w:w w:val="94"/>
              </w:rPr>
              <w:t>Total members’ (deficit) / stockholders’ equity</w:t>
            </w:r>
          </w:p>
        </w:tc>
        <w:tc>
          <w:tcPr>
            <w:tcW w:w="2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Noncontrolling interest attributable to Rani Therapeutics, LLC members</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gridSpan w:val="5"/>
          </w:tcPr>
          <w:p>
            <w:pPr>
              <w:spacing w:after="0"/>
              <w:rPr>
                <w:sz w:val="20"/>
                <w:szCs w:val="20"/>
                <w:color w:val="auto"/>
              </w:rPr>
            </w:pPr>
            <w:r>
              <w:rPr>
                <w:rFonts w:ascii="Arial" w:cs="Arial" w:eastAsia="Arial" w:hAnsi="Arial"/>
                <w:sz w:val="18"/>
                <w:szCs w:val="18"/>
                <w:color w:val="auto"/>
                <w:w w:val="98"/>
              </w:rPr>
              <w:t>Total liabilities, redeemable convertible preferred units, and members’ (deficit)</w:t>
            </w:r>
          </w:p>
        </w:tc>
        <w:tc>
          <w:tcPr>
            <w:tcW w:w="8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180"/>
              <w:spacing w:after="0"/>
              <w:rPr>
                <w:sz w:val="20"/>
                <w:szCs w:val="20"/>
                <w:color w:val="auto"/>
              </w:rPr>
            </w:pPr>
            <w:r>
              <w:rPr>
                <w:rFonts w:ascii="Arial" w:cs="Arial" w:eastAsia="Arial" w:hAnsi="Arial"/>
                <w:sz w:val="18"/>
                <w:szCs w:val="18"/>
                <w:color w:val="auto"/>
              </w:rPr>
              <w:t>/ stockholders’ equity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7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920" w:type="dxa"/>
            <w:vAlign w:val="bottom"/>
            <w:gridSpan w:val="3"/>
          </w:tcPr>
          <w:p>
            <w:pPr>
              <w:ind w:left="540"/>
              <w:spacing w:after="0"/>
              <w:rPr>
                <w:sz w:val="20"/>
                <w:szCs w:val="20"/>
                <w:color w:val="auto"/>
              </w:rPr>
            </w:pPr>
            <w:r>
              <w:rPr>
                <w:rFonts w:ascii="Arial" w:cs="Arial" w:eastAsia="Arial" w:hAnsi="Arial"/>
                <w:sz w:val="18"/>
                <w:szCs w:val="18"/>
                <w:b w:val="1"/>
                <w:bCs w:val="1"/>
                <w:color w:val="auto"/>
              </w:rPr>
              <w:t>NOTES TO UNAUDITED PRO FORMA CONDENSED CONSOLIDATED BALANCE SHEET</w:t>
            </w:r>
          </w:p>
        </w:tc>
        <w:tc>
          <w:tcPr>
            <w:tcW w:w="600" w:type="dxa"/>
            <w:vAlign w:val="bottom"/>
          </w:tcPr>
          <w:p>
            <w:pPr>
              <w:spacing w:after="0"/>
              <w:rPr>
                <w:sz w:val="24"/>
                <w:szCs w:val="24"/>
                <w:color w:val="auto"/>
              </w:rPr>
            </w:pPr>
          </w:p>
        </w:tc>
      </w:tr>
      <w:tr>
        <w:trPr>
          <w:trHeight w:val="418"/>
        </w:trPr>
        <w:tc>
          <w:tcPr>
            <w:tcW w:w="7160" w:type="dxa"/>
            <w:vAlign w:val="bottom"/>
            <w:gridSpan w:val="2"/>
          </w:tcPr>
          <w:p>
            <w:pPr>
              <w:ind w:left="1000"/>
              <w:spacing w:after="0"/>
              <w:rPr>
                <w:sz w:val="20"/>
                <w:szCs w:val="20"/>
                <w:color w:val="auto"/>
              </w:rPr>
            </w:pPr>
            <w:r>
              <w:rPr>
                <w:rFonts w:ascii="Arial" w:cs="Arial" w:eastAsia="Arial" w:hAnsi="Arial"/>
                <w:sz w:val="18"/>
                <w:szCs w:val="18"/>
                <w:color w:val="auto"/>
                <w:w w:val="95"/>
              </w:rPr>
              <w:t>(1) We estimate that the proceeds to us from this offering will be approximately $</w:t>
            </w:r>
          </w:p>
        </w:tc>
        <w:tc>
          <w:tcPr>
            <w:tcW w:w="1500" w:type="dxa"/>
            <w:vAlign w:val="bottom"/>
          </w:tcPr>
          <w:p>
            <w:pPr>
              <w:ind w:left="300"/>
              <w:spacing w:after="0"/>
              <w:rPr>
                <w:sz w:val="20"/>
                <w:szCs w:val="20"/>
                <w:color w:val="auto"/>
              </w:rPr>
            </w:pPr>
            <w:r>
              <w:rPr>
                <w:rFonts w:ascii="Arial" w:cs="Arial" w:eastAsia="Arial" w:hAnsi="Arial"/>
                <w:sz w:val="18"/>
                <w:szCs w:val="18"/>
                <w:color w:val="auto"/>
              </w:rPr>
              <w:t>million (or $</w:t>
            </w:r>
          </w:p>
        </w:tc>
        <w:tc>
          <w:tcPr>
            <w:tcW w:w="2220" w:type="dxa"/>
            <w:vAlign w:val="bottom"/>
            <w:gridSpan w:val="2"/>
          </w:tcPr>
          <w:p>
            <w:pPr>
              <w:ind w:left="280"/>
              <w:spacing w:after="0"/>
              <w:rPr>
                <w:sz w:val="20"/>
                <w:szCs w:val="20"/>
                <w:color w:val="auto"/>
              </w:rPr>
            </w:pPr>
            <w:r>
              <w:rPr>
                <w:rFonts w:ascii="Arial" w:cs="Arial" w:eastAsia="Arial" w:hAnsi="Arial"/>
                <w:sz w:val="18"/>
                <w:szCs w:val="18"/>
                <w:color w:val="auto"/>
                <w:w w:val="96"/>
              </w:rPr>
              <w:t>million if the underwriters</w:t>
            </w:r>
          </w:p>
        </w:tc>
      </w:tr>
      <w:tr>
        <w:trPr>
          <w:trHeight w:val="216"/>
        </w:trPr>
        <w:tc>
          <w:tcPr>
            <w:tcW w:w="10280" w:type="dxa"/>
            <w:vAlign w:val="bottom"/>
            <w:gridSpan w:val="4"/>
          </w:tcPr>
          <w:p>
            <w:pPr>
              <w:ind w:left="120"/>
              <w:spacing w:after="0"/>
              <w:rPr>
                <w:sz w:val="20"/>
                <w:szCs w:val="20"/>
                <w:color w:val="auto"/>
              </w:rPr>
            </w:pPr>
            <w:r>
              <w:rPr>
                <w:rFonts w:ascii="Arial" w:cs="Arial" w:eastAsia="Arial" w:hAnsi="Arial"/>
                <w:sz w:val="18"/>
                <w:szCs w:val="18"/>
                <w:color w:val="auto"/>
                <w:w w:val="92"/>
              </w:rPr>
              <w:t>exercise in full their option to purchase additional shares of Class A common stock), based on an assumed initial public offering price of $</w:t>
            </w:r>
          </w:p>
        </w:tc>
        <w:tc>
          <w:tcPr>
            <w:tcW w:w="600" w:type="dxa"/>
            <w:vAlign w:val="bottom"/>
          </w:tcPr>
          <w:p>
            <w:pPr>
              <w:ind w:left="380"/>
              <w:spacing w:after="0"/>
              <w:rPr>
                <w:sz w:val="20"/>
                <w:szCs w:val="20"/>
                <w:color w:val="auto"/>
              </w:rPr>
            </w:pPr>
            <w:r>
              <w:rPr>
                <w:rFonts w:ascii="Arial" w:cs="Arial" w:eastAsia="Arial" w:hAnsi="Arial"/>
                <w:sz w:val="18"/>
                <w:szCs w:val="18"/>
                <w:color w:val="auto"/>
                <w:w w:val="76"/>
              </w:rPr>
              <w:t>per</w:t>
            </w:r>
          </w:p>
        </w:tc>
      </w:tr>
      <w:tr>
        <w:trPr>
          <w:trHeight w:val="230"/>
        </w:trPr>
        <w:tc>
          <w:tcPr>
            <w:tcW w:w="10280" w:type="dxa"/>
            <w:vAlign w:val="bottom"/>
            <w:gridSpan w:val="4"/>
          </w:tcPr>
          <w:p>
            <w:pPr>
              <w:ind w:left="120"/>
              <w:spacing w:after="0"/>
              <w:rPr>
                <w:sz w:val="20"/>
                <w:szCs w:val="20"/>
                <w:color w:val="auto"/>
              </w:rPr>
            </w:pPr>
            <w:r>
              <w:rPr>
                <w:rFonts w:ascii="Arial" w:cs="Arial" w:eastAsia="Arial" w:hAnsi="Arial"/>
                <w:sz w:val="18"/>
                <w:szCs w:val="18"/>
                <w:color w:val="auto"/>
                <w:w w:val="94"/>
              </w:rPr>
              <w:t>share, which is the midpoint of the estimated public offering price range set forth on the cover page of this prospectus, after deducting $</w:t>
            </w:r>
          </w:p>
        </w:tc>
        <w:tc>
          <w:tcPr>
            <w:tcW w:w="600" w:type="dxa"/>
            <w:vAlign w:val="bottom"/>
          </w:tcPr>
          <w:p>
            <w:pPr>
              <w:ind w:left="200"/>
              <w:spacing w:after="0"/>
              <w:rPr>
                <w:sz w:val="20"/>
                <w:szCs w:val="20"/>
                <w:color w:val="auto"/>
              </w:rPr>
            </w:pPr>
            <w:r>
              <w:rPr>
                <w:rFonts w:ascii="Arial" w:cs="Arial" w:eastAsia="Arial" w:hAnsi="Arial"/>
                <w:sz w:val="18"/>
                <w:szCs w:val="18"/>
                <w:color w:val="auto"/>
              </w:rPr>
              <w:t>of</w:t>
            </w:r>
          </w:p>
        </w:tc>
      </w:tr>
    </w:tbl>
    <w:p>
      <w:pPr>
        <w:ind w:left="120" w:right="2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assumed underwriting discounts and commissions and estimated offering expenses. We intend to use the net proceeds from this offering to (i) acquire LLC Interests, together with an equal number of shares of Class B common stock, from existing LLC Unitholders, (ii) pay expenses incurred in connection with this offering. The remaining proceeds received from the sale of these shares will be used for general corporate purposes. For more information, see the section titled “Use of Proceeds.”</w:t>
      </w:r>
    </w:p>
    <w:p>
      <w:pPr>
        <w:spacing w:after="0" w:line="193" w:lineRule="exact"/>
        <w:rPr>
          <w:sz w:val="20"/>
          <w:szCs w:val="20"/>
          <w:color w:val="auto"/>
        </w:rPr>
      </w:pPr>
    </w:p>
    <w:p>
      <w:pPr>
        <w:ind w:left="120" w:right="220" w:firstLine="877"/>
        <w:spacing w:after="0" w:line="277" w:lineRule="auto"/>
        <w:tabs>
          <w:tab w:leader="none" w:pos="1256"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the issuance of Class B common stock to LLC Interest holders in return for Class B LLC Interests, on a one-to-one basis with the number of LLC Interests they own, as described in greater detail under “Organizational Structure.”</w:t>
      </w:r>
    </w:p>
    <w:p>
      <w:pPr>
        <w:spacing w:after="0" w:line="170" w:lineRule="exact"/>
        <w:rPr>
          <w:rFonts w:ascii="Arial" w:cs="Arial" w:eastAsia="Arial" w:hAnsi="Arial"/>
          <w:sz w:val="18"/>
          <w:szCs w:val="18"/>
          <w:color w:val="auto"/>
        </w:rPr>
      </w:pPr>
    </w:p>
    <w:p>
      <w:pPr>
        <w:ind w:left="120" w:right="340" w:firstLine="877"/>
        <w:spacing w:after="0" w:line="311" w:lineRule="auto"/>
        <w:tabs>
          <w:tab w:leader="none" w:pos="1256"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are deferring certain costs associated with this offering. These costs primarily represent legal, accounting and other costs directly associated with this offering and are recorded in other assets in our combined consolidated balance sheet. Upon completion of this offering, these deferred costs will be charged against the proceeds from this offering with a corresponding reduction to additional paid-in capital.</w:t>
      </w:r>
    </w:p>
    <w:p>
      <w:pPr>
        <w:spacing w:after="0" w:line="149"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(4) Reflects the conversion of all outstanding convertible preferred and common units into a single class of economic nonvoting Class A Units and an equal number of voting noneconomic Class B units of common units of Rani LLC.</w:t>
      </w:r>
    </w:p>
    <w:p>
      <w:pPr>
        <w:spacing w:after="0" w:line="170" w:lineRule="exact"/>
        <w:rPr>
          <w:sz w:val="20"/>
          <w:szCs w:val="20"/>
          <w:color w:val="auto"/>
        </w:rPr>
      </w:pPr>
    </w:p>
    <w:p>
      <w:pPr>
        <w:ind w:left="120" w:right="80" w:firstLine="877"/>
        <w:spacing w:after="0" w:line="277" w:lineRule="auto"/>
        <w:tabs>
          <w:tab w:leader="none" w:pos="1256"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Reflects the automatic conversion of the convertible preferred and common units warrants into Class A common stock common stock of Rani Holdings in connection with the Organizational Transactions.</w:t>
      </w:r>
    </w:p>
    <w:p>
      <w:pPr>
        <w:spacing w:after="0" w:line="170" w:lineRule="exact"/>
        <w:rPr>
          <w:rFonts w:ascii="Arial" w:cs="Arial" w:eastAsia="Arial" w:hAnsi="Arial"/>
          <w:sz w:val="18"/>
          <w:szCs w:val="18"/>
          <w:color w:val="auto"/>
        </w:rPr>
      </w:pPr>
    </w:p>
    <w:p>
      <w:pPr>
        <w:ind w:left="120" w:right="440" w:firstLine="877"/>
        <w:spacing w:after="0" w:line="277" w:lineRule="auto"/>
        <w:tabs>
          <w:tab w:leader="none" w:pos="1256"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the adjustment to long-term debt to reflect the repayment of the $1.3 million small business loan received in April 2020 under the Paycheck Protection Program (“PPP”) in connection with COVID-19 pandemic relief efforts.</w:t>
      </w:r>
    </w:p>
    <w:p>
      <w:pPr>
        <w:spacing w:after="0" w:line="170" w:lineRule="exact"/>
        <w:rPr>
          <w:rFonts w:ascii="Arial" w:cs="Arial" w:eastAsia="Arial" w:hAnsi="Arial"/>
          <w:sz w:val="18"/>
          <w:szCs w:val="18"/>
          <w:color w:val="auto"/>
        </w:rPr>
      </w:pPr>
    </w:p>
    <w:p>
      <w:pPr>
        <w:jc w:val="both"/>
        <w:ind w:left="120" w:right="120" w:firstLine="877"/>
        <w:spacing w:after="0" w:line="287" w:lineRule="auto"/>
        <w:tabs>
          <w:tab w:leader="none" w:pos="1256" w:val="left"/>
        </w:tabs>
        <w:numPr>
          <w:ilvl w:val="0"/>
          <w:numId w:val="95"/>
        </w:numPr>
        <w:rPr>
          <w:rFonts w:ascii="Arial" w:cs="Arial" w:eastAsia="Arial" w:hAnsi="Arial"/>
          <w:sz w:val="16"/>
          <w:szCs w:val="16"/>
          <w:color w:val="auto"/>
        </w:rPr>
      </w:pPr>
      <w:r>
        <w:rPr>
          <w:rFonts w:ascii="Arial" w:cs="Arial" w:eastAsia="Arial" w:hAnsi="Arial"/>
          <w:sz w:val="16"/>
          <w:szCs w:val="16"/>
          <w:color w:val="auto"/>
        </w:rPr>
        <w:t>As a result of the Organizational Transactions, the limited liability company agreement of Rani LLC will be amended and restated to, among other things, designate Rani Holdings as the sole managing member of Rani LLC. As sole managing member, Rani Holdings will exclusively operate and control the business and affairs of Rani LLC. The LLC Interests owned by LLC Interest holders will be considered noncontrolling interests</w:t>
      </w:r>
    </w:p>
    <w:tbl>
      <w:tblPr>
        <w:tblLayout w:type="fixed"/>
        <w:tblInd w:w="120" w:type="dxa"/>
        <w:tblCellMar>
          <w:top w:w="0" w:type="dxa"/>
          <w:left w:w="0" w:type="dxa"/>
          <w:bottom w:w="0" w:type="dxa"/>
          <w:right w:w="0" w:type="dxa"/>
        </w:tblCellMar>
      </w:tblPr>
      <w:tr>
        <w:trPr>
          <w:trHeight w:val="204"/>
        </w:trPr>
        <w:tc>
          <w:tcPr>
            <w:tcW w:w="8000" w:type="dxa"/>
            <w:vAlign w:val="bottom"/>
          </w:tcPr>
          <w:p>
            <w:pPr>
              <w:spacing w:after="0" w:line="204" w:lineRule="exact"/>
              <w:rPr>
                <w:sz w:val="20"/>
                <w:szCs w:val="20"/>
                <w:color w:val="auto"/>
              </w:rPr>
            </w:pPr>
            <w:r>
              <w:rPr>
                <w:rFonts w:ascii="Arial" w:cs="Arial" w:eastAsia="Arial" w:hAnsi="Arial"/>
                <w:sz w:val="18"/>
                <w:szCs w:val="18"/>
                <w:color w:val="auto"/>
                <w:w w:val="97"/>
              </w:rPr>
              <w:t>in the consolidated financial statements of Rani Holdings. The adjustment to noncontrolling interest of $</w:t>
            </w:r>
          </w:p>
        </w:tc>
        <w:tc>
          <w:tcPr>
            <w:tcW w:w="3020" w:type="dxa"/>
            <w:vAlign w:val="bottom"/>
            <w:gridSpan w:val="3"/>
          </w:tcPr>
          <w:p>
            <w:pPr>
              <w:ind w:left="100"/>
              <w:spacing w:after="0" w:line="204" w:lineRule="exact"/>
              <w:rPr>
                <w:sz w:val="20"/>
                <w:szCs w:val="20"/>
                <w:color w:val="auto"/>
              </w:rPr>
            </w:pPr>
            <w:r>
              <w:rPr>
                <w:rFonts w:ascii="Arial" w:cs="Arial" w:eastAsia="Arial" w:hAnsi="Arial"/>
                <w:sz w:val="18"/>
                <w:szCs w:val="18"/>
                <w:color w:val="auto"/>
                <w:w w:val="94"/>
              </w:rPr>
              <w:t>million reflects the proportional interest</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 the pro forma consolidated total equity of Rani LLC owned by Rani Holdings.</w:t>
            </w:r>
          </w:p>
        </w:tc>
        <w:tc>
          <w:tcPr>
            <w:tcW w:w="2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880"/>
              <w:spacing w:after="0"/>
              <w:rPr>
                <w:sz w:val="20"/>
                <w:szCs w:val="20"/>
                <w:color w:val="auto"/>
              </w:rPr>
            </w:pPr>
            <w:r>
              <w:rPr>
                <w:rFonts w:ascii="Arial" w:cs="Arial" w:eastAsia="Arial" w:hAnsi="Arial"/>
                <w:sz w:val="18"/>
                <w:szCs w:val="18"/>
                <w:color w:val="auto"/>
                <w:w w:val="93"/>
              </w:rPr>
              <w:t>(8) The following table is a reconciliation of the adjustments impacting additional paid-in-capital:</w:t>
            </w:r>
          </w:p>
        </w:tc>
        <w:tc>
          <w:tcPr>
            <w:tcW w:w="2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offering of Class A common stock</w:t>
            </w:r>
          </w:p>
        </w:tc>
        <w:tc>
          <w:tcPr>
            <w:tcW w:w="29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Purchase of LLC Interests from Rani Therapeutics, LLC</w:t>
            </w: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2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Contributed capital reclassification</w:t>
            </w:r>
          </w:p>
        </w:tc>
        <w:tc>
          <w:tcPr>
            <w:tcW w:w="2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noncontrolling interest</w:t>
            </w:r>
          </w:p>
        </w:tc>
        <w:tc>
          <w:tcPr>
            <w:tcW w:w="2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Net additional paid-in capital pro forma adjustment</w:t>
            </w:r>
          </w:p>
        </w:tc>
        <w:tc>
          <w:tcPr>
            <w:tcW w:w="226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380"/>
              <w:spacing w:after="0"/>
              <w:rPr>
                <w:sz w:val="20"/>
                <w:szCs w:val="20"/>
                <w:color w:val="auto"/>
              </w:rPr>
            </w:pPr>
            <w:r>
              <w:rPr>
                <w:rFonts w:ascii="Arial" w:cs="Arial" w:eastAsia="Arial" w:hAnsi="Arial"/>
                <w:sz w:val="18"/>
                <w:szCs w:val="18"/>
                <w:color w:val="auto"/>
              </w:rPr>
              <w:t>114</w:t>
            </w:r>
          </w:p>
        </w:tc>
        <w:tc>
          <w:tcPr>
            <w:tcW w:w="2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5"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Rani</w:t>
            </w:r>
          </w:p>
        </w:tc>
        <w:tc>
          <w:tcPr>
            <w:tcW w:w="440" w:type="dxa"/>
            <w:vAlign w:val="bottom"/>
          </w:tcPr>
          <w:p>
            <w:pPr>
              <w:spacing w:after="0"/>
              <w:rPr>
                <w:sz w:val="14"/>
                <w:szCs w:val="1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Organizational</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440" w:type="dxa"/>
            <w:vAlign w:val="bottom"/>
          </w:tcPr>
          <w:p>
            <w:pPr>
              <w:spacing w:after="0"/>
              <w:rPr>
                <w:sz w:val="12"/>
                <w:szCs w:val="12"/>
                <w:color w:val="auto"/>
              </w:rPr>
            </w:pPr>
          </w:p>
        </w:tc>
        <w:tc>
          <w:tcPr>
            <w:tcW w:w="2200" w:type="dxa"/>
            <w:vAlign w:val="bottom"/>
            <w:gridSpan w:val="2"/>
          </w:tcPr>
          <w:p>
            <w:pPr>
              <w:jc w:val="right"/>
              <w:ind w:right="1340"/>
              <w:spacing w:after="0" w:line="149" w:lineRule="exact"/>
              <w:rPr>
                <w:sz w:val="20"/>
                <w:szCs w:val="20"/>
                <w:color w:val="auto"/>
              </w:rPr>
            </w:pPr>
            <w:r>
              <w:rPr>
                <w:rFonts w:ascii="Arial" w:cs="Arial" w:eastAsia="Arial" w:hAnsi="Arial"/>
                <w:sz w:val="14"/>
                <w:szCs w:val="14"/>
                <w:b w:val="1"/>
                <w:bCs w:val="1"/>
                <w:color w:val="auto"/>
                <w:w w:val="96"/>
              </w:rPr>
              <w:t>Transactions</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Therapeutics</w:t>
            </w:r>
          </w:p>
        </w:tc>
        <w:tc>
          <w:tcPr>
            <w:tcW w:w="0" w:type="dxa"/>
            <w:vAlign w:val="bottom"/>
          </w:tcPr>
          <w:p>
            <w:pPr>
              <w:spacing w:after="0"/>
              <w:rPr>
                <w:sz w:val="1"/>
                <w:szCs w:val="1"/>
                <w:color w:val="auto"/>
              </w:rPr>
            </w:pPr>
          </w:p>
        </w:tc>
      </w:tr>
      <w:tr>
        <w:trPr>
          <w:trHeight w:val="148"/>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unit/share and per unit/share data)</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LLC As</w:t>
            </w:r>
          </w:p>
        </w:tc>
        <w:tc>
          <w:tcPr>
            <w:tcW w:w="440" w:type="dxa"/>
            <w:vAlign w:val="bottom"/>
          </w:tcPr>
          <w:p>
            <w:pPr>
              <w:spacing w:after="0"/>
              <w:rPr>
                <w:sz w:val="12"/>
                <w:szCs w:val="12"/>
                <w:color w:val="auto"/>
              </w:rPr>
            </w:pPr>
          </w:p>
        </w:tc>
        <w:tc>
          <w:tcPr>
            <w:tcW w:w="2200" w:type="dxa"/>
            <w:vAlign w:val="bottom"/>
            <w:gridSpan w:val="2"/>
          </w:tcPr>
          <w:p>
            <w:pPr>
              <w:jc w:val="right"/>
              <w:ind w:right="1340"/>
              <w:spacing w:after="0" w:line="149" w:lineRule="exact"/>
              <w:rPr>
                <w:sz w:val="20"/>
                <w:szCs w:val="20"/>
                <w:color w:val="auto"/>
              </w:rPr>
            </w:pPr>
            <w:r>
              <w:rPr>
                <w:rFonts w:ascii="Arial" w:cs="Arial" w:eastAsia="Arial" w:hAnsi="Arial"/>
                <w:sz w:val="14"/>
                <w:szCs w:val="14"/>
                <w:b w:val="1"/>
                <w:bCs w:val="1"/>
                <w:color w:val="auto"/>
              </w:rPr>
              <w:t>and Offering</w:t>
            </w: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171"/>
        </w:trPr>
        <w:tc>
          <w:tcPr>
            <w:tcW w:w="6620" w:type="dxa"/>
            <w:vAlign w:val="bottom"/>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440" w:type="dxa"/>
            <w:vAlign w:val="bottom"/>
          </w:tcPr>
          <w:p>
            <w:pPr>
              <w:spacing w:after="0"/>
              <w:rPr>
                <w:sz w:val="14"/>
                <w:szCs w:val="14"/>
                <w:color w:val="auto"/>
              </w:rPr>
            </w:pPr>
          </w:p>
        </w:tc>
        <w:tc>
          <w:tcPr>
            <w:tcW w:w="220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99"/>
              </w:rPr>
              <w:t>Adjustments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40" w:type="dxa"/>
            <w:vAlign w:val="bottom"/>
            <w:tcBorders>
              <w:top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360"/>
              <w:spacing w:after="0"/>
              <w:rPr>
                <w:sz w:val="20"/>
                <w:szCs w:val="20"/>
                <w:color w:val="auto"/>
              </w:rPr>
            </w:pPr>
            <w:r>
              <w:rPr>
                <w:rFonts w:ascii="Arial" w:cs="Arial" w:eastAsia="Arial" w:hAnsi="Arial"/>
                <w:sz w:val="18"/>
                <w:szCs w:val="18"/>
                <w:color w:val="auto"/>
              </w:rPr>
              <w:t>Interest expense and other, net</w:t>
            </w: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84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720"/>
              <w:spacing w:after="0"/>
              <w:rPr>
                <w:sz w:val="20"/>
                <w:szCs w:val="20"/>
                <w:color w:val="auto"/>
              </w:rPr>
            </w:pPr>
            <w:r>
              <w:rPr>
                <w:rFonts w:ascii="Arial" w:cs="Arial" w:eastAsia="Arial" w:hAnsi="Arial"/>
                <w:sz w:val="18"/>
                <w:szCs w:val="18"/>
                <w:color w:val="auto"/>
              </w:rPr>
              <w:t>Loss before income taxes</w:t>
            </w: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840" w:type="dxa"/>
            <w:vAlign w:val="bottom"/>
          </w:tcPr>
          <w:p>
            <w:pPr>
              <w:spacing w:after="0"/>
              <w:rPr>
                <w:sz w:val="18"/>
                <w:szCs w:val="18"/>
                <w:color w:val="auto"/>
              </w:rPr>
            </w:pPr>
          </w:p>
        </w:tc>
        <w:tc>
          <w:tcPr>
            <w:tcW w:w="2640" w:type="dxa"/>
            <w:vAlign w:val="bottom"/>
            <w:gridSpan w:val="3"/>
          </w:tcPr>
          <w:p>
            <w:pPr>
              <w:jc w:val="right"/>
              <w:ind w:right="9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common unit, basic and diluted—attributable to Rani Therapeutics</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Holdings, Inc.</w:t>
            </w: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Proforma weighted-average common Class A common shares outstanding, basic and</w:t>
            </w: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620" w:type="dxa"/>
            <w:vAlign w:val="bottom"/>
          </w:tcPr>
          <w:p>
            <w:pPr>
              <w:ind w:left="5380"/>
              <w:spacing w:after="0"/>
              <w:rPr>
                <w:sz w:val="20"/>
                <w:szCs w:val="20"/>
                <w:color w:val="auto"/>
              </w:rPr>
            </w:pPr>
            <w:r>
              <w:rPr>
                <w:rFonts w:ascii="Arial" w:cs="Arial" w:eastAsia="Arial" w:hAnsi="Arial"/>
                <w:sz w:val="18"/>
                <w:szCs w:val="18"/>
                <w:color w:val="auto"/>
              </w:rPr>
              <w:t>115</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Rani</w:t>
            </w:r>
          </w:p>
        </w:tc>
        <w:tc>
          <w:tcPr>
            <w:tcW w:w="220" w:type="dxa"/>
            <w:vAlign w:val="bottom"/>
          </w:tcPr>
          <w:p>
            <w:pPr>
              <w:spacing w:after="0"/>
              <w:rPr>
                <w:sz w:val="14"/>
                <w:szCs w:val="14"/>
                <w:color w:val="auto"/>
              </w:rPr>
            </w:pPr>
          </w:p>
        </w:tc>
        <w:tc>
          <w:tcPr>
            <w:tcW w:w="236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4"/>
              </w:rPr>
              <w:t>Organizational</w:t>
            </w:r>
          </w:p>
        </w:tc>
        <w:tc>
          <w:tcPr>
            <w:tcW w:w="9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6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per share and per unit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36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Transactions and</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220" w:type="dxa"/>
            <w:vAlign w:val="bottom"/>
          </w:tcPr>
          <w:p>
            <w:pPr>
              <w:spacing w:after="0"/>
              <w:rPr>
                <w:sz w:val="12"/>
                <w:szCs w:val="12"/>
                <w:color w:val="auto"/>
              </w:rPr>
            </w:pPr>
          </w:p>
        </w:tc>
        <w:tc>
          <w:tcPr>
            <w:tcW w:w="2360" w:type="dxa"/>
            <w:vAlign w:val="bottom"/>
            <w:gridSpan w:val="2"/>
          </w:tcPr>
          <w:p>
            <w:pPr>
              <w:jc w:val="center"/>
              <w:ind w:right="1320"/>
              <w:spacing w:after="0" w:line="149"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4"/>
                <w:szCs w:val="14"/>
                <w:color w:val="auto"/>
              </w:rPr>
            </w:pPr>
          </w:p>
        </w:tc>
        <w:tc>
          <w:tcPr>
            <w:tcW w:w="23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7"/>
              </w:rPr>
              <w:t>Holdings, Inc.</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8"/>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17,006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580" w:type="dxa"/>
            <w:vAlign w:val="bottom"/>
            <w:gridSpan w:val="3"/>
          </w:tcPr>
          <w:p>
            <w:pPr>
              <w:jc w:val="right"/>
              <w:ind w:right="92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(16,703)</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580" w:type="dxa"/>
            <w:vAlign w:val="bottom"/>
            <w:gridSpan w:val="3"/>
          </w:tcPr>
          <w:p>
            <w:pPr>
              <w:jc w:val="right"/>
              <w:ind w:right="92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(16,703)</w:t>
            </w:r>
          </w:p>
        </w:tc>
        <w:tc>
          <w:tcPr>
            <w:tcW w:w="258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8"/>
              </w:rPr>
              <w:t>Net loss per common unit, basic and diluted—attributable to Rani Therapeutics</w:t>
            </w: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ind w:left="180"/>
              <w:spacing w:after="0"/>
              <w:rPr>
                <w:sz w:val="20"/>
                <w:szCs w:val="20"/>
                <w:color w:val="auto"/>
              </w:rPr>
            </w:pPr>
            <w:r>
              <w:rPr>
                <w:rFonts w:ascii="Arial" w:cs="Arial" w:eastAsia="Arial" w:hAnsi="Arial"/>
                <w:sz w:val="18"/>
                <w:szCs w:val="18"/>
                <w:color w:val="auto"/>
              </w:rPr>
              <w:t>Holdings, Inc.</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w w:val="92"/>
              </w:rPr>
              <w:t>Proforma weighted-average Class A common shares outstanding, basic and diluted</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80" w:type="dxa"/>
            <w:vAlign w:val="bottom"/>
            <w:gridSpan w:val="3"/>
            <w:vMerge w:val="restart"/>
          </w:tcPr>
          <w:p>
            <w:pPr>
              <w:jc w:val="right"/>
              <w:ind w:right="920"/>
              <w:spacing w:after="0"/>
              <w:rPr>
                <w:sz w:val="20"/>
                <w:szCs w:val="20"/>
                <w:color w:val="auto"/>
              </w:rPr>
            </w:pPr>
            <w:r>
              <w:rPr>
                <w:rFonts w:ascii="Arial" w:cs="Arial" w:eastAsia="Arial" w:hAnsi="Arial"/>
                <w:sz w:val="18"/>
                <w:szCs w:val="18"/>
                <w:color w:val="auto"/>
              </w:rPr>
              <w:t>(3)</w:t>
            </w: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180" w:type="dxa"/>
            <w:vAlign w:val="bottom"/>
          </w:tcPr>
          <w:p>
            <w:pPr>
              <w:ind w:left="538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STATEMENTS OF INCOME</w:t>
      </w:r>
    </w:p>
    <w:p>
      <w:pPr>
        <w:spacing w:after="0" w:line="229" w:lineRule="exact"/>
        <w:rPr>
          <w:sz w:val="20"/>
          <w:szCs w:val="20"/>
          <w:color w:val="auto"/>
        </w:rPr>
      </w:pPr>
    </w:p>
    <w:p>
      <w:pPr>
        <w:ind w:left="120" w:right="100" w:firstLine="877"/>
        <w:spacing w:after="0" w:line="259" w:lineRule="auto"/>
        <w:tabs>
          <w:tab w:leader="none" w:pos="1256"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Following the Organizational Transactions and offering, Rani Holdings will be subject to U.S. federal income taxes, in addition to state, and local taxes. We have determined it is more-likely-than-not the tax benefits associated with the deferred tax assets arising from the Organizational Transactions and this offering will not be realized. As a result, the pro forma consolidated statement of operations and comprehensive loss does not reflect an adjustment for deferred tax benefits.</w:t>
      </w:r>
    </w:p>
    <w:p>
      <w:pPr>
        <w:spacing w:after="0" w:line="186" w:lineRule="exact"/>
        <w:rPr>
          <w:rFonts w:ascii="Arial" w:cs="Arial" w:eastAsia="Arial" w:hAnsi="Arial"/>
          <w:sz w:val="18"/>
          <w:szCs w:val="18"/>
          <w:color w:val="auto"/>
        </w:rPr>
      </w:pPr>
    </w:p>
    <w:p>
      <w:pPr>
        <w:ind w:left="1260" w:hanging="263"/>
        <w:spacing w:after="0"/>
        <w:tabs>
          <w:tab w:leader="none" w:pos="1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Following the Organizational Transactions, Rani Holdings will become the sole managing member of Rani LLC, and upon</w:t>
      </w:r>
    </w:p>
    <w:p>
      <w:pPr>
        <w:spacing w:after="0" w:line="23"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consummation of this offering, Rani Holdings will initially own approximately % of the economic interest in Rani LLC but will have % of the voting power and control the management of Rani LLC. The ownership percentage held by the noncontrolling interest will be approximately %. Net loss attributable to the noncontrolling interest will represent approximately % of net loss.</w:t>
      </w:r>
    </w:p>
    <w:p>
      <w:pPr>
        <w:spacing w:after="0" w:line="190" w:lineRule="exact"/>
        <w:rPr>
          <w:sz w:val="20"/>
          <w:szCs w:val="20"/>
          <w:color w:val="auto"/>
        </w:rPr>
      </w:pPr>
    </w:p>
    <w:p>
      <w:pPr>
        <w:ind w:left="120" w:right="280" w:firstLine="881"/>
        <w:spacing w:after="0" w:line="291" w:lineRule="auto"/>
        <w:rPr>
          <w:sz w:val="20"/>
          <w:szCs w:val="20"/>
          <w:color w:val="auto"/>
        </w:rPr>
      </w:pPr>
      <w:r>
        <w:rPr>
          <w:rFonts w:ascii="Arial" w:cs="Arial" w:eastAsia="Arial" w:hAnsi="Arial"/>
          <w:sz w:val="16"/>
          <w:szCs w:val="16"/>
          <w:color w:val="auto"/>
        </w:rPr>
        <w:t>(3) The weighted average number of shares underlying the basic loss per share calculation reflects only the shares of Class A common stock outstanding after the offering as they are the only outstanding shares which participate in distributions or dividends by Rani Holdings.</w:t>
      </w:r>
    </w:p>
    <w:p>
      <w:pPr>
        <w:ind w:left="120" w:right="20"/>
        <w:spacing w:after="0" w:line="287" w:lineRule="auto"/>
        <w:rPr>
          <w:sz w:val="20"/>
          <w:szCs w:val="20"/>
          <w:color w:val="auto"/>
        </w:rPr>
      </w:pPr>
      <w:r>
        <w:rPr>
          <w:rFonts w:ascii="Arial" w:cs="Arial" w:eastAsia="Arial" w:hAnsi="Arial"/>
          <w:sz w:val="16"/>
          <w:szCs w:val="16"/>
          <w:color w:val="auto"/>
        </w:rPr>
        <w:t>The net proceeds from the sale of shares of Class A common stock in the IPO will be used to (i) acquire LLC Interests, together with an equal number of shares of Class B common stock, from existing LLC Unitholders, (ii) pay expenses incurred in connection with this offering. The remaining shares of Class A common stock to be sold in the offering are not included in the pro forma basic and diluted net loss per share calculations as the proceeds received from the sale of these shares will be used for general corporate purposes, see the section titled “Use of Proceeds.” Pro forma diluted loss per share is computed by adjusting pro forma net loss attributable to Rani Holdings and the weighted average shares of Class A common stock outstanding to give effect to potentially dilutive securities that qualify as participating securities using the treasury stock method, as applicable. However, as Rani Holdings is in a net loss position, all securities are considered antidilutive, as they would only further reduce the net loss per share. Shares of Class B common stock are not participating securities and therefore are not included in the calculation of pro forma basic earnings per share.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LLC Interests, together with an equal number of shares of Class B common stock, may be exchanged, at our option, for shares of our Class A common stock or, at our election, for cash. After evaluating the potential dilutive effect under the if-converted method, the outstanding LLC Interests for the assumed exchange of noncontrolling interest were determined to be antidilutive and thus were excluded from the computation of diluted earnings per share.</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diluted weighted average share calculation assumes that certain equity awards were issued and outstanding at the beginning of the period. The following table sets forth a reconciliation of the numerators and denominators used to compute pro forma basic and diluted loss per share.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For the Three</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96"/>
        </w:trPr>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 of Class A common stock</w:t>
            </w:r>
          </w:p>
        </w:tc>
        <w:tc>
          <w:tcPr>
            <w:tcW w:w="1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Inc.’s shareholders (basic and diluted)</w:t>
            </w:r>
          </w:p>
        </w:tc>
        <w:tc>
          <w:tcPr>
            <w:tcW w:w="27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(basic)</w:t>
            </w:r>
          </w:p>
        </w:tc>
        <w:tc>
          <w:tcPr>
            <w:tcW w:w="1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Incremental common shares attributable to dilutive instruments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(diluted)</w:t>
            </w:r>
          </w:p>
        </w:tc>
        <w:tc>
          <w:tcPr>
            <w:tcW w:w="17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b w:val="1"/>
                <w:bCs w:val="1"/>
                <w:color w:val="auto"/>
              </w:rPr>
              <w:t>Basic loss per share of Class A common stock</w:t>
            </w:r>
          </w:p>
        </w:tc>
        <w:tc>
          <w:tcPr>
            <w:tcW w:w="1740" w:type="dxa"/>
            <w:vAlign w:val="bottom"/>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loss per share of Class A common stock</w:t>
            </w:r>
          </w:p>
        </w:tc>
        <w:tc>
          <w:tcPr>
            <w:tcW w:w="27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vMerge w:val="restart"/>
          </w:tcPr>
          <w:p>
            <w:pPr>
              <w:ind w:left="5380"/>
              <w:spacing w:after="0"/>
              <w:rPr>
                <w:sz w:val="20"/>
                <w:szCs w:val="20"/>
                <w:color w:val="auto"/>
              </w:rPr>
            </w:pPr>
            <w:r>
              <w:rPr>
                <w:rFonts w:ascii="Arial" w:cs="Arial" w:eastAsia="Arial" w:hAnsi="Arial"/>
                <w:sz w:val="18"/>
                <w:szCs w:val="18"/>
                <w:color w:val="auto"/>
              </w:rPr>
              <w:t>117</w:t>
            </w:r>
          </w:p>
        </w:tc>
        <w:tc>
          <w:tcPr>
            <w:tcW w:w="1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carefully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 The following discussion does not give effect to the organizational transactions. See the sections titled “Organizational Transactions” and “Unaudited Pro Forma Condensed Consolidated Financial Information” included elsewhere in this prospectus for a description of the organizational transactions and their effect on our historical results of operations.</w:t>
      </w:r>
    </w:p>
    <w:p>
      <w:pPr>
        <w:spacing w:after="0" w:line="181"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following discussion contains references to calendar year 2019 and calendar year 2020, which represents the consolidated financial results of our predecessor Rani Therapeutics, LLC (“Rani LLC”) and subsidiary for the years ended December 31, 2019 and December 31, 2020, respectively. Unless we state otherwise or the context otherwise requires, the terms “we,” “us,” “our,” and “Rani” and similar references refer: (1) on or following the consummation of the Organizational Transactions, including this offering, to Rani Therapeutics Holdings, Inc. (“Rani Holdings”) and its consolidated subsidiaries, including Rani LLC, and (2) prior to the consummation of the Organizational Transactions, including this offering, to Rani LLC and its consolidated subsidiary.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119380</wp:posOffset>
            </wp:positionV>
            <wp:extent cx="5194935" cy="2905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949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private placements of our preferred units and the issuance of convertible promissory notes, with aggregate gross proceeds of $202.5 million, as well as revenue generated from evaluation agreements. As of December 31, 2020, we had cash and cash equivalents of $73.1 million. Based on our current operating plan, as of April 2021, we estimate that our existing cash and cash equivalents will be sufficient to fund our operating expenses and capital expenditure requirements through at least the next twelve months.</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95" w:lineRule="exact"/>
        <w:rPr>
          <w:sz w:val="20"/>
          <w:szCs w:val="20"/>
          <w:color w:val="auto"/>
        </w:rPr>
      </w:pPr>
    </w:p>
    <w:p>
      <w:pPr>
        <w:ind w:left="120" w:right="260" w:firstLine="881"/>
        <w:spacing w:after="0" w:line="291" w:lineRule="auto"/>
        <w:rPr>
          <w:sz w:val="20"/>
          <w:szCs w:val="20"/>
          <w:color w:val="auto"/>
        </w:rPr>
      </w:pPr>
      <w:r>
        <w:rPr>
          <w:rFonts w:ascii="Arial" w:cs="Arial" w:eastAsia="Arial" w:hAnsi="Arial"/>
          <w:sz w:val="16"/>
          <w:szCs w:val="16"/>
          <w:color w:val="auto"/>
        </w:rPr>
        <w:t>Since our inception, we have incurred significant losses and negative cash flows from operations. Our net losses were $26.6 million and $16.7 million for the years ended December 31, 2019 and 2020, respectively. As of December 31, 2020, we had an accumulated deficit of</w:t>
      </w:r>
    </w:p>
    <w:p>
      <w:pPr>
        <w:ind w:left="120" w:right="20"/>
        <w:spacing w:after="0" w:line="253" w:lineRule="auto"/>
        <w:rPr>
          <w:sz w:val="20"/>
          <w:szCs w:val="20"/>
          <w:color w:val="auto"/>
        </w:rPr>
      </w:pPr>
      <w:r>
        <w:rPr>
          <w:rFonts w:ascii="Arial" w:cs="Arial" w:eastAsia="Arial" w:hAnsi="Arial"/>
          <w:sz w:val="18"/>
          <w:szCs w:val="18"/>
          <w:color w:val="auto"/>
        </w:rPr>
        <w:t>$114.0 million. We expect to continue to incur significant losses for the foreseeable future, and our net losses may fluctuate significantly from period to period, depending on the timing of and expenditures on our planned research and development activities. As a result, we will require substantial additional capital to develop the RaniPill capsule and related product candidates and fund operations for the foreseeable future. Until such time as we can generate sufficient revenue from commercial</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40"/>
          </w:cols>
          <w:pgMar w:left="320" w:top="459" w:right="5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92"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As is common with biotechnology companies, we rely on third-party suppliers for the supply of raw materials and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9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As a result of the COVID-19 pandemic, in April 2020 we implemented a reduction in force, certain activities related to the pre-clinical and clinical studies were put on hold and, our ability to travel was strictly limited. We expect that COVID-19 precautions will directly or indirectly impact the timeline for some of our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planned clinical trials and we are continuing to assess the potential impact of the COVID-19 pandemic on our current and future business and operations.</w:t>
      </w:r>
    </w:p>
    <w:p>
      <w:pPr>
        <w:spacing w:after="0" w:line="170"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a result of the COVID-19 pandemic, or similar pandemics and outbreaks, we have and may in the future experience severe disruptions,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38" w:lineRule="exact"/>
        <w:rPr>
          <w:sz w:val="20"/>
          <w:szCs w:val="20"/>
          <w:color w:val="auto"/>
        </w:rPr>
      </w:pPr>
    </w:p>
    <w:p>
      <w:pPr>
        <w:jc w:val="both"/>
        <w:ind w:left="1420" w:right="180" w:hanging="319"/>
        <w:spacing w:after="0" w:line="342" w:lineRule="auto"/>
        <w:tabs>
          <w:tab w:leader="none" w:pos="14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interruption of or delays in receiving materials or services from the third parties due to staffing shortages, production slowdowns or stoppages, or disruptions in delivery systems, which interruption or delay may impact our ability to continue our research programs;</w:t>
      </w:r>
    </w:p>
    <w:p>
      <w:pPr>
        <w:spacing w:after="0" w:line="150"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limitations on our business operations by the local, state, or federal government that could impact our ability to continue our research programs;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business disruptions caused by workplace closures, travel limitations, communication or mass transit disruptions; or an increased reliance on employees working from home with concomitant cyber security concerns and data accessibility limits; and</w:t>
      </w:r>
    </w:p>
    <w:p>
      <w:pPr>
        <w:spacing w:after="0" w:line="150"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Rani has entered into evaluation agreements with Takeda (formerly Shire), Novartis and CCHN. Our evaluation agreements focus on testing specific molecules of interest using the RaniPill capsule. The drugs being evaluated are Factor VIII with Takeda; human growth hormone with CCHN; and two confidential molecules with Novartis. The evaluations include formulation development of the pharmaceutical companies’ drugs and testing for delivery with the RaniPill capsule in preclinical studies. We work with these pharmaceutical companies to define the scope of preclinical studies that will help determine the feasibility of the RaniPill route of administration for specific drug(s). As part of these agreements, the pharmaceutical companies have funded the studies and have also made equity investments in Rani. We have recognized contract revenue in the amount of $1.0 million and</w:t>
      </w:r>
    </w:p>
    <w:p>
      <w:pPr>
        <w:spacing w:after="0" w:line="4" w:lineRule="exact"/>
        <w:rPr>
          <w:sz w:val="20"/>
          <w:szCs w:val="20"/>
          <w:color w:val="auto"/>
        </w:rPr>
      </w:pPr>
    </w:p>
    <w:p>
      <w:pPr>
        <w:ind w:left="120" w:right="700"/>
        <w:spacing w:after="0" w:line="260" w:lineRule="auto"/>
        <w:rPr>
          <w:sz w:val="20"/>
          <w:szCs w:val="20"/>
          <w:color w:val="auto"/>
        </w:rPr>
      </w:pPr>
      <w:r>
        <w:rPr>
          <w:rFonts w:ascii="Arial" w:cs="Arial" w:eastAsia="Arial" w:hAnsi="Arial"/>
          <w:sz w:val="18"/>
          <w:szCs w:val="18"/>
          <w:color w:val="auto"/>
        </w:rPr>
        <w:t>$0.5 million for the years ended December 31, 2019 and 2020, respectively. See the section titled “Evaluation Agreements” for a more detailed description of these and our other license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Rani Holdings was incorporated in April 2021 and formed for the purpose of this offering and has engaged to date only in activities in contemplation of this offering. Rani Holdings will be a holding company and its sole material asset will be a controlling ownership interest in Rani LLC. For more information regarding our reorganization and holding company structure, see the section titled “Organizational Transactions.” Upon completion of this offering, all of our business will be conducted through Rani LLC and its consolidated subsidiary, and the financial results of Rani LLC and its consolidated subsidiary will be included in the consolidated financial statements of Rani Holdings.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Rani LLC has been treated as a pass-through entity for U.S. federal and state income tax purposes and accordingly has not been subject to U.S. federal or state income tax. The wholly owned subsidiary of Rani LLC, which was incorporated in 2019, is taxed as a corporation for U.S. federal and most applicable state, local income tax and foreign tax purposes. After consummation of this offering, Rani LLC will continue to be treated as a pass-through entity for U.S. federal and state income tax purposes and our wholly owned subsidiary will continue to be taxed as a corporation for U.S. federal and most applicable state, local income tax and foreign tax purposes. As a result of its ownership of LLC Interests in Rani LLC, Rani Holdings will become subject to U.S. federal, state and local income taxes with respect to its allocable share of any taxable income of Rani LLC and will be taxed at the prevailing corporate tax rates. In addition to tax expenses, we also will incur expenses related to our operations and we will be required to make payments under the Tax Receivable Agreement with the Continuing LLC Owners. Due to the uncertainty of various factors, we cannot estimate the likely tax benefits we will realize as a result of LLC Interests exchanges, and the resulting amounts we are likely to pay out to LLC Unitholders pursuant to the Tax Receivable Agreement; however, we estimate that such payments may be substantial in the event we are profitable.</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To date, we have not generated any revenue from commercial product sales and do not expect to generate any revenue from the sale of commercial products in the foreseeable future. Our only revenues have been derived from our evaluation agreements, which are recorded as contract revenue in our consolidated statements of operations and comprehensive loss. We expect that our revenue for the next several years will be derived primarily from our current evaluation agreements and any additional agreements that we may enter into in the future. Under our evaluation agreements, for the years ended December 31, 2019 and 2020, we have recognized revenue in the amount of $1.0 million and $0.5 million, respectively.</w:t>
      </w:r>
    </w:p>
    <w:p>
      <w:pPr>
        <w:spacing w:after="0" w:line="161"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Research and development expense consists primarily of direct and indirect costs incurred in connection with our research and development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activities to commercialize the RaniPill capsule. These expenses include: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expenses, consisting of:</w:t>
      </w:r>
    </w:p>
    <w:p>
      <w:pPr>
        <w:spacing w:after="0" w:line="238" w:lineRule="exact"/>
        <w:rPr>
          <w:sz w:val="20"/>
          <w:szCs w:val="20"/>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associated with CROs, for managing and conducting clinical trials;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expenses, consisting of:</w:t>
      </w:r>
    </w:p>
    <w:p>
      <w:pPr>
        <w:spacing w:after="0" w:line="252" w:lineRule="exact"/>
        <w:rPr>
          <w:sz w:val="20"/>
          <w:szCs w:val="20"/>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including salaries, bonuses and benefits for personnel engaged in research and development functions;</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6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260" w:firstLine="881"/>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and benefits) for personnel in executive, finance, accounting,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88"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connection with the Organizational Transactions, Rani Holdings will be appointed as the sole managing member of Rani LLC pursuant to the amended and restated LLC Operating Agreement. Because we will manage and operate the business and control the strategic decisions and day-to-day operations of Rani LLC and will also have a substantial financial interest in Rani LLC, we will consolidate the financial results of Rani LLC, and a portion of our net loss will be allocated to the noncontrolling interest to reflect the entitlement of the noncontrolling interest holders to Rani LLC’s net loss. We will hold approximately % of the outstanding LLC Interests of Rani LLC (or approximately % of the outstanding LLC Interests of Rani LLC if the underwriters exercise their option to purchase additional shares in full), and the outstanding LLC Interests of Rani LLC will be held by Rani Holdings.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Rani LLC is currently, and will through consummation of the Organizational Transactions, be treated as a partnership for U.S. federal and most applicable state and local income tax purposes. As a partnership, its taxable income or loss is passed through to and included in the tax returns of its members, including us. Certain wholly owned subsidiaries of Rani LLC are organized and treated as corporations for U.S. federal and most applicable state, local income tax and foreign tax purposes. Accordingly, the consolidated financial statements of Rani LLC included in this prospectus include a tax provision for federal, state, local and foreign income taxes.</w:t>
      </w:r>
    </w:p>
    <w:p>
      <w:pPr>
        <w:spacing w:after="0" w:line="188"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For a description of the Tax Receivable Agreement, see the section titled “Certain Relationships and Related Person Transactions—Tax Receivable Agreement.”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InCube Labs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January 2019, the Company entered into a one year service agreement with ICL, the majority holder of the Company’s common units and a related party. This agreement was amended in January 2020 to extend the period for an additional year. The service agreement specifies the scope of services to be provided by ICL as well as the methods for determining the costs of services for the years ended December 31, 2019 and 2020. Costs are billed on a monthly basis and based upon the hours incurred by ICL employees working on behalf of Rani LLC, as well as allocations of expenses based upon Rani LLC’s utilization of ICL’s facilities and equipment. Effective January 1, 2020, the ICL personnel that were substantially dedicated to providing services to Rani were hired by RMS as full-time employees. In addition, under the service agreement, RMS bills ICL on the same cost basis described above certain hours incurred by RMS employees performing services on behalf of ICL. For the year ended December 31, 2020, RMS charged ICL $0.4 million for services performed, and such amounts charged were recorded as a reduction to research and development expense in the consolidated statement of operations and comprehensive loss.</w:t>
      </w:r>
    </w:p>
    <w:p>
      <w:pPr>
        <w:spacing w:after="0" w:line="181"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our employees, including our named executive officers, who satisfy certain eligibility requirements.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All of Rani LLC’s facilities are owned by an entity affiliated with our chief executive officer and the chairman of our board of directors, who is also the chief executive officer and chairman of the board of directors of ICL. Rani LLC pays for the use of these facilities through the service agreement with ICL.</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29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17,129</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7"/>
        </w:trPr>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20,437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0"/>
        </w:trPr>
        <w:tc>
          <w:tcPr>
            <w:tcW w:w="2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From inception to December 31, 2017, Rani LLC advanced funds to ICL, and ICL made payments directly to certain vendors on behalf of Rani LLC. Rani LLC has reimbursed ICL for all such payments at cost on a monthly basis. In June 2017, Rani LLC converted the outstanding advances of $6.6 million to ICL into notes receivable. The notes provide for interest at 1.97% compounded annually, loan fees of 2.75% and are payable upon demand to Rani LLC any time after January 1, 2024. During 2019 and 2020, the Company received $1.0 million and $0.2 million, respectively, in payments for interest and repayment of principal on the ICL notes receivable. As of December 31, 2019 and 2020, $1.9 million and $1.7 million, respectively, of the notes were outstanding. In March 2021, the outstanding balance, including all accrued interest, was fully repaid.</w:t>
      </w:r>
    </w:p>
    <w:p>
      <w:pPr>
        <w:spacing w:after="0" w:line="164"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During 2020, Rani LLC amended the terms of certain expired warrants to purchase Series B units, or the Series B Warrants, issued to InCube Ventures II, LP, or ICV II, a related party and entity affiliated with ICL, by extending its exercise period for an additional two years. In December 2020, ICV II elected to cashless exercise all of their Series B Warrants and Rani LLC issued 51,341 Series B units. There were no Series B Warrants outstanding at December 31, 2020.</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On June 14, 2012 we entered into an Intellectual Property Agreement and an Exclusive License Agreement with ICL, which were each amended on June 13,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 We are obligated to diligently develop and commercialize such products and services and to reimburse ICL for its costs to prosecute and maintain the patents that are licensed to us, which reimbursement will be a pro rata portion if ICL grants licenses under such patents to other licensees.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Public Company Expenses</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We expect our operating expenses to increase when we become a public company following the completion of this offering.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(27,065)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Change in estimated fair value of preferred unit warrant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Contract revenue was $1.0 million and $0.5 million for the years ended December 31, 2019 and 2020, respectively, which was primarily attributable to our evaluation agreement with Takeda. The decrease was primarily related to timing of work performed for our evaluation agreement with Takeda.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 and development expenses were $24.6 million for the year ended December 31, 2019, compared to $12.0 million for the year ended December 31, 2020. The change in research and development expense was primarily related to a decrease in payroll and headcount related expenses due to a reduction in force in April 2020, as well as a decrease in our preclinical studies and clinical trial activities due in large part to the capital constraints on the Company during a large part of 2020 and the COVID-19 pandemic, which disrupted our ability to perform certain research and development activities.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General and administrative expenses were $3.5 million for the year ended December 31, 2019, compared to $5.0 million for the year ended December 31, 2020. During the year ended December 31, 2020, our payroll and related benefits increased by $0.4 million, our patent costs increased by $0.3 million, partially offset by a decrease in consulting services of $0.2 million and a decrease in travel expense of $0.3 million.</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Other income, net was $0.5 million for the year ended December 31, 2019, compared to a net expense of $0.1 million for the year ended December 31, 2020. The change in other income, net, was primarily due to a decrease in interest income of $0.4 million in 2020 as a result of lower average cash and cash equivalent balances throughout most of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private placement of our preferred units and convertible promissory notes, and revenue generated from evaluation agreements. Since our inception, we have received aggregate gross proceeds of $202.5 million from the sales and issuances of our preferred units and convertible promissory notes. As of December 31, 2020, we had cash and cash equivalents of $73.1 million.</w:t>
      </w:r>
    </w:p>
    <w:p>
      <w:pPr>
        <w:spacing w:after="0" w:line="18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April 2020, we received loan proceeds in the amount of approximately $1.3 million under the PPP, established pursuant to the CARES Act, with Comerica Bank as the lender (the “PPP Loan”). We have used this loan for the eligible purposes, including payroll, benefits, rent and utilities. The loan bears interest at 1% per annum. The loan and accrued interest are forgivable as long as the loan proceeds are used for eligible purposes; however, while we believe would be eligible for forgiveness, we intend to pay back the loan and accrued interest in full with the proceeds from this offering.</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September 2020, we entered into a secured convertible loan agreement (the “Avenue Loan Agreement”) with Avenue Venture Opportunity Fund L.P., for loan proceeds of up to $10.0 million. As of December 31, 2020, we had drawn down $3.0 million under the Avenue Loan Agreement. The Loan bears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are secured by a first priority security interest in substantially all of our assets. In connection with the Avenue Loan Agreement, we have issued warrants of 118,929 units of Series E preferred units (the Series E Warrants). The Series E Warrants are exercisable for a period of seven years from the date of grant at an exercise price of $7.1471 per unit. The loan is convertible at the option of the holder into our Series E convertible preferred units. We were in compliance with the covenants under the loan and there were no events of default for the year ended December 31, 2020. As of March 31, 2021, we have elected not to exercise our option to draw down the remaining $7.0 million of the Avenue Loan Agreement.</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October 2020, we entered into the Fourth Amended and Restated Operating Agreement, which authorized the sale and issuance of up to</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10,493,767 Series E Preferred Units. As of January 31, 2021, we had issued the total authorized amount at a price of $7.1471 for gross proceeds of $75.0 million.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Based on our current operating plan, as of April 2021,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once we are operating as a public company.</w:t>
      </w:r>
    </w:p>
    <w:p>
      <w:pPr>
        <w:spacing w:after="0" w:line="164"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184" w:lineRule="exact"/>
        <w:rPr>
          <w:sz w:val="20"/>
          <w:szCs w:val="20"/>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40" w:hanging="319"/>
        <w:spacing w:after="0" w:line="263"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1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3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(26,267)</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w:t>
            </w:r>
          </w:p>
        </w:tc>
        <w:tc>
          <w:tcPr>
            <w:tcW w:w="120" w:type="dxa"/>
            <w:vAlign w:val="bottom"/>
            <w:shd w:val="clear" w:color="auto" w:fill="CCEEFF"/>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(1,532)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5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120" w:type="dxa"/>
            <w:vAlign w:val="bottom"/>
            <w:shd w:val="clear" w:color="auto" w:fill="CCEEFF"/>
          </w:tcPr>
          <w:p>
            <w:pPr>
              <w:spacing w:after="0"/>
              <w:rPr>
                <w:sz w:val="18"/>
                <w:szCs w:val="18"/>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(26,947)</w:t>
            </w:r>
          </w:p>
        </w:tc>
        <w:tc>
          <w:tcPr>
            <w:tcW w:w="5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2020, net cash used in operating activities was $15.0 million, which consisted of a net loss of $16.7 million, partially offset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$0.7 million in non-cash charges and a net change of approximately $1.0 million in our net operating assets and liabilities. The non-cash charges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consisted of depreciation of $0.6 million. The net change in our operating assets and liabilities was primarily due to an increase in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of $2.5 million resulting from the amendment of the evaluation agreement with Takeda, partially offset by a net reduction of $1.8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resulting from paying down our related party payable balance.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For the year ended December 31, 2019, net cash used in operating activities was $26.3 million, which consisted of a net loss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$26.6 million, partially offset by $0.5 million in non-cash charges and a net change of $0.2 million in our net operating assets and liabilities.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primarily consisted of depreciation of $0.6 million. The net change in our operating assets and liabilities was primarily due to a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related party payables and accrued expenses of $0.4 million, partially offset by a net decrease in prepaid expenses, accounts payable,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of approximately $0.5 million resulting from our evaluation agreement with Takeda.</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$1.2 million, consisting solely of purchases of property and equipment of $1.2 million.</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year ended December 31, 2019, net cash used in investing activities was $1.5 million, consisting primarily of purchases of property and equipment of $1.6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For the year ended December 31, 2020, cash provided by financing activities was approximately $72.7 million, consisting of the sale and issuance of 9.6 million units of our Series E Preferred Units, for net proceeds of $68.5 million, $1.3 million of proceeds relating to our PPP Loan, and net proceeds of $2.8 million relating to our Avenue Loan Agreement.</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For the year ended December 31, 2019, cash provided by financing activities was approximately $0.9 million, consisting of principal by a related party against their related party notes receivable.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1"/>
              </w:rPr>
              <w:t>Payments due by period</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7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Less than</w:t>
            </w: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1 to 3 years</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one year</w:t>
            </w: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PPP Loan </w:t>
            </w:r>
            <w:r>
              <w:rPr>
                <w:rFonts w:ascii="Arial" w:cs="Arial" w:eastAsia="Arial" w:hAnsi="Arial"/>
                <w:sz w:val="15"/>
                <w:szCs w:val="15"/>
                <w:color w:val="auto"/>
              </w:rPr>
              <w:t>(1)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1,263</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 xml:space="preserve">Loan and Security Agreement </w:t>
            </w:r>
            <w:r>
              <w:rPr>
                <w:rFonts w:ascii="Arial" w:cs="Arial" w:eastAsia="Arial" w:hAnsi="Arial"/>
                <w:sz w:val="15"/>
                <w:szCs w:val="15"/>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5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Service Agreement </w:t>
            </w:r>
            <w:r>
              <w:rPr>
                <w:rFonts w:ascii="Arial" w:cs="Arial" w:eastAsia="Arial" w:hAnsi="Arial"/>
                <w:sz w:val="15"/>
                <w:szCs w:val="15"/>
                <w:color w:val="auto"/>
              </w:rPr>
              <w:t>(3)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5,043</w:t>
            </w:r>
          </w:p>
        </w:tc>
        <w:tc>
          <w:tcPr>
            <w:tcW w:w="5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40" w:hanging="424"/>
        <w:spacing w:after="0" w:line="266"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April 2020, we received loan proceeds in the amount of approximately $1.3 million under the PPP loan, established pursuant to the CARES Act which we plan to repay in 2021.</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 September 2020, we entered into the Avenue Loan Agreement. As of December 31, 2020, we had drawn $3.0 million, which is payable by September 2023.</w:t>
      </w:r>
    </w:p>
    <w:p>
      <w:pPr>
        <w:spacing w:after="0" w:line="30" w:lineRule="exact"/>
        <w:rPr>
          <w:rFonts w:ascii="Arial" w:cs="Arial" w:eastAsia="Arial" w:hAnsi="Arial"/>
          <w:sz w:val="15"/>
          <w:szCs w:val="15"/>
          <w:color w:val="auto"/>
        </w:rPr>
      </w:pPr>
    </w:p>
    <w:p>
      <w:pPr>
        <w:ind w:left="540" w:right="200" w:hanging="424"/>
        <w:spacing w:after="0" w:line="288" w:lineRule="auto"/>
        <w:tabs>
          <w:tab w:leader="none" w:pos="5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Effective December 31, 2020, the term of our service agreement with ICL, which includes leasing of the office space, laboratories and manufacturing facilities, expired. We are operating on a month-to-month basis under the terms of the legacy agreement.</w:t>
      </w:r>
    </w:p>
    <w:p>
      <w:pPr>
        <w:spacing w:after="0" w:line="171"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We have also entered into other contracts in the normal course of business with certain CROs and other third parties for preclinical studies, clinical trials, non-clinical studies and testing, and other services and products for operating purposes. These contracts generally provide for termination following a certain period after notice, and therefore, we believe that our non-cancelable obligations under these agreements are not material. Payments due upon cancellation consist only of payments for services provided and expenses incurred, including non-cancelable obligations for our service providers, up to the date of cancellation.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540" w:firstLine="881"/>
        <w:spacing w:after="0" w:line="301" w:lineRule="auto"/>
        <w:rPr>
          <w:sz w:val="20"/>
          <w:szCs w:val="20"/>
          <w:color w:val="auto"/>
        </w:rPr>
      </w:pPr>
      <w:r>
        <w:rPr>
          <w:rFonts w:ascii="Arial" w:cs="Arial" w:eastAsia="Arial" w:hAnsi="Arial"/>
          <w:sz w:val="16"/>
          <w:szCs w:val="16"/>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as of the date of these consolidated financial statements, as well as the reported</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The economic uncertainty in the current environment caused by the COVID-19 pandemic could limit our ability to accurately make and evaluate our estimates and judgments.</w:t>
      </w:r>
    </w:p>
    <w:p>
      <w:pPr>
        <w:spacing w:after="0" w:line="18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120" w:right="16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the Note 2 to our consolidated financial statements at the end of this prospectus, we believe that the following accounting policies are the most critical to understanding and evaluating our reported financial results.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8" w:lineRule="exact"/>
        <w:rPr>
          <w:sz w:val="20"/>
          <w:szCs w:val="20"/>
          <w:color w:val="auto"/>
        </w:rPr>
      </w:pPr>
    </w:p>
    <w:p>
      <w:pPr>
        <w:ind w:left="120" w:right="60" w:firstLine="881"/>
        <w:spacing w:after="0" w:line="285" w:lineRule="auto"/>
        <w:rPr>
          <w:sz w:val="20"/>
          <w:szCs w:val="20"/>
          <w:color w:val="auto"/>
        </w:rPr>
      </w:pPr>
      <w:r>
        <w:rPr>
          <w:rFonts w:ascii="Arial" w:cs="Arial" w:eastAsia="Arial" w:hAnsi="Arial"/>
          <w:sz w:val="16"/>
          <w:szCs w:val="16"/>
          <w:color w:val="auto"/>
        </w:rPr>
        <w:t>We perform evaluation services for our biopharmaceutical customers utilizing the RaniPill capsule. These contract revenue evaluation services typically represent a single performance obligation as we perform evaluation and testing of the customer’s drug molecule delivery using the RaniPill capsule. Revenue for an individual contract is recognized at the related transaction price, which is the amount we expect to be entitled to in exchange for transferring these services. The terms of the evaluation services agreements usually include payments for evaluation services. 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2019 or December 31, 2020.</w:t>
      </w:r>
    </w:p>
    <w:p>
      <w:pPr>
        <w:spacing w:after="0" w:line="124"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and December 31, 2020, the contract liabilities were $0.2 million and $2.7 million, respectively. The Company expects to recognize substantially all of the remaining transaction price for the contract liability recorded as deferred revenue at December 31, 2020 within the next 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contract research fees and process development, outsourced labor and related expenses for personnel, facilities cost, fees paid to consultants and advisors, depreciation and supplies used in research and development. Payments made prior to the receipt of goods or services to be used in research and development activities are recorded as prepaid expenses until the related goods or services are received. Clinical and preclinical costs are a component of research and development expense. Until future commercialization is considered probable and the future economic benefit is expected to be realized we do not capitalize pre-launch inventory costs.</w:t>
      </w:r>
    </w:p>
    <w:p>
      <w:pPr>
        <w:spacing w:after="0" w:line="192"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We accrue and expenses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 The majority of our service providers invoice us monthly in arrears for services performed. We make estimates of our accrued expenses as of each reporting period in our consolidated financial statements based on facts and circumstances at that time. We periodically confirm the accuracy of our estimates with the service providers and make adjustments if necessary.</w:t>
      </w:r>
    </w:p>
    <w:p>
      <w:pPr>
        <w:spacing w:after="0" w:line="192"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expenses.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Fair Value of Preferred Unit Warrant Liability</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have issued freestanding warrants to purchase shares of our preferred units. These freestanding warrants are classified as liabilities in the consolidated balance sheet and remeasured at each reporting period at fair value as they contain terms for redemption that are outside our control and do not meet the criteria for equity classification. We estimate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initial public offering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rates, expected volatility, and a discount for lack of marketability reflective of the different rights of the preferred unit warrant holders. We re-measure the fair value of all warrants at each financial reporting date with any changes in fair value being recognized as a component of other income (expense), net in the consolidated statements of operations and comprehensive loss. We will continue to re-measure the fair value of the preferred unit warrant liabilities until exercise or expiration of the related preferred unit warrants.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granted equity-based awards to our employees and or consultants and certain employees of ICL in the form of non-vested units, or Profits Interests. These Profits Interests are considered to be a substantive class of equity. All awards of Profits Interests are measured based on the fair value of the award on the date of grant and are subject vest based the service of the grantee and only upon a non IPO liquidation event or Rani meeting certain revenue hurdles. We evaluate the probability of achieving each performance condition at each reporting date and recognize expense over the requisite service period when it is deemed probable that a performance condition will be met using the accelerated attribution method over the requisite service period. Equity-based compensation expenses are classified in the consolidated statements of operations and comprehensive loss based on the job functions of the related employees. Forfeitures are recognized when they occur.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Profits Interests and Preferred Unit Valuation</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 xml:space="preserve">As there has been no public market for the fair value of our units, the fair value our preferred units, which is an input into the estimated fair value of our preferred unit warrants, and Profits Interests has been determined by our board of directors with the assistance of management and an independent third-party valuation specialist. We believe our board of directors has the relevant experience and expertise to determine the fair value of our preferred units and Profits Interests. In determining the fair value of the preferred units and Profits Interests, the methodologies used to estimate the enterprise values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(“AICPA Accounting and Valuation Guide”). In accordance with the AICPA Accounting and Valuation Guide, our board of directors considered the following methods:</w:t>
      </w:r>
    </w:p>
    <w:p>
      <w:pPr>
        <w:spacing w:after="0" w:line="193" w:lineRule="exact"/>
        <w:rPr>
          <w:sz w:val="20"/>
          <w:szCs w:val="20"/>
          <w:color w:val="auto"/>
        </w:rPr>
      </w:pPr>
    </w:p>
    <w:p>
      <w:pPr>
        <w:ind w:left="1420" w:right="40" w:hanging="319"/>
        <w:spacing w:after="0" w:line="263"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Current value method</w:t>
      </w:r>
      <w:r>
        <w:rPr>
          <w:rFonts w:ascii="Arial" w:cs="Arial" w:eastAsia="Arial" w:hAnsi="Arial"/>
          <w:sz w:val="18"/>
          <w:szCs w:val="18"/>
          <w:color w:val="auto"/>
        </w:rPr>
        <w:t>. Under the Current Value Method, our value is determined based on our balance sheet. This value is then first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based on the liquidation preference associated with preferred units issued as of the valuation date, and then any residual value is assigned to the common units and Profits Interests.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Option-pricing method</w:t>
      </w:r>
      <w:r>
        <w:rPr>
          <w:rFonts w:ascii="Arial" w:cs="Arial" w:eastAsia="Arial" w:hAnsi="Arial"/>
          <w:sz w:val="18"/>
          <w:szCs w:val="18"/>
          <w:color w:val="auto"/>
        </w:rPr>
        <w:t>. Under the option-pricing method,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units, common units and Profits Interests are inferred by analyzing these options.</w:t>
      </w:r>
    </w:p>
    <w:p>
      <w:pPr>
        <w:spacing w:after="0" w:line="210"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is a scenario-based analysis that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value per share based on the probability-weighted present value of expected future investment returns, considering each of the possible outcomes available to us, as well as the economic and control rights of each unit class.</w:t>
      </w:r>
    </w:p>
    <w:p>
      <w:pPr>
        <w:spacing w:after="0" w:line="16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assumptions we use in the valuation model are based on future expectations combined with management’s judgment. In the absence of a public trading market, our board of directors, with input from management, exercised significant judgment and considered numerous objective and subjective factors to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determine the fair value of the preferred units and Incentive Units as of the date of reporting period or each award, including the following factors:</w:t>
      </w:r>
    </w:p>
    <w:p>
      <w:pPr>
        <w:spacing w:after="0" w:line="264" w:lineRule="exact"/>
        <w:rPr>
          <w:sz w:val="20"/>
          <w:szCs w:val="20"/>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independent valuations performed at periodic intervals by an independent third-party valuation firm;</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prices at which we sold shares of preferred units and the superior rights and preferences of the preferred units relative to our common units at the time of each grant;</w:t>
      </w:r>
    </w:p>
    <w:p>
      <w:pPr>
        <w:spacing w:after="0" w:line="197"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preferred units or preferred unit warrants;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or sale of our company in light of prevailing market conditions;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1" w:lineRule="exact"/>
        <w:rPr>
          <w:sz w:val="20"/>
          <w:szCs w:val="20"/>
          <w:color w:val="auto"/>
        </w:rPr>
      </w:pPr>
    </w:p>
    <w:p>
      <w:pPr>
        <w:jc w:val="both"/>
        <w:ind w:left="120" w:firstLine="881"/>
        <w:spacing w:after="0" w:line="274" w:lineRule="auto"/>
        <w:rPr>
          <w:sz w:val="20"/>
          <w:szCs w:val="20"/>
          <w:color w:val="auto"/>
        </w:rPr>
      </w:pPr>
      <w:r>
        <w:rPr>
          <w:rFonts w:ascii="Arial" w:cs="Arial" w:eastAsia="Arial" w:hAnsi="Arial"/>
          <w:sz w:val="17"/>
          <w:szCs w:val="17"/>
          <w:color w:val="auto"/>
        </w:rPr>
        <w:t>As of December 31, 2020, the aggregate value of our unvested Profits Interests was $ million based on the estimated fair value for our unit of $ per Class A Common share, which is the midpoint of the estimated public offering price range set forth on the cover page of this</w:t>
      </w:r>
    </w:p>
    <w:p>
      <w:pPr>
        <w:ind w:left="120" w:right="60"/>
        <w:spacing w:after="0" w:line="260" w:lineRule="auto"/>
        <w:rPr>
          <w:sz w:val="20"/>
          <w:szCs w:val="20"/>
          <w:color w:val="auto"/>
        </w:rPr>
      </w:pPr>
      <w:r>
        <w:rPr>
          <w:rFonts w:ascii="Arial" w:cs="Arial" w:eastAsia="Arial" w:hAnsi="Arial"/>
          <w:sz w:val="18"/>
          <w:szCs w:val="18"/>
          <w:color w:val="auto"/>
        </w:rPr>
        <w:t>prospectus. As of December 31, 2020, we had $11.6 million of unrecognized compensation expense related to Profits Interests subject to a performance condition.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As of December 31, 2020, we did not have any relationships with unconsolidated entities or financial partnerships, such as entities often referred to as structured finance or special purpose entities established for the purpose of facilitating off-balance sheet arrangements or other contractually narrow or limited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See Note 2 to our consolidated financial statements in this prospectus for more information about recent accounting standards, the timing of their adoption, and our assessment, to the extent we have made one yet, of their potential impact on our consolidated financial condition and consolidated results of operations.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The market risk inherent in our consolidated financial instruments and in our financial condition represents the potential loss arising from adverse changes in interest rates or exchange rates. As of December 31, 2019, and December 31, 2020, we had cash, and cash equivalents of $16.5 million and $73.1 million, respectively.</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PPP Loan bears interest at a fixed rate of 1.00% and therefore, is not subject to interest rate variability. Additionally, as of December 31, 2020, the principal amount owed under our Avenue Loan Agreement, was $3.0 million. The Avenue Loan Agreement bears interest at a variable rate interest per annum equal to the sum of the greater of the Prime Rate (which is the rate of interest per annum from time to time published in the money rates section of The Wall Street Journal) and 3.25%, plus 8.00%.</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cash and cash equivalents and interest payments in respects of our Avenue Loan Agreement are subject to market risk due to changes in interest rates. We do not believe that an increase or decrease in interest rate of 100 basis points would have a material effect on our business, consolidated financial condition or consolidated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120" w:right="260" w:firstLine="881"/>
        <w:spacing w:after="0" w:line="279" w:lineRule="auto"/>
        <w:rPr>
          <w:sz w:val="20"/>
          <w:szCs w:val="20"/>
          <w:color w:val="auto"/>
        </w:rPr>
      </w:pPr>
      <w:r>
        <w:rPr>
          <w:rFonts w:ascii="Arial" w:cs="Arial" w:eastAsia="Arial" w:hAnsi="Arial"/>
          <w:sz w:val="17"/>
          <w:szCs w:val="17"/>
          <w:color w:val="auto"/>
        </w:rPr>
        <w:t>All of our employees and our operations are currently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during the periods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20" w:right="120" w:firstLine="881"/>
        <w:spacing w:after="0" w:line="311"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w:t>
      </w:r>
    </w:p>
    <w:p>
      <w:pPr>
        <w:spacing w:after="0" w:line="46" w:lineRule="exact"/>
        <w:rPr>
          <w:sz w:val="20"/>
          <w:szCs w:val="20"/>
          <w:color w:val="auto"/>
        </w:rPr>
      </w:pPr>
    </w:p>
    <w:p>
      <w:pPr>
        <w:ind w:left="120" w:right="280"/>
        <w:spacing w:after="0" w:line="277" w:lineRule="auto"/>
        <w:rPr>
          <w:sz w:val="20"/>
          <w:szCs w:val="20"/>
          <w:color w:val="auto"/>
        </w:rPr>
      </w:pPr>
      <w:r>
        <w:rPr>
          <w:rFonts w:ascii="Arial" w:cs="Arial" w:eastAsia="Arial" w:hAnsi="Arial"/>
          <w:sz w:val="17"/>
          <w:szCs w:val="17"/>
          <w:color w:val="auto"/>
        </w:rPr>
        <w:t>of: (i) the last day of the fiscal year in which we have more than $1.07 billion in annual revenue; (ii) the date we qualify as a “large accelerated filer,” with at least $700.0 million of equity securities held by non-affiliates; (iii) the issuance, in any three-year period, by us of more than $1.0 billion in non-convertible debt securities; and (iv) the last day of the fiscal year ending after the fifth anniversary of this offering.</w:t>
      </w:r>
    </w:p>
    <w:p>
      <w:pPr>
        <w:spacing w:after="0" w:line="173" w:lineRule="exact"/>
        <w:rPr>
          <w:sz w:val="20"/>
          <w:szCs w:val="20"/>
          <w:color w:val="auto"/>
        </w:rPr>
      </w:pPr>
    </w:p>
    <w:p>
      <w:pPr>
        <w:ind w:left="120" w:right="120" w:firstLine="991"/>
        <w:spacing w:after="0" w:line="257"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Biologics refers to a broad class of therapeutics that are derived from proteins and human genes and is the fastest growing segment of the pharmaceutical industry. In 2019, sales of biologics were estimated to have reached $269.0 billion and are projected to reach approximately</w:t>
      </w:r>
    </w:p>
    <w:p>
      <w:pPr>
        <w:ind w:left="120"/>
        <w:spacing w:after="0" w:line="260" w:lineRule="auto"/>
        <w:rPr>
          <w:sz w:val="20"/>
          <w:szCs w:val="20"/>
          <w:color w:val="auto"/>
        </w:rPr>
      </w:pPr>
      <w:r>
        <w:rPr>
          <w:rFonts w:ascii="Arial" w:cs="Arial" w:eastAsia="Arial" w:hAnsi="Arial"/>
          <w:sz w:val="18"/>
          <w:szCs w:val="18"/>
          <w:color w:val="auto"/>
        </w:rPr>
        <w:t>$465.0 billion by 2023. Eight of the 10 highest-revenue-producing drugs in the world are biologics, including adalimumab, the best-selling drug globally in 2019. Adalimumab, sold under the brand name Humira, generated approximately $20.0 billion in sales in 2019.</w:t>
      </w:r>
    </w:p>
    <w:p>
      <w:pPr>
        <w:spacing w:after="0" w:line="18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Biologics, while effective, must generally be administered either through IV, intramuscular, or subcutaneous injection. This long term use of injectable drugs represents a serious burden to patients which impacts quality of life and compliance with therapy. Fear of needles and the associated pain often leads patients to delay taking their injections and even deliberately miss treatments. Such lack of adherence to dosing results in ineffective therapy and compromises the effective management of chronic diseases. 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delivered dose that reaches the bloodstream, to produce an intended therapeutic effect. Most prior attempts have taken a chemistry-based approach, which involves protecting the biologic from being digested and improving absorption by chemical agents. The best attempts have resulted in low bioavailability of peptides up to 1%.</w:t>
      </w:r>
    </w:p>
    <w:p>
      <w:pPr>
        <w:spacing w:after="0" w:line="181"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contrast to these prior attempts, our studies conducted to date have demonstrated high mean bioavailability via the RaniPill capsule, similar to subcutaneous injection, in the mean range of 47% to 78%, with high dosing accuracy. We have further demonstrated the RaniPill capsule can orally deliver a number of biologics, from peptides to antibodies. We also believe our technology may have application in delivering emerging cell and gene therapies.</w:t>
      </w:r>
    </w:p>
    <w:p>
      <w:pPr>
        <w:spacing w:after="0" w:line="18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We have discussed with the FDA the possible pathways to regulatory approval for this novel drug delivery platform in a pre-submission meeting with CDRH. We will study the initial safety and tolerability of the RaniPill capsule in an IDE study, independent of any drug, followed by a more standard regulatory pathway for each of our pipeline product candidates. Our current pipeline includes well-characterized biologics that have been in clinical use for several years. We believe that we may be able to leverage the FDA’s prior conclusions of safety, purity and potency for certain approved biologic products in our own BLA. The degree to which we may be able to reduce the burden on our own development will depend on whether the API is the same as the original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approved product, particularly for products originally approved as NDAs and now deemed to be biologics. We intend to have this clarified on a product-by-product basis in pre-IND meetings with the FDA for each of the pipeline product candidates.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The broad utility of the RaniPill capsule to enable the oral delivery of biologics reliably provides us with a range of attractive development opportunities. We have prioritized development of these opportunities based on specific scientific, developmental, regulatory and commercial considerations to optimize our portfolio of targeted product candidates. Our core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76" w:lineRule="exact"/>
        <w:rPr>
          <w:sz w:val="20"/>
          <w:szCs w:val="20"/>
          <w:color w:val="auto"/>
        </w:rPr>
      </w:pPr>
    </w:p>
    <w:p>
      <w:pPr>
        <w:ind w:left="120" w:right="38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119380</wp:posOffset>
            </wp:positionV>
            <wp:extent cx="5194935" cy="2905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949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 date, the best published bioavailability for oral octreotide is approximately 1%. The results of the RT-101 Phase 1 clinical trial support the utility of the RaniPill capsule to deliver octreotide orally. In addition, we believe the results validate the utility of the RaniPill capsule for other biologics. We are further optimizing the formulation in preparation for subsequent clinical trials with RT-101. We have worldwide commercial rights to RT-101.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w:t>
      </w:r>
    </w:p>
    <w:p>
      <w:pPr>
        <w:spacing w:after="0" w:line="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Patients who use adalimumab administer the drug through a painful subcutaneous injection once every two weeks. We believe RT-105 represents a substantial global market opportunity.</w:t>
      </w:r>
    </w:p>
    <w:p>
      <w:pPr>
        <w:spacing w:after="0" w:line="18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embarked on this program using commercially available TNF-alpha inhibitors (adalimumab and biosimilar) to conduct preclinical and clinical feasibility and proof of concept studies. To date, we have developed a formulation of a TNF-alpha inhibitor suitable for use with the RaniPill capsule and have conducted a series of preclinical studies and an early clinical study which we believe provide compelling evidence of our ability to reliably achieve therapeutic serum concentrations of the antibody via direct injection into the intestinal wall. We plan to initiate a Phase 1 clinical trial of RT-105 in healthy volunteers in 2023 and develop it for the treatment psoriatic arthritis. Later, we plan to expand RT-105 to other indications for which TNF-alpha inhibitors are approved. We have worldwide commercial rights to RT-105.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 million Americans suffer from osteoporosis; however, we estimate only a small fraction of this population is being treated with PTH analogs. While there may be other reasons for this, we believe that patients’ aversion to daily injections may be a major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jc w:val="both"/>
        <w:ind w:left="120" w:right="2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already approved by the FDA for the treatment of hypoparathyroidism, a rare condition that affects approximately 115,000 people in the United States; however, treatment requires painful daily injections and we believe there is an unmet need for a more effective treatment. We believe that RT-110, through providing the convenience of oral administration, may be able to meet this need.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plan to initiate preclinical PK studies once our PTH formulation has been optimized. We have worldwide commercial rights to RT-110.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RT-108: Factor VIII for the treatment of hemophilia A</w:t>
      </w:r>
    </w:p>
    <w:p>
      <w:pPr>
        <w:spacing w:after="0" w:line="225" w:lineRule="exact"/>
        <w:rPr>
          <w:sz w:val="20"/>
          <w:szCs w:val="20"/>
          <w:color w:val="auto"/>
        </w:rPr>
      </w:pPr>
    </w:p>
    <w:p>
      <w:pPr>
        <w:ind w:left="120" w:right="380" w:firstLine="881"/>
        <w:spacing w:after="0" w:line="301" w:lineRule="auto"/>
        <w:rPr>
          <w:sz w:val="20"/>
          <w:szCs w:val="20"/>
          <w:color w:val="auto"/>
        </w:rPr>
      </w:pPr>
      <w:r>
        <w:rPr>
          <w:rFonts w:ascii="Arial" w:cs="Arial" w:eastAsia="Arial" w:hAnsi="Arial"/>
          <w:sz w:val="16"/>
          <w:szCs w:val="16"/>
          <w:color w:val="auto"/>
        </w:rPr>
        <w:t>We are working with Takeda Pharmaceutical Company Limited, or Takeda, to develop RT-108 as an oral Factor VIII therapy for the treatment of hemophilia A. The current prophylactic Factor VIII treatment regimen to prevent bleeding episodes in hemophilia A patients includes painful, highly burdensome and often self-administered IV injections of Factor VIII multiple times per week. We believe that an oral therapy would revolutionize treatment of hemophilia A, enable patients to better manage and prevent bleeds, and greatly improve quality of life.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ind w:left="1420" w:right="60" w:hanging="319"/>
        <w:spacing w:after="0" w:line="258"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10" w:lineRule="exact"/>
        <w:rPr>
          <w:rFonts w:ascii="Arial" w:cs="Arial" w:eastAsia="Arial" w:hAnsi="Arial"/>
          <w:sz w:val="18"/>
          <w:szCs w:val="18"/>
          <w:color w:val="auto"/>
        </w:rPr>
      </w:pPr>
    </w:p>
    <w:p>
      <w:pPr>
        <w:jc w:val="both"/>
        <w:ind w:left="1420" w:right="200" w:hanging="319"/>
        <w:spacing w:after="0" w:line="266"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and tolerability of the RaniPill capsule through clinical studies, independent of any drug or biologic. Data from these studies will be used to support subsequent product applications.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420" w:right="100" w:hanging="319"/>
        <w:spacing w:after="0" w:line="266"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optimize our manufacturing processes by expanding our use of automation. In addition, we are filing patents to protect our novel manufacturing processes.</w:t>
      </w:r>
    </w:p>
    <w:p>
      <w:pPr>
        <w:spacing w:after="0" w:line="202" w:lineRule="exact"/>
        <w:rPr>
          <w:rFonts w:ascii="Arial" w:cs="Arial" w:eastAsia="Arial" w:hAnsi="Arial"/>
          <w:sz w:val="18"/>
          <w:szCs w:val="18"/>
          <w:color w:val="auto"/>
        </w:rPr>
      </w:pPr>
    </w:p>
    <w:p>
      <w:pPr>
        <w:ind w:left="1420" w:hanging="319"/>
        <w:spacing w:after="0" w:line="266"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 technology, by</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420" w:right="120" w:hanging="319"/>
        <w:spacing w:after="0" w:line="312" w:lineRule="auto"/>
        <w:tabs>
          <w:tab w:leader="none" w:pos="1420"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420" w:right="120" w:hanging="319"/>
        <w:spacing w:after="0" w:line="266"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for Biologics</w:t>
      </w:r>
    </w:p>
    <w:p>
      <w:pPr>
        <w:spacing w:after="0" w:line="225" w:lineRule="exact"/>
        <w:rPr>
          <w:sz w:val="20"/>
          <w:szCs w:val="20"/>
          <w:color w:val="auto"/>
        </w:rPr>
      </w:pPr>
    </w:p>
    <w:p>
      <w:pPr>
        <w:ind w:left="120" w:right="100" w:firstLine="881"/>
        <w:spacing w:after="0" w:line="285" w:lineRule="auto"/>
        <w:rPr>
          <w:sz w:val="20"/>
          <w:szCs w:val="20"/>
          <w:color w:val="auto"/>
        </w:rPr>
      </w:pPr>
      <w:r>
        <w:rPr>
          <w:rFonts w:ascii="Arial" w:cs="Arial" w:eastAsia="Arial" w:hAnsi="Arial"/>
          <w:sz w:val="16"/>
          <w:szCs w:val="16"/>
          <w:color w:val="auto"/>
        </w:rPr>
        <w:t>More than half of the adult population of the United States has one or more chronic diseases. The affected population is expected to continue to grow as the population ages. Chronic conditions, including cancers, cardiovascular diseases, autoimmune diseases and metabolic disorders, are increasingly being treated with biologics. Biologics include recombinant therapeutic proteins, peptides and monoclonal antibodies, as well as cell and gene therapies, and constitute one of the largest and fastest growing segments of medicines in the world, as measured by revenue. In 2019, worldwide sales of biologics, including biosimilars, were estimated to have reached approximately $269.0 billion and are projected to reach</w:t>
      </w:r>
    </w:p>
    <w:p>
      <w:pPr>
        <w:spacing w:after="0" w:line="2"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$465.0 billion by 2023. Eight of the 10 highest revenue-producing drugs in the world are biologics, including the best-selling drug globally in 2019, adalimumab, sold under the brand name Humira. We believe that oral biologics have the potential to disrupt this large and growing market and significantly improve the quality of life of millions of patients.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Burden of Injectable Biologics for Patients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To date, most biologics require repeated, painful injections – either subcutaneously, intramuscularly, or intravenously. A regimen of injections represents a serious burden to patients, which impacts quality of life and compliance with therapy. Potential lack of compliance may influence physician treatment decisions and delay the prescribing of biologics until after the disease has progressed significantly. In diabetes, for example, basal insulin administered early in newly diagnosed pre-diabetic (insulin-resistant) and diabetic patients has been shown to slow the progression of the disease but is currently prescribed as a last line therapy due to an aversion to injections. For patients who have been prescribed a regimen of injectables, fear of needles and the associated pain often leads patients to delay taking their injections and even deliberately miss treatments. Such lack of adherence to dosing schedules, in turn, results in ineffective therapy and compromises the effective management of chronic diseases.</w:t>
      </w:r>
    </w:p>
    <w:p>
      <w:pPr>
        <w:spacing w:after="0" w:line="166"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To reduce the burden of injections on patients and thereby improve compliance, developers of many biologics made the choice to introduce infrequent dosing regimens (weekly, bi-weekly or even monthly injections) using higher doses that would provide protracted exposures over days and weeks. Even so, compliance remains an issue. Additionally, larger doses increase therapeutic exposure and can result in high levels of the biologic in circulation within the bloodstream, which in turn can increase the potential for serious,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off-target adverse reactions. From a pharmacological perspective, a preferred dosing regimen for most drugs is daily dosing, using the smallest effective dose to tightly maintain therapeutic exposures and prevent high levels of the biologic circulating in the bloodstream. Disease management is more effective with frequent small dosing, which, to date, remains elusive for biologics.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Efforts to Deliver Biologics Orally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Numerous attempts have been made to deliver biologics orally but have been met with little success. Most attempts have taken a chemistry-based approach, which involve protecting the biologic from being digested and improving absorption by chemical agents. The best attempts have resulted in under 1% bioavailability. Only a few types of biologics, such as small peptides, which have long half-lives and wide clinically-desirable dosing windows, can be safely and effectively used with chemistry-based approaches. Larger molecular weight biologics, such as antibodies, are not conducive to this approach. In some cases, low bioavailability and dosing variability may be overcome by using much higher doses, such as a hundredfold the dose in the oral version as compared to the injectable, but doing so raises the risk of potential adverse effects as well as unintended health and safety consequences.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RaniPill capsule has been designed to solve these challenges by taking an alternative approach to administering biologics orally.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168910</wp:posOffset>
            </wp:positionV>
            <wp:extent cx="2734310" cy="18776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3431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Image depicts relative but not actual size of capsule or pills.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RaniPill Advantage</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believe that several characteristics of the RaniPill capsule distinguish it from other technologies of which we are aware that enable the oral delivery of biologics, in development or approved. We anticipate these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features will provide us with significant and sustainable competitive advantages. Differentiating attributes of the RaniPill capsule include:</w:t>
      </w:r>
    </w:p>
    <w:p>
      <w:pPr>
        <w:spacing w:after="0" w:line="252" w:lineRule="exact"/>
        <w:rPr>
          <w:sz w:val="20"/>
          <w:szCs w:val="20"/>
          <w:color w:val="auto"/>
        </w:rPr>
      </w:pPr>
    </w:p>
    <w:p>
      <w:pPr>
        <w:jc w:val="both"/>
        <w:ind w:left="1420" w:hanging="319"/>
        <w:spacing w:after="0" w:line="286" w:lineRule="auto"/>
        <w:tabs>
          <w:tab w:leader="none" w:pos="142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Drug-agnostic platform</w:t>
      </w:r>
      <w:r>
        <w:rPr>
          <w:rFonts w:ascii="Arial" w:cs="Arial" w:eastAsia="Arial" w:hAnsi="Arial"/>
          <w:sz w:val="16"/>
          <w:szCs w:val="16"/>
          <w:color w:val="auto"/>
        </w:rPr>
        <w:t>: The RaniPill capsule is designed to enable oral delivery of a broad array of biologics, including antibodies,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injecting its microneedle into the intestinal wall. This technique enables the RaniPill capsule to protect the biologic from intestinal fluid and overcome the body’s natural mechanisms that serve to block a biologic from reaching the blood stream from the intestine. In contrast, biologics ingested orally are broken down in the harsh GI environment before they are absorbed into the blood stream.</w:t>
      </w:r>
    </w:p>
    <w:p>
      <w:pPr>
        <w:spacing w:after="0" w:line="1" w:lineRule="exact"/>
        <w:rPr>
          <w:rFonts w:ascii="Arial" w:cs="Arial" w:eastAsia="Arial" w:hAnsi="Arial"/>
          <w:sz w:val="16"/>
          <w:szCs w:val="16"/>
          <w:color w:val="auto"/>
        </w:rPr>
      </w:pPr>
    </w:p>
    <w:p>
      <w:pPr>
        <w:ind w:left="1420" w:right="120"/>
        <w:spacing w:after="0" w:line="255" w:lineRule="auto"/>
        <w:rPr>
          <w:rFonts w:ascii="Arial" w:cs="Arial" w:eastAsia="Arial" w:hAnsi="Arial"/>
          <w:sz w:val="16"/>
          <w:szCs w:val="16"/>
          <w:color w:val="auto"/>
        </w:rPr>
      </w:pPr>
      <w:r>
        <w:rPr>
          <w:rFonts w:ascii="Arial" w:cs="Arial" w:eastAsia="Arial" w:hAnsi="Arial"/>
          <w:sz w:val="18"/>
          <w:szCs w:val="18"/>
          <w:color w:val="auto"/>
        </w:rPr>
        <w:t>Accordingly, current technologies employed to release biologics within the intestinal lumen have been restricted to a limited number of smaller-sized molecules, typically certain peptides that offer a sufficiently wide clinically-desirable dosing window to allow for significant dosing variability.</w:t>
      </w:r>
    </w:p>
    <w:p>
      <w:pPr>
        <w:spacing w:after="0" w:line="216" w:lineRule="exact"/>
        <w:rPr>
          <w:rFonts w:ascii="Arial" w:cs="Arial" w:eastAsia="Arial" w:hAnsi="Arial"/>
          <w:sz w:val="16"/>
          <w:szCs w:val="16"/>
          <w:color w:val="auto"/>
        </w:rPr>
      </w:pPr>
    </w:p>
    <w:p>
      <w:pPr>
        <w:ind w:left="1420" w:right="60" w:hanging="319"/>
        <w:spacing w:after="0" w:line="255"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Optimized dosing regimen</w:t>
      </w:r>
      <w:r>
        <w:rPr>
          <w:rFonts w:ascii="Arial" w:cs="Arial" w:eastAsia="Arial" w:hAnsi="Arial"/>
          <w:sz w:val="18"/>
          <w:szCs w:val="18"/>
          <w:color w:val="auto"/>
        </w:rPr>
        <w:t>: We expect that the convenience of the ingestible RaniPill capsule will enable a more frequent dosing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regimen as compared to injections. For example, small daily doses can be effective to maintain therapeutic exposure within a narrow range and potentially help minimize adverse events, whereas larger less-frequent doses can lead to issues such as large variations in therapeutic exposure, which directly contributes to adverse events, loss of efficacy, and increased propensity for immunogenic response. Therefore, small frequent doses can be a preferred regimen, and we expect better compliance with the convenience of daily oral dosing with the RaniPill capsule.</w:t>
      </w:r>
    </w:p>
    <w:p>
      <w:pPr>
        <w:spacing w:after="0" w:line="219" w:lineRule="exact"/>
        <w:rPr>
          <w:rFonts w:ascii="Arial" w:cs="Arial" w:eastAsia="Arial" w:hAnsi="Arial"/>
          <w:sz w:val="18"/>
          <w:szCs w:val="18"/>
          <w:color w:val="auto"/>
        </w:rPr>
      </w:pPr>
    </w:p>
    <w:p>
      <w:pPr>
        <w:ind w:left="1420" w:right="120" w:hanging="319"/>
        <w:spacing w:after="0" w:line="273" w:lineRule="auto"/>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High bioavailability</w:t>
      </w:r>
      <w:r>
        <w:rPr>
          <w:rFonts w:ascii="Arial" w:cs="Arial" w:eastAsia="Arial" w:hAnsi="Arial"/>
          <w:sz w:val="17"/>
          <w:szCs w:val="17"/>
          <w:color w:val="auto"/>
        </w:rPr>
        <w:t>: Our studies conducted to date have demonstrated that the RaniPill capsule delivers biologics with high mean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bioavailability, similar to subcutaneous injection, in the range of 40% to 78%, with high dosing accuracy. Bioavailability in the completed Phase 1 study was 65%. This level of bioavailability is significantly higher than that of currently marketed oral biologics, the best attempts of which have resulted in low bioavailability of peptides in the range of 1% or less. Due to the high bioavailability achievable using the RaniPill capsule, we anticipate a substantial reduction in the per-dose cost of APIs as compared to chemistry-based technologies currently used to enable the oral delivery of biologics.</w:t>
      </w:r>
    </w:p>
    <w:p>
      <w:pPr>
        <w:spacing w:after="0" w:line="204" w:lineRule="exact"/>
        <w:rPr>
          <w:rFonts w:ascii="Arial" w:cs="Arial" w:eastAsia="Arial" w:hAnsi="Arial"/>
          <w:sz w:val="17"/>
          <w:szCs w:val="17"/>
          <w:color w:val="auto"/>
        </w:rPr>
      </w:pPr>
    </w:p>
    <w:p>
      <w:pPr>
        <w:ind w:left="1420" w:right="140" w:hanging="319"/>
        <w:spacing w:after="0" w:line="286" w:lineRule="auto"/>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Patient preference</w:t>
      </w:r>
      <w:r>
        <w:rPr>
          <w:rFonts w:ascii="Arial" w:cs="Arial" w:eastAsia="Arial" w:hAnsi="Arial"/>
          <w:sz w:val="17"/>
          <w:szCs w:val="17"/>
          <w:color w:val="auto"/>
        </w:rPr>
        <w:t>: Patient preference for an oral alternative is significantly higher than for an injection, a bias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confirmed through numerous published studies and patient surveys. Inconvenience, fear of needles, pain, injection site reactions and infection create significant barriers to injections and contribute to lack of compliance in treatment adherence.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RaniPill capsule is an orally ingestible capsule approximately the size of a fish oil pill. 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259840" cy="10115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59840" cy="10115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168910</wp:posOffset>
            </wp:positionV>
            <wp:extent cx="3077210" cy="10115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77210" cy="10115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spacing w:after="0"/>
        <w:tabs>
          <w:tab w:leader="none" w:pos="2880" w:val="left"/>
        </w:tabs>
        <w:rPr>
          <w:sz w:val="20"/>
          <w:szCs w:val="20"/>
          <w:color w:val="auto"/>
        </w:rPr>
      </w:pPr>
      <w:r>
        <w:rPr>
          <w:rFonts w:ascii="Arial" w:cs="Arial" w:eastAsia="Arial" w:hAnsi="Arial"/>
          <w:sz w:val="18"/>
          <w:szCs w:val="18"/>
          <w:color w:val="auto"/>
        </w:rPr>
        <w:t>A: RaniPill capsule with</w:t>
      </w:r>
      <w:r>
        <w:rPr>
          <w:sz w:val="20"/>
          <w:szCs w:val="20"/>
          <w:color w:val="auto"/>
        </w:rPr>
        <w:tab/>
      </w:r>
      <w:r>
        <w:rPr>
          <w:rFonts w:ascii="Arial" w:cs="Arial" w:eastAsia="Arial" w:hAnsi="Arial"/>
          <w:sz w:val="16"/>
          <w:szCs w:val="16"/>
          <w:color w:val="auto"/>
        </w:rPr>
        <w:t>B: Outer shell dissolves</w:t>
      </w:r>
    </w:p>
    <w:p>
      <w:pPr>
        <w:spacing w:after="0" w:line="23" w:lineRule="exact"/>
        <w:rPr>
          <w:sz w:val="20"/>
          <w:szCs w:val="20"/>
          <w:color w:val="auto"/>
        </w:rPr>
      </w:pPr>
    </w:p>
    <w:p>
      <w:pPr>
        <w:ind w:left="120"/>
        <w:spacing w:after="0"/>
        <w:tabs>
          <w:tab w:leader="none" w:pos="2880" w:val="left"/>
        </w:tabs>
        <w:rPr>
          <w:sz w:val="20"/>
          <w:szCs w:val="20"/>
          <w:color w:val="auto"/>
        </w:rPr>
      </w:pPr>
      <w:r>
        <w:rPr>
          <w:rFonts w:ascii="Arial" w:cs="Arial" w:eastAsia="Arial" w:hAnsi="Arial"/>
          <w:sz w:val="18"/>
          <w:szCs w:val="18"/>
          <w:color w:val="auto"/>
        </w:rPr>
        <w:t>protective coating in</w:t>
      </w:r>
      <w:r>
        <w:rPr>
          <w:sz w:val="20"/>
          <w:szCs w:val="20"/>
          <w:color w:val="auto"/>
        </w:rPr>
        <w:tab/>
      </w:r>
      <w:r>
        <w:rPr>
          <w:rFonts w:ascii="Arial" w:cs="Arial" w:eastAsia="Arial" w:hAnsi="Arial"/>
          <w:sz w:val="16"/>
          <w:szCs w:val="16"/>
          <w:color w:val="auto"/>
        </w:rPr>
        <w:t>and the balloon starts to</w:t>
      </w:r>
    </w:p>
    <w:p>
      <w:pPr>
        <w:spacing w:after="0" w:line="9" w:lineRule="exact"/>
        <w:rPr>
          <w:sz w:val="20"/>
          <w:szCs w:val="20"/>
          <w:color w:val="auto"/>
        </w:rPr>
      </w:pPr>
    </w:p>
    <w:p>
      <w:pPr>
        <w:ind w:left="120"/>
        <w:spacing w:after="0"/>
        <w:tabs>
          <w:tab w:leader="none" w:pos="2880" w:val="left"/>
        </w:tabs>
        <w:rPr>
          <w:sz w:val="20"/>
          <w:szCs w:val="20"/>
          <w:color w:val="auto"/>
        </w:rPr>
      </w:pPr>
      <w:r>
        <w:rPr>
          <w:rFonts w:ascii="Arial" w:cs="Arial" w:eastAsia="Arial" w:hAnsi="Arial"/>
          <w:sz w:val="18"/>
          <w:szCs w:val="18"/>
          <w:color w:val="auto"/>
        </w:rPr>
        <w:t>intestine.</w:t>
      </w:r>
      <w:r>
        <w:rPr>
          <w:sz w:val="20"/>
          <w:szCs w:val="20"/>
          <w:color w:val="auto"/>
        </w:rPr>
        <w:tab/>
      </w:r>
      <w:r>
        <w:rPr>
          <w:rFonts w:ascii="Arial" w:cs="Arial" w:eastAsia="Arial" w:hAnsi="Arial"/>
          <w:sz w:val="18"/>
          <w:szCs w:val="18"/>
          <w:color w:val="auto"/>
        </w:rPr>
        <w:t>inflate as the reaction</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begins.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C: Pressure in the balloon</w:t>
      </w:r>
      <w:r>
        <w:rPr>
          <w:sz w:val="20"/>
          <w:szCs w:val="20"/>
          <w:color w:val="auto"/>
        </w:rPr>
        <w:tab/>
      </w:r>
      <w:r>
        <w:rPr>
          <w:rFonts w:ascii="Arial" w:cs="Arial" w:eastAsia="Arial" w:hAnsi="Arial"/>
          <w:sz w:val="16"/>
          <w:szCs w:val="16"/>
          <w:color w:val="auto"/>
        </w:rPr>
        <w:t>D: Balloon deflates and</w:t>
      </w:r>
    </w:p>
    <w:p>
      <w:pPr>
        <w:spacing w:after="0" w:line="23"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pushes the microneedle</w:t>
      </w:r>
      <w:r>
        <w:rPr>
          <w:sz w:val="20"/>
          <w:szCs w:val="20"/>
          <w:color w:val="auto"/>
        </w:rPr>
        <w:tab/>
      </w:r>
      <w:r>
        <w:rPr>
          <w:rFonts w:ascii="Arial" w:cs="Arial" w:eastAsia="Arial" w:hAnsi="Arial"/>
          <w:sz w:val="13"/>
          <w:szCs w:val="13"/>
          <w:color w:val="auto"/>
        </w:rPr>
        <w:t>passes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into the intestinal wall.</w:t>
      </w:r>
    </w:p>
    <w:p>
      <w:pPr>
        <w:spacing w:after="0" w:line="415" w:lineRule="exact"/>
        <w:rPr>
          <w:sz w:val="20"/>
          <w:szCs w:val="20"/>
          <w:color w:val="auto"/>
        </w:rPr>
      </w:pPr>
    </w:p>
    <w:p>
      <w:pPr>
        <w:sectPr>
          <w:pgSz w:w="11900" w:h="16838" w:orient="portrait"/>
          <w:cols w:equalWidth="0" w:num="2">
            <w:col w:w="4920" w:space="720"/>
            <w:col w:w="5480"/>
          </w:cols>
          <w:pgMar w:left="320" w:top="459" w:right="459" w:bottom="1440" w:gutter="0" w:footer="0" w:header="0"/>
          <w:type w:val="continuous"/>
        </w:sectPr>
      </w:pPr>
    </w:p>
    <w:p>
      <w:pPr>
        <w:spacing w:after="0" w:line="51" w:lineRule="exact"/>
        <w:rPr>
          <w:sz w:val="20"/>
          <w:szCs w:val="20"/>
          <w:color w:val="auto"/>
        </w:rPr>
      </w:pPr>
    </w:p>
    <w:p>
      <w:pPr>
        <w:ind w:left="1000" w:right="24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jc w:val="both"/>
        <w:ind w:left="1000" w:right="200"/>
        <w:spacing w:after="0" w:line="286" w:lineRule="auto"/>
        <w:rPr>
          <w:sz w:val="20"/>
          <w:szCs w:val="20"/>
          <w:color w:val="auto"/>
        </w:rPr>
      </w:pPr>
      <w:r>
        <w:rPr>
          <w:rFonts w:ascii="Arial" w:cs="Arial" w:eastAsia="Arial" w:hAnsi="Arial"/>
          <w:sz w:val="17"/>
          <w:szCs w:val="17"/>
          <w:u w:val="single" w:color="auto"/>
          <w:color w:val="auto"/>
        </w:rPr>
        <w:t>Panel B</w:t>
      </w:r>
      <w:r>
        <w:rPr>
          <w:rFonts w:ascii="Arial" w:cs="Arial" w:eastAsia="Arial" w:hAnsi="Arial"/>
          <w:sz w:val="17"/>
          <w:szCs w:val="17"/>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65" w:lineRule="exact"/>
        <w:rPr>
          <w:sz w:val="20"/>
          <w:szCs w:val="20"/>
          <w:color w:val="auto"/>
        </w:rPr>
      </w:pPr>
    </w:p>
    <w:p>
      <w:pPr>
        <w:ind w:left="1000" w:right="10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RaniPill capsule</w:t>
      </w:r>
    </w:p>
    <w:p>
      <w:pPr>
        <w:spacing w:after="0" w:line="225"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Many of the distinguishing characteristics of the RaniPill capsule originate from internal research activities involving specific components, which have required, in many instances, multiple years to develop and optimize. We believe these efforts have enabled us to establish a broad intellectual property portfolio relating to the RaniPill capsule and the oral delivery of biologics. Several advanced features are detailed below.</w:t>
      </w:r>
    </w:p>
    <w:p>
      <w:pPr>
        <w:spacing w:after="0" w:line="176" w:lineRule="exact"/>
        <w:rPr>
          <w:sz w:val="20"/>
          <w:szCs w:val="20"/>
          <w:color w:val="auto"/>
        </w:rPr>
      </w:pPr>
    </w:p>
    <w:p>
      <w:pPr>
        <w:ind w:left="1420" w:right="100" w:hanging="319"/>
        <w:spacing w:after="0" w:line="342" w:lineRule="auto"/>
        <w:tabs>
          <w:tab w:leader="none" w:pos="1420" w:val="left"/>
        </w:tabs>
        <w:numPr>
          <w:ilvl w:val="0"/>
          <w:numId w:val="108"/>
        </w:numPr>
        <w:rPr>
          <w:rFonts w:ascii="Arial" w:cs="Arial" w:eastAsia="Arial" w:hAnsi="Arial"/>
          <w:sz w:val="16"/>
          <w:szCs w:val="16"/>
          <w:color w:val="auto"/>
        </w:rPr>
      </w:pPr>
      <w:r>
        <w:rPr>
          <w:rFonts w:ascii="Arial" w:cs="Arial" w:eastAsia="Arial" w:hAnsi="Arial"/>
          <w:sz w:val="16"/>
          <w:szCs w:val="16"/>
          <w:i w:val="1"/>
          <w:iCs w:val="1"/>
          <w:u w:val="single" w:color="auto"/>
          <w:color w:val="auto"/>
        </w:rPr>
        <w:t>Lubricious coating to facilitate swallowing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RaniPill capsule has a clear outer coating that hydrates upon interaction with saliva</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become a lubricious hydrogel. This proprietary coating is designed to enhance ease-of-swallowing of the RaniPill capsule.</w:t>
      </w:r>
    </w:p>
    <w:p>
      <w:pPr>
        <w:spacing w:after="0" w:line="150" w:lineRule="exact"/>
        <w:rPr>
          <w:rFonts w:ascii="Arial" w:cs="Arial" w:eastAsia="Arial" w:hAnsi="Arial"/>
          <w:sz w:val="16"/>
          <w:szCs w:val="16"/>
          <w:color w:val="auto"/>
        </w:rPr>
      </w:pPr>
    </w:p>
    <w:p>
      <w:pPr>
        <w:jc w:val="both"/>
        <w:ind w:left="1420" w:right="440" w:hanging="319"/>
        <w:spacing w:after="0" w:line="263" w:lineRule="auto"/>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i w:val="1"/>
          <w:iCs w:val="1"/>
          <w:u w:val="single" w:color="auto"/>
          <w:color w:val="auto"/>
        </w:rPr>
        <w:t>Protective coating to avoid deployment in the stomach</w:t>
      </w:r>
      <w:r>
        <w:rPr>
          <w:rFonts w:ascii="Arial" w:cs="Arial" w:eastAsia="Arial" w:hAnsi="Arial"/>
          <w:sz w:val="18"/>
          <w:szCs w:val="18"/>
          <w:i w:val="1"/>
          <w:iCs w:val="1"/>
          <w:color w:val="auto"/>
        </w:rPr>
        <w:t xml:space="preserve"> – </w:t>
      </w:r>
      <w:r>
        <w:rPr>
          <w:rFonts w:ascii="Arial" w:cs="Arial" w:eastAsia="Arial" w:hAnsi="Arial"/>
          <w:sz w:val="18"/>
          <w:szCs w:val="18"/>
          <w:color w:val="auto"/>
        </w:rPr>
        <w:t>Our proprietary pH-sensitive protective coating formulation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RaniPill capsule to maintain its integrity through the acidic environment in the stomach and to ensure that the moisture-sensitive release mechanism is protected from the moist environment of the stomach.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type w:val="continuous"/>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63"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i w:val="1"/>
          <w:iCs w:val="1"/>
          <w:u w:val="single" w:color="auto"/>
          <w:color w:val="auto"/>
        </w:rPr>
        <w:t>Drug-agnostic design to provide a standardized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any molecule,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proteins or large antibodies, irrespective of molecular mass. This allows a single platform design to be used across multiple product candidates.</w:t>
      </w:r>
    </w:p>
    <w:p>
      <w:pPr>
        <w:spacing w:after="0" w:line="210" w:lineRule="exact"/>
        <w:rPr>
          <w:rFonts w:ascii="Arial" w:cs="Arial" w:eastAsia="Arial" w:hAnsi="Arial"/>
          <w:sz w:val="18"/>
          <w:szCs w:val="18"/>
          <w:color w:val="auto"/>
        </w:rPr>
      </w:pPr>
    </w:p>
    <w:p>
      <w:pPr>
        <w:ind w:left="1420" w:right="40" w:hanging="319"/>
        <w:spacing w:after="0" w:line="259"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i w:val="1"/>
          <w:iCs w:val="1"/>
          <w:u w:val="single" w:color="auto"/>
          <w:color w:val="auto"/>
        </w:rPr>
        <w:t>Self-inflating balloon to ensure reliable delivery</w:t>
      </w:r>
      <w:r>
        <w:rPr>
          <w:rFonts w:ascii="Arial" w:cs="Arial" w:eastAsia="Arial" w:hAnsi="Arial"/>
          <w:sz w:val="18"/>
          <w:szCs w:val="18"/>
          <w:i w:val="1"/>
          <w:iCs w:val="1"/>
          <w:color w:val="auto"/>
        </w:rPr>
        <w:t xml:space="preserve"> – </w:t>
      </w:r>
      <w:r>
        <w:rPr>
          <w:rFonts w:ascii="Arial" w:cs="Arial" w:eastAsia="Arial" w:hAnsi="Arial"/>
          <w:sz w:val="18"/>
          <w:szCs w:val="18"/>
          <w:color w:val="auto"/>
        </w:rPr>
        <w:t>The self-inflating balloon provides the optimal pressure to deliver the dissolvable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microneedle. In addition, the novel design of the balloon positions the microneedle perpendicularly to the intestinal wall for reliable drug delivery, with up to 80% drug delivery success observed in our initial clinical study. The self-inflating balloon has been designed to minimize GI discomfort.</w:t>
      </w:r>
    </w:p>
    <w:p>
      <w:pPr>
        <w:spacing w:after="0" w:line="213"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i w:val="1"/>
          <w:iCs w:val="1"/>
          <w:u w:val="single" w:color="auto"/>
          <w:color w:val="auto"/>
        </w:rPr>
        <w:t>Proprietary microneedle design to preserve drug integrity and sterility</w:t>
      </w:r>
      <w:r>
        <w:rPr>
          <w:rFonts w:ascii="Arial" w:cs="Arial" w:eastAsia="Arial" w:hAnsi="Arial"/>
          <w:sz w:val="17"/>
          <w:szCs w:val="17"/>
          <w:i w:val="1"/>
          <w:iCs w:val="1"/>
          <w:color w:val="auto"/>
        </w:rPr>
        <w:t xml:space="preserve"> </w:t>
      </w:r>
      <w:r>
        <w:rPr>
          <w:rFonts w:ascii="Arial" w:cs="Arial" w:eastAsia="Arial" w:hAnsi="Arial"/>
          <w:sz w:val="17"/>
          <w:szCs w:val="17"/>
          <w:color w:val="auto"/>
        </w:rPr>
        <w:t>– The dissolvable microneedle is made from injectable-grade,</w:t>
      </w:r>
      <w:r>
        <w:rPr>
          <w:rFonts w:ascii="Arial" w:cs="Arial" w:eastAsia="Arial" w:hAnsi="Arial"/>
          <w:sz w:val="17"/>
          <w:szCs w:val="17"/>
          <w:i w:val="1"/>
          <w:iCs w:val="1"/>
          <w:color w:val="auto"/>
        </w:rPr>
        <w:t xml:space="preserve"> </w:t>
      </w:r>
      <w:r>
        <w:rPr>
          <w:rFonts w:ascii="Arial" w:cs="Arial" w:eastAsia="Arial" w:hAnsi="Arial"/>
          <w:sz w:val="17"/>
          <w:szCs w:val="17"/>
          <w:color w:val="auto"/>
        </w:rPr>
        <w:t>sterile materials. The hollow microneedle is designed to accommodate the biologic formed into a microtablet of up to 3 mg. The sealed microneedle preserves the integrity and sterility of the biologic until the point of delivery.</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broad utility of the RaniPill capsule to enable the oral delivery of biologics provides us with a range of attractive development opportunities. We have prioritized these opportunities based on specific scientific, developmental, regulatory and commercial considerations to optimize our portfolio of targeted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905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949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Core Programs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five core programs are oral versions of octreotide, anti-TNF-alpha antibody, PTH-OP, hGH and PTH-Hypo. We selected these molecules because they are well-characterized and have been in clinical use for decades. We believe these drugs are compatible with our technology based on their dosage and dosing schedule. Most importantly, our core products, if approved, would give millions of patients a convenient, injection-free option to effectively manage their diseases.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 and acromegaly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Somatostatin is a peptide hormone involved in the regulation of the endocrine system. It acts as an inhibitory hormone and influences hGH release, insulin and glucagon secretion, regional blood flow, gastric acid secretion, intestinal mobility and neuronal activity. Octreotide, developed by Novartis AG and sold under the brand name Sandostatin, is a truncated and modified form of the human somatostatin that is a more potent mimetic with a significantly longer half-life than naturally occurring somatostatin. It is approved by the FDA and EMA for the symptomatic treatment of carcinoid syndrome, a condition involving NETs of the GI tract, as well as acromegaly, a disorder involving the excessive secretion of growth hormone.</w:t>
      </w:r>
    </w:p>
    <w:p>
      <w:pPr>
        <w:spacing w:after="0" w:line="16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total patient population of these two disorders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84"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The current standard of care involves either multiple painful subcutaneous injections of Sandostatin daily, or an extended-release formulation of the drug delivered by a painful, deep intramuscular injection every four weeks. By introducing an oral version of octreotide, we aim to improve patients’ quality of life, eliminate the burden and pain of these injections, and enable patients to more conveniently manage their disease.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most advanced product candidate, RT-101, is being developed for the treatment of NETs and acromegaly. We tested our oral formulation of octreotide in a Phase 1 clinical trial conducted in Australia, and are further optimizing the formulation in preparation for submitting an IND to initiate subsequent trials. We believe that RT-101 has the potential to expand the treatment paradigm beyond the limited reach of MYCAPSSA as we introduce this oral version of octreotide to patients. We have worldwide commercial rights to RT-101.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Phase 1 Octreotide Study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conducted a Phase 1 clinical trial with the RaniPill capsule containing octreotide to evaluate safety and tolerability as primary endpoints and bioavailability as a secondary endpoint.</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Sixty-two healthy subjects were enrolled in the Phase 1 clinical trial and 58 completed the study, six of whom received Sandostatin by IV injection (the IV group), and the remaining 52 subjects were given the RaniPill capsule containing octreotide in three separate groups (A, B and C). Three different versions of the RaniPill capsule, which were identical in all respects except for the size of the balloon, were tested in the three groups. In Groups A and B, the transit of the RaniPill capsule was tracked by taking several X-ray images at 15 to 20-minute intervals as needed to ascertain the time of deployment, which was followed by serial blood sampling for drug level analysis. In Group C, the primary objective was to determine the success rate of drug delivery. Thus, frequent fluoroscopic imaging was not conducted in Group C and blood samples were collected hourly between two and 10 hours after swallowing the RaniPill capsule. The drug delivery via RaniPill was considered successful when the presence of octreotide was confirmed in one or more of the hourly blood samples. This protocol greatly helped to reduce the subjects’ exposure to radiation, as only a single X-ray image was taken between seven to eight hours after the RaniPill ingestion to verify that the device had deployed. The IV group was used as a control to enable determination of absolute bioavailability of orally delivered octreotide.</w:t>
      </w:r>
    </w:p>
    <w:p>
      <w:pPr>
        <w:spacing w:after="0" w:line="18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results of the trial demonstrated that the RaniPill capsule was well tolerated by all participants, and no subjects had difficulty swallowing the pill. The capsule remnants were passed by all trial subjects by Day 7 and no serious adverse events were observed. The most common adverse events reported were lightheadedness, vasovagal syncope, diarrhea and headache, all of which were related to octreotide and resolved shortly after onset.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Results of this clinical trial also demonstrated that the RaniPill capsule was able to orally deliver levels of octreotide comparable to IV injection. The RaniPill capsule successfully delivered octreotide 25% of the time in Group A, 50% in Group B and 80% in Group C, as shown in the graph below. Based on the successful drug deliveries in Groups A and B, complete PK profiles were obtained from 13 subjects which were sufficient to compute bioavailability and PK parameters. Therefore, subjects in Group C were spared excessive exposure due to frequent X-ray imaging as additional complete PK profiles were deemed unnecessary, and only the success rate of drug delivery by the RaniPill capsule was determined in this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128905</wp:posOffset>
            </wp:positionV>
            <wp:extent cx="1962785" cy="1431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6278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PK data obtained with RT-101 in the study was within the same narrow range as the IV group, as is illustrated in the graph 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160020</wp:posOffset>
            </wp:positionV>
            <wp:extent cx="2828925" cy="1920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289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Results of this clinical trial demonstrated that the RaniPill capsule succeeded in the oral delivery of octreotide to healthy volunteers. Bioavailability of RT-101 was determined from cohort A and B to be 65% relative to the IV group in the combined analysis of two of the three configurations test (n=13 patients from whom PK data was obtained). We believe this is the first demonstration of this high of bioavailability of an oral biologic in humans. To date, the best published bioavailability for oral octreotide is approximately 1%. We believe the results of the RT-101 Phase 1 clinical trial validate the utility of the RaniPill capsule to deliver octreotide orally. In addition, we believe they validate the utility of the RaniPill capsule for other biologics.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A similar study conducted in awake canines shows that the data from the canine model, shown in the graph below, were consistent with the PK data obtained in humans. Bioavailability of RT-101 in the canine model was 78%, similar to the bioavailability obtained in humans.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bioavailability of octreotide in the canine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168910</wp:posOffset>
            </wp:positionV>
            <wp:extent cx="2751455" cy="18859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5145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delivery of octreotide into the jejunum of healthy volunteers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to the Phase 1 clinical trial with RT-101, we evaluated PK of the commercial formulation of octreotide delivered via a direct injection into the jejunal wall. This study, which involved five healthy volunteers, determined the PK of octreotide injected endoscopically into the intestinal wall, mimicking the intended route of delivery by RaniPill capsule. Blood samples were taken at regular intervals for the four-hour period following drug administration. Results of the clinical trial are presented in the graphic below, showing a highly similar PK profile of octreotide delivered by a direct injection into the intestinal wall to that obtained with RT-101 in the Phase 1 clinical trial. These data also show that change in formulation of octreotide from liquid to solid form did not significantly affect the PK of the drug.</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PK comparison of direct intrajejunal injection vs. RT-101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54325" cy="1817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5432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are currently optimizing the formulation for RT-101, to potentially enable once daily dosing. Once optimized, we will test and verify the formulation in appropriate animal models. Once the formulation is validated in preclinical studies, we plan to initiate clinical trials for the development of RT-101.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$20.0 billion in 2019, making it the best-selling drug globally in 2019. Adalimumab is approved by the FDA and EMA to treat a range of autoimmune conditions, including psoriasis, rheumatoid arthritis and Crohn’s disease. In the United States alone, there are an estimated 1.5 million patients with rheumatoid arthritis, 7 million with psoriasis and 3 million with Crohn’s disease or ulcerative colitis. Currently, six Humira biosimilars have been approved by the FDA, but will not enter the U.S. market until 2023, per licensing agreements with the originator.</w:t>
      </w:r>
    </w:p>
    <w:p>
      <w:pPr>
        <w:spacing w:after="0" w:line="178"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Patients who use adalimumab administer the drug through a painful subcutaneous injection once every two weeks. Despite the painful injections required to administer it, adalimumab is the best-selling drug globally in 2019. We believe that the development of an orally administered anti-TNF-alpha antibody represents a significant market opportunity and are actively engaged in advancing its delivery using the RaniPill capsule.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RT-105</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are developing RT-105 for oral administration of an anti-TNF-alpha antibody for the treatment of a host of inflammatory conditions. We have conducted preclinical studies with adalimumab (Humira) and an adalimumab biosimilar in porcine and canine models, respectively, detailed below, which confirm the bioavailability via the RaniPill capsule to be high, similar to a subcutaneous injection. We also conducted a study in healthy volunteers to assess the bioavailability of adalimumab (Humira) delivered endoscopically into the intestinal wall relative to subcutaneous injections. We are currently establishing a supply chain and plan to initiate a Phase 1 clinical trial of RT-105 in healthy volunteers in 2023. We have worldwide commercial rights to RT-105.</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and Clinical Experience</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evaluated the performance of the RaniPill capsule containing an adalimumab biosimilar in awake canines. Blood samples were collected for 28 days. The PK profile obtained with the RaniPill capsule was comparable to the profiles generated through subcutaneous administration of the adalimumab biosimilar. Bioavailability of adalimumab biosimilar via the RaniPill capsule was 49%, compared to 46% with subcutaneous injection. Data from this single dose study are presented in the following graph. These findings provide a successful demonstration of biologic delivery with high bioavailability enabled by the RaniPill capsule in awake animals, and importantly, the successful delivery of a large antibody.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 study of adalimumab delivery comparing the RaniPill capsule to subcutaneous and IV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168910</wp:posOffset>
            </wp:positionV>
            <wp:extent cx="3763010" cy="22802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7630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administration of adalimumab into the jejunum of healthy volunteers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further investigate the absorption of adalimumab through the intestinal wall and assess whether the observations from preclinical studies translate to clinical trials, we conducted an endoscopic study in humans. The study involved 10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14-day study periods. The results of this open-label, single dose study are presented below.</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PK comparisons of Humira delivered via jejunal injection and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168910</wp:posOffset>
            </wp:positionV>
            <wp:extent cx="3540125" cy="2228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4012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60"/>
          </w:cols>
          <w:pgMar w:left="320" w:top="459" w:right="5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92" w:lineRule="auto"/>
        <w:rPr>
          <w:sz w:val="20"/>
          <w:szCs w:val="20"/>
          <w:color w:val="auto"/>
        </w:rPr>
      </w:pPr>
      <w:r>
        <w:rPr>
          <w:rFonts w:ascii="Arial" w:cs="Arial" w:eastAsia="Arial" w:hAnsi="Arial"/>
          <w:sz w:val="16"/>
          <w:szCs w:val="16"/>
          <w:color w:val="auto"/>
        </w:rPr>
        <w:t>Similar variability in serum concentrations of the drug were noted between both study groups. As shown in the graph, PK profiles were similar with no notable differences observed in either AUC or C</w:t>
      </w:r>
      <w:r>
        <w:rPr>
          <w:rFonts w:ascii="Arial" w:cs="Arial" w:eastAsia="Arial" w:hAnsi="Arial"/>
          <w:sz w:val="13"/>
          <w:szCs w:val="13"/>
          <w:color w:val="auto"/>
        </w:rPr>
        <w:t>max</w:t>
      </w:r>
      <w:r>
        <w:rPr>
          <w:rFonts w:ascii="Arial" w:cs="Arial" w:eastAsia="Arial" w:hAnsi="Arial"/>
          <w:sz w:val="16"/>
          <w:szCs w:val="16"/>
          <w:color w:val="auto"/>
        </w:rPr>
        <w:t>. The mean AUC was 62.7 ± 11.4 µg/ml*day*kg/mg for the SC group and 45.0 ±</w:t>
      </w:r>
    </w:p>
    <w:p>
      <w:pPr>
        <w:ind w:left="120" w:right="20"/>
        <w:spacing w:after="0" w:line="280" w:lineRule="auto"/>
        <w:rPr>
          <w:sz w:val="20"/>
          <w:szCs w:val="20"/>
          <w:color w:val="auto"/>
        </w:rPr>
      </w:pPr>
      <w:r>
        <w:rPr>
          <w:rFonts w:ascii="Arial" w:cs="Arial" w:eastAsia="Arial" w:hAnsi="Arial"/>
          <w:sz w:val="16"/>
          <w:szCs w:val="16"/>
          <w:color w:val="auto"/>
        </w:rPr>
        <w:t>29.0 µg/ml*day*kg/mg for the IJ group. The C</w:t>
      </w:r>
      <w:r>
        <w:rPr>
          <w:rFonts w:ascii="Arial" w:cs="Arial" w:eastAsia="Arial" w:hAnsi="Arial"/>
          <w:sz w:val="13"/>
          <w:szCs w:val="13"/>
          <w:color w:val="auto"/>
        </w:rPr>
        <w:t>max</w:t>
      </w:r>
      <w:r>
        <w:rPr>
          <w:rFonts w:ascii="Arial" w:cs="Arial" w:eastAsia="Arial" w:hAnsi="Arial"/>
          <w:sz w:val="16"/>
          <w:szCs w:val="16"/>
          <w:color w:val="auto"/>
        </w:rPr>
        <w:t xml:space="preserve"> observed for the SC and IJ groups were 260 ± 75 ng/ml and 272 ± 115 ng/ml, respectively. T</w:t>
      </w:r>
      <w:r>
        <w:rPr>
          <w:rFonts w:ascii="Arial" w:cs="Arial" w:eastAsia="Arial" w:hAnsi="Arial"/>
          <w:sz w:val="13"/>
          <w:szCs w:val="13"/>
          <w:color w:val="auto"/>
        </w:rPr>
        <w:t>max</w:t>
      </w:r>
      <w:r>
        <w:rPr>
          <w:rFonts w:ascii="Arial" w:cs="Arial" w:eastAsia="Arial" w:hAnsi="Arial"/>
          <w:sz w:val="16"/>
          <w:szCs w:val="16"/>
          <w:color w:val="auto"/>
        </w:rPr>
        <w:t xml:space="preserve"> was achieved more quickly (0.75 ± 0.35 days) through the IJ route compared to that with SC route (5 ± 1 days) which is consistent with that data obtained in</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preclinical animal studies. No serious adverse events were noted in this study, and adverse events of headache and flu-like symptoms after IJ administration resolved within 48 hours. Similar drug exposures observed between the IJ and SC groups indicate the viability of delivering a daily oral dose of adalimumab via the RaniPill capsule, making this an effective alternative to painful SC injections.</w:t>
      </w:r>
    </w:p>
    <w:p>
      <w:pPr>
        <w:spacing w:after="0" w:line="190"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These preclinical studies and the initial clinical study provide compelling evidence that the RaniPill capsule can maintain serum concentrations of the antibody that are comparable to the approved subcutaneous dosing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as you get older. For many women, the disease begins to develop a year or two before menopause. The prevalence of osteoporosis in the United States is approximately 10 million adults.</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There are several medications available for the prevention or treatment of osteoporosis, however, PTH is the most-effective and the only bone-building treatment. PTH is a hormone secreted by the parathyroid glands that regulates serum calcium concentration and promotes bone growth. Teriparatide is a PTH analog administered as a once-daily injection to treat osteoporosis, first developed by Eli Lilly and Company and sold under the brand name Forteo. Another analog of PTH, Tymlos, was approved in 2017. Another teriparatide biosimilar injection, by Pfenex, Inc., was approved in 2019. Annual sales revenue of PTH analogs and biosimilars globally in 2019 was approximately $2.0 billion. In addition to the existing market, we believe there is an opportunity to expand the market by advancing RT-102 as a first line therapy for osteoporosis.</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the existing bone-building drugs for osteoporosis are given as painful daily subcutaneous injections for up to two years. Patients often miss dosing due to the pain and inconvenience associated with injections. An oral version of PTH would have significant clinical utility in the treatment of osteoporosis. We believe an orally administered teriparatide represents a compelling development opportunity and would be life-changing for the millions of patients who depend on regular injections of PTH.</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RT-102</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are developing RT-102 as an oral PTH for the treatment of osteoporosis. We believe our current PTH formulation is optimized for use in the RaniPill capsule for the treatment of osteoporosis, and we are currently conducting preclinical studies with RT-102. We plan to initiate a Phase 1 clinical trial with RT-102 in healthy volunteers in 2022. We have worldwide commercial rights to RT-102.</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initial study compared the PK profile of Rani-formulated teriparatide administered subcutaneously to a control group that received an equivalent dose of commercial formulation of teriparatide, or Forteo, subcutaneously in awake canines. Serial blood samples were collected for a three-hour period following dosing. Results of this study are shown in the following graph. AUC for the Forteo SC group was 45 ± 7 and 42 ± 5 ng/ml*min-1 for the RaniPill SC group. The results of this study provided evidence that the PK profile of teriparatide prepared with our formulation was largely comparable to Forteo.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PK profile of subcutaneous teriparatide prepared from our formulation vs. Forteo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168910</wp:posOffset>
            </wp:positionV>
            <wp:extent cx="3351530" cy="22713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5153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conducted a second preclinical study in anesthetized juvenile swine, which involved an assessment of IJ delivery of our teriparatide formulation as compared to an equivalent dose of a subcutaneous injection of Forteo. PTH was administered directly into the jejunum. The second group received an equivalent dose of Forteo via subcutaneous injection. Blood samples were collected for up to three hours after drug dosing for evaluation of serum teriparatide levels. Cmax 113 ± 8 pg/ml (n=4 Forteo) and 111 ± 27 pg/ml (n=6 IJ); AUC 8555 ± 1939 pg/ml/min (n=4 Forteo) and 8379 ± 2022 pg/ml/min (n=6 IJ) in SC and IJ groups, respectively. Data from this study are presented in the graph below. This study demonstrated that, in the porcine model, both our PTH formulation and Forteo have comparable PK profiles.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intrajejunal and subcutaneous delivery of teriparatide in swine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168910</wp:posOffset>
            </wp:positionV>
            <wp:extent cx="4234815" cy="21602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3481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currently characterizing the PK profile of RT-102 in awake canine models. In addition, we are conducting preclinical studies with RT-102 in an animal model of osteoporosis. In parallel, we are preparing to conduct a Phase 1 clinical trial with RT-102 in 2022. Completion of these PK and PD studies will inform the design of subsequent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40" w:firstLine="881"/>
        <w:spacing w:after="0" w:line="259" w:lineRule="auto"/>
        <w:rPr>
          <w:sz w:val="20"/>
          <w:szCs w:val="20"/>
          <w:color w:val="auto"/>
        </w:rPr>
      </w:pPr>
      <w:r>
        <w:rPr>
          <w:rFonts w:ascii="Arial" w:cs="Arial" w:eastAsia="Arial" w:hAnsi="Arial"/>
          <w:sz w:val="18"/>
          <w:szCs w:val="18"/>
          <w:color w:val="auto"/>
        </w:rPr>
        <w:t>Growth hormone is a peptide that is secreted by the pituitary gland and promotes cell growth, proliferation and regeneration. This anabolic hormone also stimulates insulin-like growth factor 1 which has growth enhancing effects on a broad set of tissues. A recombinant form of hGH is used to treat juvenile growth disorders and adult growth hormone deficiency, which affect between 30,000 and 80,000 people in the United States. Treatment involves painful daily subcutaneous hGH injections often over multiple years.</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Genentech, Inc., now part of Roche Holding AG, pioneered the use of recombinant hGH, receiving FDA approval for its commercial sale in 1985. HGH is currently available from a number of sources and is sold by Eli Lilly and Company under the brand name Humatrope and by Genentech, Inc. under the brand name Nutropin. Worldwide sales of hGH were $4.0 to $6.0 billion in 2019 and are projected to reach $11.0 billion by 2028.</w:t>
      </w:r>
    </w:p>
    <w:p>
      <w:pPr>
        <w:spacing w:after="0" w:line="14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Because patients typically need daily injections of hGH over several years, we believe that a once-daily oral version would transform treatment regimens for both pediatric and adult patients suffering from growth hormone deficiency.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RT-109</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To advance our RT-109 program, we are collaborating with CCHN on creating a formulation of recombinant hGH for the RaniPill capsule. We have worldwide commercial rights to RT-109. CCHN will have a limited opportunity to negotiate with us for exclusive rights within China and has a limited right of first refusal with respect to third-party offers for rights within China.</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will initiate preclinical PK studies once our hGH formulation has been optimized.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PTH for the treatment of hypoparathyroidism</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Hypoparathyroidism is a rare condition of low levels of serum PTH resulting in low calcium levels in the blood. PTH is currently approved for the treatment of hypoparathyroidism by the FDA and EMA and requires lifelong daily injections but has suboptimal efficacy. The prevalence of hypoparathyroidism in the United States is approximately 115,000 people.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RT-110</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are developing RT-110 for oral delivery of PTH for the treatment of hypoparathyroidism. Treatment of hypoparathyroidism requires consistent and sustained plasma levels of PTH. We intend to initiate preclinical PK studies in animals once our long-acting PTH formulation has been optimized. We have worldwide commercial rights to RT-110.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Opportunities</w:t>
      </w:r>
    </w:p>
    <w:p>
      <w:pPr>
        <w:spacing w:after="0" w:line="229" w:lineRule="exact"/>
        <w:rPr>
          <w:sz w:val="20"/>
          <w:szCs w:val="20"/>
          <w:color w:val="auto"/>
        </w:rPr>
      </w:pPr>
    </w:p>
    <w:p>
      <w:pPr>
        <w:jc w:val="center"/>
        <w:ind w:left="960" w:right="360"/>
        <w:spacing w:after="0" w:line="449" w:lineRule="auto"/>
        <w:rPr>
          <w:sz w:val="20"/>
          <w:szCs w:val="20"/>
          <w:color w:val="auto"/>
        </w:rPr>
      </w:pPr>
      <w:r>
        <w:rPr>
          <w:rFonts w:ascii="Arial" w:cs="Arial" w:eastAsia="Arial" w:hAnsi="Arial"/>
          <w:sz w:val="18"/>
          <w:szCs w:val="18"/>
          <w:color w:val="auto"/>
        </w:rPr>
        <w:t>We envision complementing our core programs with robust partnering activities to maximize the value inherent in the RaniPill capsule. 153</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RT-108: Factor VIII for the treatment of hemophilia A</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280" w:firstLine="881"/>
        <w:spacing w:after="0" w:line="279" w:lineRule="auto"/>
        <w:rPr>
          <w:sz w:val="20"/>
          <w:szCs w:val="20"/>
          <w:color w:val="auto"/>
        </w:rPr>
      </w:pPr>
      <w:r>
        <w:rPr>
          <w:rFonts w:ascii="Arial" w:cs="Arial" w:eastAsia="Arial" w:hAnsi="Arial"/>
          <w:sz w:val="17"/>
          <w:szCs w:val="17"/>
          <w:color w:val="auto"/>
        </w:rPr>
        <w:t>Hemophilia A is a genetic disorder caused by missing or defective Factor VIII, a blood clotting protein. People with hemophilia A are at risk for severe bleeds even from minor injuries, and some experience spontaneous bleeding episodes. Factor replacement therapy through painful IV infusion several times per week is the most common treatment for the disease. In addition, Emicizumab, given by painful subcutaneous injection and marketed by Genentech, Inc. under the brand name Hemlibra, is also approved for the treatment of hemophilia A.</w:t>
      </w:r>
    </w:p>
    <w:p>
      <w:pPr>
        <w:spacing w:after="0" w:line="17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prevalence for hemophilia A in the United States among males is approximately 30,000. The global Factor VIII market size is projected to be $10.0 billion by the end of 2026.</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RT-108</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are working with Takeda to develop RT-108 as an oral version of Factor VIII for the treatment of hemophilia A. Currently, hemophilia A patients require painful and inconvenient IV infusions, often self-administered, multiple times per week to deliver Factor VIII to prevent bleeding episodes. We believe an oral therapy would revolutionize treatment of the disease and will enable patients to better manage and prevent bleeds with ease. Our agreement with Takeda grants Takeda a right of first negotiation to a worldwide, exclusive license under our intellectual property related to RT-108.</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Data</w:t>
      </w:r>
    </w:p>
    <w:p>
      <w:pPr>
        <w:spacing w:after="0" w:line="225"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conducted preclinical studies to evaluate the safety and efficacy of RT-108 in a canine model of hemophilia A. Blood samples for PK and PD (blood clotting) assessment were collected for up to seven days after RT-108 administration. These data were compared to those from another hemophilia A canine that received comparable doses of Factor VIII via IV injection. Data presented below demonstrate that clotting efficiency was normalized by RT-108 similar to an IV injection.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Effect of RT-108 on Activated Partial Thromboplastin Time (aPTT, a measure of clotting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168910</wp:posOffset>
            </wp:positionV>
            <wp:extent cx="3540125" cy="21856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4012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Factor VIII activity levels shown in the graph below measured after RT-108 administration showed that bioavailability of RT-108 was 67%.</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adverse events were noted throughout the study period.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Factor VIII Activity levels after dosing via IV injection or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168910</wp:posOffset>
            </wp:positionV>
            <wp:extent cx="3120390" cy="17659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2039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The canine hemophilia A model closely mirrors the human condition and has been extensively used to develop safe and effective therapies for the disease. Data from this model have historically translated well to humans. As such, our data provide compelling evidence for the potential to replace frequent, painful IV injections of Factor VIII with a daily oral pill of RT-108 for hemophilia A patients.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CDC estimates that approximately 34 million Americans have diabetes (about one in 10). Of these, 90% to 95% suffer from Type 2 diabetes, which is characterized by progressive hyperinsulinemia (pre-diabetes or insulin resistance) followed by hyperglycemia as a result of the body’s inability to properly respond to insulin and, eventually, produce sufficient insulin. Diabetes has no known cure and can give rise to a host of serious and often life-threatening complications, including cardiovascular disease, neuropathy, retinopathy, cognitive impairment and stroke. This results in estimated economic costs totaling over $300.0 billion in United States annually.</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to oral anti-diabetic medications and lifestyle changes, patients with advanced Type 2 diabetes manage their blood sugar by administering painful daily injections of one or both types of insulin: (1) a single injection of a longer-acting insulin called basal insulin, which provides a steady baseline of insulin to offset insulin resistance and reduce hyperinsulinemia; and (2) a rapid-acting insulin called mealtime insulin, which is added in the later stages of the disease and injected several times daily approximately 20 to 30 minutes before the ingestion of a meal. Worldwide sales of basal insulin totaled an estimated $11.0 billion in 2019.</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market for basal insulin would further expand in the currently unserved ‘pre-diabetic’ market segment if an oral version of basal insulin were available. According to the CDC, 88 million (about one in three) Americans are pre-diabetic, a health condition in which blood glucose levels are higher than normal for long periods as a result of progressing insulin resistance. Clinical research has indicated that early intervention with daily injections of basal insulin could prevent or slow down disease progression in pre-diabetic patients, as steady-state, low levels of insulin would reduce the hyperinsulinemia caused by insulin resistance. Despite this knowledge, pre-diabetic patients currently are not prescribed basal insulin or indeed any injectable as a first-line therapy, and instead advised lifestyle changes and prescribed only oral anti-diabetic medications to manage the disease. However, in a market research study we commissioned, we found that approximately 81% of surveyed endocrinologists would initiate basal insulin therapy for diabetic patients earlier if an oral option were available.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RT-106</w:t>
      </w:r>
    </w:p>
    <w:p>
      <w:pPr>
        <w:spacing w:after="0" w:line="22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We are developing RT-106 as an oral basal insulin for the treatment of diabetes. We believe the RaniPill capsule would have significant benefit to the millions of people living with Type 2 diabetes, who inject longer-acting basal insulin on a daily basis, through the development of RT-106 as a once-daily oral basal insulin pill. Additionally, our RT-106 program aims to address a new market of unserved pre-diabetic patients who should be using basal insulin but eschew injections until their disease progression necessitates it. In both cases, basal insulin represents a compelling development opportunity for the RaniPill capsule, and our strategy is to pursue partnership opportunities with large pharmaceutical companies to co-develop and commercialize an oral version of basal insulin. Based on our survey conducted by Frost &amp; Sullivan of patients using insulin, 87% were likely to switch to a once-daily pill if available.</w:t>
      </w:r>
    </w:p>
    <w:p>
      <w:pPr>
        <w:spacing w:after="0" w:line="195"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Several long-acting insulin biosimilars are available in the market today, as patents for both leading brands (Lantus and Levemir) have expired. We believe that any of these biosimilars may potentially be reformulated for oral delivery via the RaniPill capsule. In addition, because of the solid form of the drug in the RaniPill capsule, generic or rapid acting insulin can be converted to a long-acting formulation using conventional pharmaceutical approaches. We are currently exploring various options for the development of the oral basal insulin therapy for evaluation in both established Type 2 diabetics as well as in pre- and early diabetic patients. We currently retain all global commercial rights for RT-106, however we intend to partner with a large pharmaceutical company.</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As a proof-of-concept to demonstrate the viability of the RaniPill capsule to deliver insulin orally, we evaluated the efficacy of fast-acting human insulin delivered via the RaniPill capsule in a preclinical study, detailed below. In this study, we compared the PK and PD profiles of fast-acting human insulin delivered using the RaniPill capsule against those achieved through the subcutaneous route of administration in anesthetized juvenile swine under a euglycemic glucose clamp. Serum samples were taken at frequent intervals over a seven-hour period to quantify serum insulin levels (PK) with glucose infusion rates adjusted to maintain plasma glucose levels between 60 and 80 mg/dl (euglycemic glucose clamp). The changes in glucose infusion rates reflect the glucose disposing action of insulin (PD). The outcome of these studies is presented below.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Insulin PK/PD data in juvenile swine administered insulin via the RaniPill vs. subcutaneously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37760" cy="14744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3776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These data demonstrate that fast-acting insulin was successfully and effectively delivered via the RaniPill capsule, comparable to a subcutaneous injection. The AUCs for the RaniPill capsule and SC group were 83± 18 and 81 ± 10 pmol/L.min, respectively, and were not statistically different. Consistent with the results of other studies, T</w:t>
      </w:r>
      <w:r>
        <w:rPr>
          <w:rFonts w:ascii="Arial" w:cs="Arial" w:eastAsia="Arial" w:hAnsi="Arial"/>
          <w:sz w:val="13"/>
          <w:szCs w:val="13"/>
          <w:color w:val="auto"/>
        </w:rPr>
        <w:t>max</w:t>
      </w:r>
      <w:r>
        <w:rPr>
          <w:rFonts w:ascii="Arial" w:cs="Arial" w:eastAsia="Arial" w:hAnsi="Arial"/>
          <w:sz w:val="16"/>
          <w:szCs w:val="16"/>
          <w:color w:val="auto"/>
        </w:rPr>
        <w:t xml:space="preserve"> was shorter for the RaniPill capsule (139 ± 42 minutes) than for subcutaneous administration (227 ± 24 minutes), reflecting the more rapid uptake of drugs delivered by the RaniPill capsule as compared to the subcutaneous route.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680" w:firstLine="881"/>
        <w:spacing w:after="0" w:line="342" w:lineRule="auto"/>
        <w:rPr>
          <w:sz w:val="20"/>
          <w:szCs w:val="20"/>
          <w:color w:val="auto"/>
        </w:rPr>
      </w:pPr>
      <w:r>
        <w:rPr>
          <w:rFonts w:ascii="Arial" w:cs="Arial" w:eastAsia="Arial" w:hAnsi="Arial"/>
          <w:sz w:val="16"/>
          <w:szCs w:val="16"/>
          <w:color w:val="auto"/>
        </w:rPr>
        <w:t>GLP-1 mimetics are used to treat Type 2 diabetes by increasing insulin secretion and suppressing glucagon secretion. Several large pharmaceutical companies market GLP-1 mimetics, and the global combined sales of these were estimated to be $11.0 billion annually in 2019.</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RT-103</w:t>
      </w:r>
    </w:p>
    <w:p>
      <w:pPr>
        <w:spacing w:after="0" w:line="225"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are developing RT-103 for oral administration of a GLP-1 mimetic for the treatment of Type 2 diabetes. Based on our survey conducted by Frost &amp; Sullivan of endocrinologists prescribing GLP-1 mimetics, 89% were likely to switch their prescription to a once-daily pill if available. We believe RT-103 would be more appealing to patients than the injectable form. While we continue to optimize our formulation to increase the drug half-life, we plan to pursue partnership opportunities with large pharmaceutical companies to co-develop and commercialize RT-103.</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Clinical Study</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We conducted an endoscopic study with Byetta, a branded form of exenatide, a GLP-1 mimetic, in humans. The study involved five healthy volunteers, who were dosed via a jejunal injection and, after a washout period, a subcutaneous injection. The results are presented below, showing nearly identical PK profiles between subcutaneous and jejunal injection, which mimics the route of administration of the RaniPill capsule. The C</w:t>
      </w:r>
      <w:r>
        <w:rPr>
          <w:rFonts w:ascii="Arial" w:cs="Arial" w:eastAsia="Arial" w:hAnsi="Arial"/>
          <w:sz w:val="13"/>
          <w:szCs w:val="13"/>
          <w:color w:val="auto"/>
        </w:rPr>
        <w:t>max</w:t>
      </w:r>
      <w:r>
        <w:rPr>
          <w:rFonts w:ascii="Arial" w:cs="Arial" w:eastAsia="Arial" w:hAnsi="Arial"/>
          <w:sz w:val="16"/>
          <w:szCs w:val="16"/>
          <w:color w:val="auto"/>
        </w:rPr>
        <w:t xml:space="preserve"> for the IJ group was 139 ± 6 pg/ml and 184 ± 23 pg/ml for the SC group. The AUC for the IJ group was 27 ± 3 ng/ml*min and 23 ± 2 ng/ml*min in the SC group. Jejunal wall delivery of exenatide mimicking delivery by RaniPill capsule yielded a robust PK profile. Tmax in the two groups was highly similar (IJ:</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90 ± 13 min, SC: 96 ± 11 min, p=0.8)</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PK comparisons of Byetta delivered via intestinal versus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168910</wp:posOffset>
            </wp:positionV>
            <wp:extent cx="3789045" cy="20828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78904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right="880" w:firstLine="881"/>
        <w:spacing w:after="0" w:line="308" w:lineRule="auto"/>
        <w:rPr>
          <w:sz w:val="20"/>
          <w:szCs w:val="20"/>
          <w:color w:val="auto"/>
        </w:rPr>
      </w:pPr>
      <w:r>
        <w:rPr>
          <w:rFonts w:ascii="Arial" w:cs="Arial" w:eastAsia="Arial" w:hAnsi="Arial"/>
          <w:sz w:val="17"/>
          <w:szCs w:val="17"/>
          <w:color w:val="auto"/>
        </w:rPr>
        <w:t>Due to the size, cost and complexity of clinical trials required to address the diabetes market, our strategy is to partner with large pharmaceutical companies to create oral versions of injected diabetes medications, such as basal insulin and GLP-1 mimetics.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Studies with the RaniPill Capsule—Preclinical and Clinical Experience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Seven-day repeat-dose GLP study</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Safety, tolerability and reliability of the RaniPill capsule was assessed in a multi-day administration study in canines done under GLP guidelines. The RaniPill capsule containing octreotide was orally administered to eight animals (Test group) and another four animals received an enteric coated capsule containing nonpareil sugar (Control group), for seven consecutive days followed by a seven-day washout period. Blood samples were collected after each RaniPill capsule was administered to confirm successful payload delivery by measuring plasma concentrations of the drug. Plasma samples analyzed from test group animals showed that 77% of the devices administered successfully delivered the drug, with seven of eight animals having at least five successful payload deliveries over the seven day dosing period. Ten percent of test articles (six capsules) were deployed in the stomach, and one of these capsules delivered the drug through the stomach rather than the intestinal tissue (which was counted as a successful delivery). The RaniPill capsule was well-tolerated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safely consumed on a daily basis for seven days, deploy within the targeted region of the small intestine without causing any adverse clinical effects and its remnants can be safely excreted without any complications.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platform study in humans confirms reliable deployment of the RaniPill capsule in both fed and fasted states</w:t>
      </w:r>
    </w:p>
    <w:p>
      <w:pPr>
        <w:spacing w:after="0" w:line="225" w:lineRule="exact"/>
        <w:rPr>
          <w:sz w:val="20"/>
          <w:szCs w:val="20"/>
          <w:color w:val="auto"/>
        </w:rPr>
      </w:pPr>
    </w:p>
    <w:p>
      <w:pPr>
        <w:ind w:left="120" w:right="180" w:firstLine="881"/>
        <w:spacing w:after="0" w:line="273" w:lineRule="auto"/>
        <w:rPr>
          <w:sz w:val="20"/>
          <w:szCs w:val="20"/>
          <w:color w:val="auto"/>
        </w:rPr>
      </w:pPr>
      <w:r>
        <w:rPr>
          <w:rFonts w:ascii="Arial" w:cs="Arial" w:eastAsia="Arial" w:hAnsi="Arial"/>
          <w:sz w:val="17"/>
          <w:szCs w:val="17"/>
          <w:color w:val="auto"/>
        </w:rPr>
        <w:t>In 2018, we conducted a clinical assessment of the RaniPill capsule to evaluate the safety and tolerability of the device when orally administered and to compare device performance in fed and fasted states in 20 healthy volunteers, divided into two groups of 10.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safety, tolerability and effects of food on the RaniPill capsule’s functionality, as measured by the time required for the RaniPill capsule to reach and deploy in the small intestine.</w:t>
      </w:r>
    </w:p>
    <w:p>
      <w:pPr>
        <w:spacing w:after="0" w:line="178"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The deployment time was longer in the fed group than in the fasted group. However, this did not impact the functionality of the RaniPill capsule, as confirmed by X-ray imaging. No volunteers reported difficulty in swallowing the capsule, nor did any study participant experience pain or sense an awareness upon balloon deployment. Volunteers were again X-rayed between 72 and 96 hours after capsule ingestion and all RaniPill capsule remnants had been excreted. In conclusion, the results of this study demonstrated that the RaniPill capsule was well-tolerated in both groups and presence of food did not affect the functionality of the RaniPill capsule.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After completion of the IDE study, we plan to create a Master File for the RaniPill capsule with CDRH, which would include the following:</w:t>
      </w:r>
    </w:p>
    <w:p>
      <w:pPr>
        <w:spacing w:after="0" w:line="275" w:lineRule="exact"/>
        <w:rPr>
          <w:sz w:val="20"/>
          <w:szCs w:val="20"/>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Facilities and manufacturing procedures and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Verification and validation reports;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Biocompatibility test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GLP canine study data;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IDE clinical study data.</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information in the RaniPill Master File will be applicable to any biologic and would be incorporated by reference in subsequent applications to CDER or CBER for our future product candidates. We believe this will serve to significantly de-risk the regulatory pathway for biologic products delivered via the RaniPill capsule.</w:t>
      </w:r>
    </w:p>
    <w:p>
      <w:pPr>
        <w:spacing w:after="0" w:line="184"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Our current pipeline consists of well-characterized biologics that have been in clinical use for several years. We believe that we may be able to leverage the FDA’s prior conclusions of safety, purity and potency for certain approved biologic products in our own BLA.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We intend to have the first of these pre-IND meetings in the second half of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RaniPill capsule development and manufacturing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our Chief Executive Officer, Mir Imran.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medicine and pharmacology and led research and development teams at GSK from 1990-2008. Our leadership is complemented by a team of biologists, engineers, manufacturing and automation experts, many with post-graduate degrees.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Evaluation Agreement</w:t>
      </w:r>
    </w:p>
    <w:p>
      <w:pPr>
        <w:spacing w:after="0" w:line="225"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In May 2015, we entered into an Evaluation and First Rights Agreement, or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The agreement grants Novartis a right of first negotiation to a worldwide, exclusive license under our intellectual property related to their proprietary biologic drugs. Unless extended by mutual agreement, the Novartis Agreement will terminate in July 2021. Novartis has the right to terminate the agreement under certain circumstances. Novartis has paid us an aggregate of $7.0 million and made an equity investment of approximately $5.0 million in our Series C preferred unit financing.</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 Evaluation Agreement</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November 2017, we entered into an Evaluation and First Rights Agreement, or the Takeda Agreement, with Shire International GmbH, which was subsequently acquired by Takeda Pharmaceutical Company Limited, or Takeda. Pursuant to the Takeda Agreement, which was amended in May 2019 and April 2020, we agreed to perform certain specified research for Takeda to evaluate our oral drug delivery technology with Takeda’s recombinant Factor VIII therapeutic. The agreement grants Takeda a right of first negotiation to a worldwide, exclusive license under our intellectual property related to RT-108. Takeda may terminate the Takeda Agreement under certain circumstances. Takeda has paid us an aggregate of approximately $5.9 million and made an equity investment of approximately $10.0 million in our Series D preferred unit financing.</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Changchun High &amp; New Technology Industries Evaluation Agreement</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August 2017, we entered into an Evaluation and Right of First Refusal Agreement, or the CCHN Agreement, with CCHN in which we agreed to perform and share data from preclinical testing of RT-109. Following the completion of the evaluation program, and if we decide to seek a commercial partner in China, the agreement grants CCHN, for a specified period of time, a right of first negotiation and a right of first refusal for license to commercial rights in China. CCHN may terminate the CCHN Agreement under certain circumstances. CCHN made an equity investment of approximately $15.0 million in our Series D preferred unit financing.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allows us to develop future generations of products while maintaining the confidentiality of our intellectual property.</w:t>
      </w:r>
    </w:p>
    <w:p>
      <w:pPr>
        <w:spacing w:after="0" w:line="157"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Each RaniPill capsule is assembled through a process which involves a series of integrated, well-developed and highly reproducible steps, as shown below, that have been optimized to consistently produce capsules of high reliability. A lyophilized drug substance, combined with excipients specific to the drug, is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7200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rely on non-exclusive, third-party relationships with several cGMP manufacturers for the drug API. We maintain in-house capabilities related to the aseptic manufacturing of drug microtablets, filled inside sterile microneedles, following FDA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187"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Currently we do not have any approved products. We intend to either develop the commercialization infrastructure as our product candidates are approved, or partner with pharma companies for commercialization. The key markets for our products, once approved, are the United States, Europe and Asia.</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w:t>
      </w:r>
    </w:p>
    <w:p>
      <w:pPr>
        <w:spacing w:after="0" w:line="161"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6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Broadly speaking, we will face competition from current and future (generic or biosimilars) manufacturers of the branded injectable versions of our pipeline drugs, such as AbbVie Inc., Eli Lilly and Company, Novartis AG, Roche Holdings AG, etc. We believe that oral biologics have the potential to take significant market share from injectable therapies and expand existing markets by reaching new patient populations that are averse to taking injections.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are aware of a few companies that are pursuing oral biologics through either device-based or chemistry-based technologies. Early stage device-based technologies such as the SOMA and LUMI from the Novo Nordisk-MIT collaboration were reported to be in preclinical stages several years ago. Chemistry-based oral delivery companies include Oramed Pharmaceuticals, Inc., Entera Bio Ltd., Applied Molecular Transport Inc., Protagonist Therapeutics, Inc., and two with recently approved oral peptide products – Chiasma, Inc. (</w:t>
      </w:r>
      <w:r>
        <w:rPr>
          <w:rFonts w:ascii="Arial" w:cs="Arial" w:eastAsia="Arial" w:hAnsi="Arial"/>
          <w:sz w:val="18"/>
          <w:szCs w:val="18"/>
          <w:i w:val="1"/>
          <w:iCs w:val="1"/>
          <w:color w:val="auto"/>
        </w:rPr>
        <w:t>Mycappssa</w:t>
      </w:r>
      <w:r>
        <w:rPr>
          <w:rFonts w:ascii="Arial" w:cs="Arial" w:eastAsia="Arial" w:hAnsi="Arial"/>
          <w:sz w:val="18"/>
          <w:szCs w:val="18"/>
          <w:color w:val="auto"/>
        </w:rPr>
        <w:t>) and Novo Nordisk A/S (</w:t>
      </w:r>
      <w:r>
        <w:rPr>
          <w:rFonts w:ascii="Arial" w:cs="Arial" w:eastAsia="Arial" w:hAnsi="Arial"/>
          <w:sz w:val="18"/>
          <w:szCs w:val="18"/>
          <w:i w:val="1"/>
          <w:iCs w:val="1"/>
          <w:color w:val="auto"/>
        </w:rPr>
        <w:t>Rybelsus</w:t>
      </w:r>
      <w:r>
        <w:rPr>
          <w:rFonts w:ascii="Arial" w:cs="Arial" w:eastAsia="Arial" w:hAnsi="Arial"/>
          <w:sz w:val="18"/>
          <w:szCs w:val="18"/>
          <w:color w:val="auto"/>
        </w:rPr>
        <w:t>). Chemistry-based approaches have limited applications because they work only for small peptides and, even then, with less than 1% bioavailability. In contrast, our versatile technology is designed to deliver biologics, from small peptides to large proteins, irrespective of molecular mass and with bioavailability similar to that of injections.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protection for our current and future product candidates and the technologies used to develop and manufacture them.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164"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The original core patent family of the patent portfolio has a priority date in 2009, with patent term extending into at least 2030 if all fees are paid. This patent family claims numerous device technologies and methodologies, as well as the delivery of a wide variety of biologics. Patents and patent applications in this core family number more than 200 across more than 20 different jurisdictions. Another core patent family having several dozen global patents and patent applications related to microtablets has patent term extending into at least 2035 if all fees are paid. We have numerous additional patents and patent applications outside of these core patent families, with claims to additional biologics, pharmacologic properties of various biologics and various next generation devices, with patent terms extending into the late 2030s and early 2040s if all fees are paid.</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several trademark registrations and applications, in 10 jurisdictions.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 and Other Proprietary Information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rely in part on keeping our trade secrets and other proprietary information confidential. We protect proprietary information by executing confidentiality agreements and intellectual property assignment agreements prior to commencement of our relationship with our employees, consultants, scientific advisors, sponsored researchers, contractors and other collaborators.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For information regarding the risks related to our intellectual property, see the section titled “Risk Factors— Risks Related to Our Intellectual Property.”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the United States, the FDA regulates biological products under the FDCA and the PHSA and their implementing regulations. Biological products are also subject to other federal, state, local and foreign statutes and regulations. We, along with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9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75" w:lineRule="exact"/>
        <w:rPr>
          <w:sz w:val="20"/>
          <w:szCs w:val="20"/>
          <w:color w:val="auto"/>
        </w:rPr>
      </w:pPr>
    </w:p>
    <w:p>
      <w:pPr>
        <w:ind w:left="1420" w:right="540" w:hanging="319"/>
        <w:spacing w:after="0" w:line="277"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regulation;</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the trial is commenced;</w:t>
      </w:r>
    </w:p>
    <w:p>
      <w:pPr>
        <w:spacing w:after="0" w:line="252" w:lineRule="exact"/>
        <w:rPr>
          <w:rFonts w:ascii="Arial" w:cs="Arial" w:eastAsia="Arial" w:hAnsi="Arial"/>
          <w:sz w:val="18"/>
          <w:szCs w:val="18"/>
          <w:color w:val="auto"/>
        </w:rPr>
      </w:pPr>
    </w:p>
    <w:p>
      <w:pPr>
        <w:ind w:left="1420" w:right="440" w:hanging="319"/>
        <w:spacing w:after="0" w:line="263"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Practices, and other clinical trial-related regulations to establish the safety, purity and potency of the proposed biologic product candidate for its intended purpose;</w:t>
      </w:r>
    </w:p>
    <w:p>
      <w:pPr>
        <w:spacing w:after="0" w:line="210"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 which includes not only the results of the clinical trials, but also, detailed information on the chemistry, manufacture and quality controls for the product candidate and proposed labeling;</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cGMPs and to assure that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spacing w:after="0" w:line="277" w:lineRule="auto"/>
        <w:rPr>
          <w:sz w:val="20"/>
          <w:szCs w:val="20"/>
          <w:color w:val="auto"/>
        </w:rPr>
      </w:pPr>
      <w:r>
        <w:rPr>
          <w:rFonts w:ascii="Arial" w:cs="Arial" w:eastAsia="Arial" w:hAnsi="Arial"/>
          <w:sz w:val="18"/>
          <w:szCs w:val="18"/>
          <w:color w:val="auto"/>
        </w:rPr>
        <w:t>facilities, methods and controls are adequate to preserve the biological product’s continued safety, purity and potency, and of selected clinical investigation sites to assess compliance with cGCPs; and</w:t>
      </w:r>
    </w:p>
    <w:p>
      <w:pPr>
        <w:spacing w:after="0" w:line="197" w:lineRule="exact"/>
        <w:rPr>
          <w:sz w:val="20"/>
          <w:szCs w:val="20"/>
          <w:color w:val="auto"/>
        </w:rPr>
      </w:pPr>
    </w:p>
    <w:p>
      <w:pPr>
        <w:ind w:left="1420" w:right="320" w:hanging="31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FDA review and approval of a BLA to permit commercial marketing of the product for particular indications for use in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 xml:space="preserve">Prior to beginning the first clinical trial with a product candidate, a sponsor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The FDA may also impose clinical holds on a product candidate at any time before or during clinical trials due to safety concerns, non-compliance, or other issues affecting the integrity of the trial. Submission of an IND therefore may or may not result in FDA authorization to begin a clinical trial and, once begun, issues may arise that could cause the trial to be suspended or terminated.</w:t>
      </w:r>
    </w:p>
    <w:p>
      <w:pPr>
        <w:spacing w:after="0" w:line="18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 overlap or be combined.</w:t>
      </w:r>
    </w:p>
    <w:p>
      <w:pPr>
        <w:spacing w:after="0" w:line="275" w:lineRule="exact"/>
        <w:rPr>
          <w:sz w:val="20"/>
          <w:szCs w:val="20"/>
          <w:color w:val="auto"/>
        </w:rPr>
      </w:pPr>
    </w:p>
    <w:p>
      <w:pPr>
        <w:ind w:left="1420" w:right="380" w:hanging="319"/>
        <w:spacing w:after="0" w:line="259" w:lineRule="auto"/>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Phase 1. The investigational product is typically introduced into healthy human subjects or patients with the target disease or condition. These studies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180" w:hanging="319"/>
        <w:spacing w:after="0" w:line="342" w:lineRule="auto"/>
        <w:tabs>
          <w:tab w:leader="none" w:pos="1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Phase 2. The investigational product is typically administered to a limited patient population with a specified disease or condition to evaluate the preliminary efficacy, optimal dosages and dosing schedule and to identify possible adverse side effects and safety risks.</w:t>
      </w:r>
    </w:p>
    <w:p>
      <w:pPr>
        <w:spacing w:after="0" w:line="150" w:lineRule="exact"/>
        <w:rPr>
          <w:rFonts w:ascii="Arial" w:cs="Arial" w:eastAsia="Arial" w:hAnsi="Arial"/>
          <w:sz w:val="16"/>
          <w:szCs w:val="16"/>
          <w:color w:val="auto"/>
        </w:rPr>
      </w:pPr>
    </w:p>
    <w:p>
      <w:pPr>
        <w:ind w:left="1420" w:right="40" w:hanging="319"/>
        <w:spacing w:after="0" w:line="25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Phase 3. The investigational product is typically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approval. Generally, two adequate and well-controlled Phase 3 clinical trials are required by the FDA for approval of a BLA.</w:t>
      </w:r>
    </w:p>
    <w:p>
      <w:pPr>
        <w:spacing w:after="0" w:line="18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made a condition to approval of the BLA.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92"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FDA, the sponsor or the IRB or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Additionally, if the trial is being overseen by a data safety monitoring board or committee, this group may recommend halting the clinical trial if it determines that there is an unacceptable safety risk for subjects or on other grounds, such as interim data suggesting a lack of efficacy.</w:t>
      </w:r>
    </w:p>
    <w:p>
      <w:pPr>
        <w:spacing w:after="0" w:line="192"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Under the Pediatric Research Equity Act, or PREA,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Under PDUFA, as amended, each BLA requires payment of a substantial application user fee to the FDA, unless a waiver or exemption applies, which is adjusted on an annual basis. The FDA has 60 days from the applicant’s submission of a BLA to either issue a refusal to file letter or accept the BLA for filing, indicating that it is sufficiently complete to permit substantive review. The FDA has substantial discretion in the approval process and may refuse to accept any application or decide that the data is insufficient for approval, and may require additional preclinical, clinical or other studies before it accepts the filing.</w:t>
      </w:r>
    </w:p>
    <w:p>
      <w:pPr>
        <w:spacing w:after="0" w:line="18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to determine whether the facilities comply with cGMPs.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and/or other significant and time-consuming requirements related to preclinical studies and manufacturing. If a Complete Response Letter is issued, the applicant may either resubmit the BLA, addressing all of the deficiencies identified in the letter, withdraw the application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42" w:lineRule="auto"/>
        <w:rPr>
          <w:sz w:val="20"/>
          <w:szCs w:val="20"/>
          <w:color w:val="auto"/>
        </w:rPr>
      </w:pPr>
      <w:r>
        <w:rPr>
          <w:rFonts w:ascii="Arial" w:cs="Arial" w:eastAsia="Arial" w:hAnsi="Arial"/>
          <w:sz w:val="16"/>
          <w:szCs w:val="16"/>
          <w:color w:val="auto"/>
        </w:rPr>
        <w:t>request a hearing. Even if such data and information is submitted, the FDA may delay or refuse approval of a BLA if applicable regulatory criteria are not satisfied, require additional testing or information and/or require post-marketing testing and surveillance to monitor safety or efficacy of a product.</w:t>
      </w:r>
    </w:p>
    <w:p>
      <w:pPr>
        <w:spacing w:after="0" w:line="124"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Further,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The FDA may also place other conditions on approvals, including the requirement of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Designation and Exclusivity</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FDA has a number of programs intended to expedite the development or review of products that meet certain criteria. For example, new drugs are eligible for fast track designation if they are intended to treat a serious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64"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a product may be eligible for accelerated approval. Drug or biologic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6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and biologics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product.</w:t>
      </w:r>
    </w:p>
    <w:p>
      <w:pPr>
        <w:spacing w:after="0" w:line="178"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cGMPs, quality controls, record-keeping, reporting of adverse experiences, periodic reporting, product sampling and distribution, and advertising and promotion of the product. After approval, most changes to the approved product, such as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adding new indications or other labeling claims, are subject to prior FDA review and approval. There also are continuing user fee requirements, under which the FDA assesses an annual program fee for each product identified in an approved BLA. The FDA regulations require that products be manufactured in specific approved facilities and in accordance with cGMPs. Biologic manufacturers and their subcontractors are required to register their establishments with the FDA and certain state agencies, and are subject to periodic unannounced inspections by the FDA and certain state agencies for compliance with cGMPs,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BLA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manufacturers must continue to expend time, money and effort in the area of production and quality control to maintain compliance with cGMPs and other aspects of regulatory compliance.</w:t>
      </w:r>
    </w:p>
    <w:p>
      <w:pPr>
        <w:spacing w:after="0" w:line="174"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1420" w:hanging="319"/>
        <w:spacing w:after="0"/>
        <w:tabs>
          <w:tab w:leader="none" w:pos="1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complete withdrawal of the product from the market or product recalls;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agencies actively enforce the laws and regulations prohibiting the promotion of off-label uses. Failure to comply with these requirements can result in, among other things, adverse publicity, warning letters, corrective advertising, potential civil and criminal penalties, government investigation, and/or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ind w:left="120" w:right="520" w:firstLine="881"/>
        <w:spacing w:after="0" w:line="308"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biologics that are biosimilar to or interchangeable with an FDA-approved reference biologic. This amendment to the PHSA attempts to minimize duplicative testing.</w:t>
      </w:r>
    </w:p>
    <w:p>
      <w:pPr>
        <w:spacing w:after="0" w:line="14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 and the reference product in terms of safety, purity, and potency and that the biologic is highly similar to the reference product notwithstanding minor differences in clinically inactive components, which can be demonstrated through comparative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or that it can be substituted for the reference product without the intervention of a health care provider who prescribed the reference product,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biologics, as well as the processes by which such products are manufactured, pose significant hurdles to implementation of the abbreviated approval pathway that are still being worked out by the FDA.</w:t>
      </w:r>
    </w:p>
    <w:p>
      <w:pPr>
        <w:spacing w:after="0" w:line="194"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Regulation of Combination Products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frequently by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different centers at the FDA. These products are known as combination products. Specifically, under regulations issued by the FDA, a combination product may be:</w:t>
      </w:r>
    </w:p>
    <w:p>
      <w:pPr>
        <w:spacing w:after="0" w:line="197" w:lineRule="exact"/>
        <w:rPr>
          <w:sz w:val="20"/>
          <w:szCs w:val="20"/>
          <w:color w:val="auto"/>
        </w:rPr>
      </w:pPr>
    </w:p>
    <w:p>
      <w:pPr>
        <w:ind w:left="1420" w:right="52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97" w:lineRule="exact"/>
        <w:rPr>
          <w:rFonts w:ascii="Arial" w:cs="Arial" w:eastAsia="Arial" w:hAnsi="Arial"/>
          <w:sz w:val="18"/>
          <w:szCs w:val="18"/>
          <w:color w:val="auto"/>
        </w:rPr>
      </w:pPr>
    </w:p>
    <w:p>
      <w:pPr>
        <w:ind w:left="1420" w:right="280" w:hanging="319"/>
        <w:spacing w:after="0" w:line="301" w:lineRule="auto"/>
        <w:tabs>
          <w:tab w:leader="none" w:pos="14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drug, or device, or biologic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84" w:lineRule="exact"/>
        <w:rPr>
          <w:rFonts w:ascii="Arial" w:cs="Arial" w:eastAsia="Arial" w:hAnsi="Arial"/>
          <w:sz w:val="16"/>
          <w:szCs w:val="16"/>
          <w:color w:val="auto"/>
        </w:rPr>
      </w:pPr>
    </w:p>
    <w:p>
      <w:pPr>
        <w:ind w:left="1420" w:right="20" w:hanging="319"/>
        <w:spacing w:after="0" w:line="263" w:lineRule="auto"/>
        <w:tabs>
          <w:tab w:leader="none" w:pos="1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investigational drug, or device, or biologic packaged separately that according to its proposed labeling is for use only with another individually specified investigational drug, device, or biological product where both are required to achieve the intended use, indication, or effect.</w:t>
      </w:r>
    </w:p>
    <w:p>
      <w:pPr>
        <w:spacing w:after="0" w:line="184"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the FDA center responsible for premarket review of the biologic product, whether CBER or CDER,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Even when a single marketing application is required for a combination product, such as an BLA for a combination biologic and device product, both CBER or CDER and FDA’s Center for Devices and Radiological Health may participate in the review. If a product candidate is considered a biologic-device combination product, an applicant will also need to discuss with the Agency how to apply certain premarket requirements and post-marketing regulatory requirements, including conduct of clinical trials, adverse event reporting and good manufacturing practices, including applicable portions of the FDA’s Quality System regulation, to their combination product.</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Some combination products feature a device constituent part that may be used as a platform across multiple products. Additionally, the same device information may be applicable to and used to support multiple submissions to FDA. For such combination products, a device master file may be submitted. A device master file is a submission that includes technical, manufacturing, preclinical, clinical and safety information about a medical device component or material that may be incorporated by reference into a sponsor’s IDE, BLA or other submission to the FDA. A master file is not approved by FDA, but is a mechanism to provide information regarding the device constituent part when the same information is applicable to several other applications.</w:t>
      </w:r>
    </w:p>
    <w:p>
      <w:pPr>
        <w:spacing w:after="0" w:line="192"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An investigational device exemption, or IDE, allows an investigational device to be used in a clinical study in order to collect safety and effectiveness data. A 30-day waiting period after the submission of each IDE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is required prior to the commencement of clinical testing in humans.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74"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Although the FDA’s Quality System Regulation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or HIPAA, and similar foreign, federal and state fraud and abuse, transparency, and health information privacy and security laws.</w:t>
      </w:r>
    </w:p>
    <w:p>
      <w:pPr>
        <w:spacing w:after="0" w:line="171"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7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Civil and criminal false claims laws, including the federal False Claims Act, which can be enforced through civil whistleblower or qui tam actions, and civil monetary penalty laws prohibit, among other things,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among other things, allegedly providing free products or other illegal kickbacks to customers to induce customers to refer or use the companies’ products over competitors’ products or alternative treatments that were billed to federal healthcare programs for reimbursement for the products.</w:t>
      </w:r>
    </w:p>
    <w:p>
      <w:pPr>
        <w:spacing w:after="0" w:line="166" w:lineRule="exact"/>
        <w:rPr>
          <w:sz w:val="20"/>
          <w:szCs w:val="20"/>
          <w:color w:val="auto"/>
        </w:rPr>
      </w:pPr>
    </w:p>
    <w:p>
      <w:pPr>
        <w:ind w:left="120" w:right="120" w:firstLine="881"/>
        <w:spacing w:after="0" w:line="291" w:lineRule="auto"/>
        <w:rPr>
          <w:sz w:val="20"/>
          <w:szCs w:val="20"/>
          <w:color w:val="auto"/>
        </w:rPr>
      </w:pPr>
      <w:r>
        <w:rPr>
          <w:rFonts w:ascii="Arial" w:cs="Arial" w:eastAsia="Arial" w:hAnsi="Arial"/>
          <w:sz w:val="16"/>
          <w:szCs w:val="16"/>
          <w:color w:val="auto"/>
        </w:rPr>
        <w:t>The U.S. federal Physician Payments Sunshine Act requires applicable manufacturers of prescription drugs, devices, biologics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and teaching hospitals, including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6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HIPAA created additional federal criminal statutes that prohibit, among other things, executing a scheme to defraud any healthcare benefit program, including private third-party payors, and making false statements relating to healthcare matters. In addition, HIPAA, as amended the Health Information Technology for Economic and Clinical Health Act of 2009, or HITECH, and their implementing regulations, impose certain requirements on HIPAA covered entities, which include certain healthcare providers, healthcare clearinghouses, and health plans, and individuals and entities, known as business associates,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64"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are also subject to additional similar U.S. state and foreign law equivalents of each of the above federal laws, which, in some cases, differ from each other in significant ways, and may not have the same effect, complicating compliance efforts. For example, we may be subject to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and foreign laws governing the privacy and security of health information in some circumstances, many of which differ from each other in significant ways and often are not preempted by HIPAA, complicating compliance efforts.</w:t>
      </w:r>
    </w:p>
    <w:p>
      <w:pPr>
        <w:spacing w:after="0" w:line="185" w:lineRule="exact"/>
        <w:rPr>
          <w:sz w:val="20"/>
          <w:szCs w:val="20"/>
          <w:color w:val="auto"/>
        </w:rPr>
      </w:pPr>
    </w:p>
    <w:p>
      <w:pPr>
        <w:ind w:left="120" w:right="340" w:firstLine="881"/>
        <w:spacing w:after="0" w:line="254"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w:t>
      </w:r>
    </w:p>
    <w:p>
      <w:pPr>
        <w:spacing w:after="0" w:line="2" w:lineRule="exact"/>
        <w:rPr>
          <w:sz w:val="20"/>
          <w:szCs w:val="20"/>
          <w:color w:val="auto"/>
        </w:rPr>
      </w:pPr>
    </w:p>
    <w:p>
      <w:pPr>
        <w:ind w:left="120" w:right="440"/>
        <w:spacing w:after="0" w:line="260" w:lineRule="auto"/>
        <w:rPr>
          <w:sz w:val="20"/>
          <w:szCs w:val="20"/>
          <w:color w:val="auto"/>
        </w:rPr>
      </w:pPr>
      <w:r>
        <w:rPr>
          <w:rFonts w:ascii="Arial" w:cs="Arial" w:eastAsia="Arial" w:hAnsi="Arial"/>
          <w:sz w:val="18"/>
          <w:szCs w:val="18"/>
          <w:color w:val="auto"/>
        </w:rPr>
        <w:t>obligations to resolve allegations of non-compliance, disgorgement, imprisonment, contractual damages, reputational harm, diminished profits and market share, and the curtailment or restructuring of our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Requirements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the ordinary course of our business, we collect, process and store proprietary, confidential and sensitive information, including personal information, intellectual property, trade secrets, and proprietary information owned or controlled by ourselves or other third parties. We, and third parties upon whom we rely, use information technology, software and services to process, store, use, generate, transfer, and disclose personal information and other sensitive information.</w:t>
      </w:r>
    </w:p>
    <w:p>
      <w:pPr>
        <w:spacing w:after="0" w:line="18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legislative and regulatory framework related to the collection, use, retention, safeguarding, disclosure, sharing, transfer, security and other processing of personal data worldwide is rapidly evolving. The number and scope of data protection laws and regulations is changing, subject to differing applications and interpretations, and may be inconsistent among jurisdictions, or in conflict with other rules, laws or other data processing obligations. Efforts to ensure that our current and future business arrangements, including our relationship with our CROs or other vendors who process data on our behalf, comply with applicable data privacy and data security laws and regulations will involve substantial costs.</w:t>
      </w:r>
    </w:p>
    <w:p>
      <w:pPr>
        <w:spacing w:after="0" w:line="17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For example, the European General Data Protection Regulation, or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European data protection laws, such as the GDPR, also impose strict rules on the transfer of personal data out of the European Economic Area, Switzerland, and the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w:t>
      </w:r>
    </w:p>
    <w:p>
      <w:pPr>
        <w:spacing w:after="0" w:line="164" w:lineRule="exact"/>
        <w:rPr>
          <w:sz w:val="20"/>
          <w:szCs w:val="20"/>
          <w:color w:val="auto"/>
        </w:rPr>
      </w:pPr>
    </w:p>
    <w:p>
      <w:pPr>
        <w:ind w:left="120" w:right="160" w:firstLine="881"/>
        <w:spacing w:after="0" w:line="253" w:lineRule="auto"/>
        <w:rPr>
          <w:sz w:val="20"/>
          <w:szCs w:val="20"/>
          <w:color w:val="auto"/>
        </w:rPr>
      </w:pPr>
      <w:r>
        <w:rPr>
          <w:rFonts w:ascii="Arial" w:cs="Arial" w:eastAsia="Arial" w:hAnsi="Arial"/>
          <w:sz w:val="18"/>
          <w:szCs w:val="18"/>
          <w:color w:val="auto"/>
        </w:rPr>
        <w:t>Likewise, we expect that there will continue to be new proposed laws, regulations and industry standards relating to privacy and data protection in the United States, the EU and other jurisdictions, such as the California Consumer Privacy Act of 2018, or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In any event, it is possible that governmental authorities will conclude that our business practices do not comply with current or future statutes, regulations, agency guidance or case law involving applicable information security or privacy laws in light of the lack of applicable precedent and regulations. Federal, state and foreign enforcement bodies have increased their scrutiny of biotechnology companies, which has led to a number of investigations, prosecutions, convictions, fines, penalties and settlements in the industry.</w:t>
      </w:r>
    </w:p>
    <w:p>
      <w:pPr>
        <w:spacing w:after="0" w:line="19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If we, or the third parties upon who we rely, fail, or are perceived to have failed, to address or comply with applicable data protection laws, privacy policies and data protection obligations, or if our privacy policies are, in whole or part, found to be inaccurate, incomplete, deceptive, unfair, or misrepresentative of our actual practices, it could: increase our operational costs, expose us to regulatory scrutiny, actions, fines and penalties; result in reputational harm; lead to a loss of customers; interrupt or stop clinical trials; result in an inability to process personal data or to operate in certain jurisdiction, or result in other material harm to our business.</w:t>
      </w:r>
    </w:p>
    <w:p>
      <w:pPr>
        <w:spacing w:after="0" w:line="188"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Moreover, we use third-party service providers, including vendors and CROs, and subprocessors to help us operate our business and engage in processing on our behalf. If we, our service providers, partners, or other relevant third-parties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of our (or their) information technology, software, services, communications or data, it may result in a material adverse impact, including without limitation, regulatory investigations or enforcement actions, litigation, or an inability to process data in some jurisdictions. Furthermore, applicable data protection</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laws, privacy policies and data protection obligations may require us to notify relevant stakeholders of security breaches, including affected individuals, customers, regulators and credit reporting agencies. Such disclosures are costly, and the disclosure or the failure to comply with such requirements, could result in a material adverse impact, including without limitation, regulatory investigations or enforcement 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120" w:right="120" w:firstLine="881"/>
        <w:spacing w:after="0" w:line="288"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 candidates to each payor separately, with no assurance that coverage and adequate reimbursement will be applied consistently or obtained in the first instance.</w:t>
      </w:r>
    </w:p>
    <w:p>
      <w:pPr>
        <w:spacing w:after="0" w:line="168"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61"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for drugs that are inhaled, infused, instilled, implanted or injected, a new licensure framework for follow on biologic products, and annual fees based on pharmaceutical companies’ share of sales to federal health care programs. There have been executive, judicial and Congressional challenges to certain aspects of the ACA. For example, the Tax Cuts and Jobs Act of 2017 (Tax Act) was enacted, which, among other things, removed penalties for not complying with ACA’s individual mandate to carry health insurance, effective January 1, 2019. On December 14, 2018, the Texas District Court Judge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On February 10, 2021, the Biden administration withdrew the federal government’s support for overturning the ACA. Although the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80"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2029 unless additional action is taken by Congress. However, COVID-19 relief legislation suspended the 2% Medicare sequester from May 1, 2020 through December 31, 2021.</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products, which has resulted in several Congressional inquiries and proposed and enacted federal and state legislation designed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bring more transparency to product pricing, review the relationship between pricing and manufacturer patient programs, and reform government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program reimbursement methodologies for drug products. At the federal level, the Trump administration used several means to propose or implement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drug pricing reform, including through federal budget proposals, executive orders and policy initiatives. For example, on July 24, 2020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13, 2020, the Trump administration announced several executive orders related to prescription drug pricing that attempt to implement several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administration’s proposals. The FDA also released a final rule, effective November 30, 2020, implementing a portion of the importation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order providing guidance for states to build and submit importation plans for drugs from Canada. Further, on November 20, 2020, HHS finalized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regulation removing safe harbor protection for price reductions from pharmaceutical manufacturers to plan sponsors under Part D, either directly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through pharmacy benefit managers, unless the price reduction is required by law. The implementation of the rule has been delayed by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from January 1, 2022 to January 1, 2023 in response to ongoing litigation. The rule also creates a new safe harbor for price reductions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reflected at the point-of-sale, as well as a new safe harbor for certain fixed fee arrangements between pharmacy benefit managers and manufacturers,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implementation of which have also been delayed until January 1, 2023. On November 20, 2020, CMS issued an interim final rule implementing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President Trump’s Most Favored Nation executive order, which would tie Medicare Part B payments for certain physician-administered drugs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lowest price paid in other economically advanced countries, effective January 1, 2021. On December 28, 2020, the United States District Court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Northern California issued a nationwide preliminary injunction against implementation of the interim final rule. It is unclear whether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will work to reverse these measures or pursue similar policy initiatives. At the state level, legislatures have increasingly passed legislation</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40" w:lineRule="auto"/>
        <w:rPr>
          <w:sz w:val="20"/>
          <w:szCs w:val="20"/>
          <w:color w:val="auto"/>
        </w:rPr>
      </w:pPr>
      <w:r>
        <w:rPr>
          <w:rFonts w:ascii="Arial" w:cs="Arial" w:eastAsia="Arial" w:hAnsi="Arial"/>
          <w:sz w:val="15"/>
          <w:szCs w:val="15"/>
          <w:color w:val="auto"/>
        </w:rPr>
        <w:t>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Further, it is possible that additional governmental action is taken in response to the COVID-19 pandemic.</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As of December 31, 2020, we had 49 full-time employees and no part-time employees. Of our full-time employees, 15 have advanced degrees, including but not limited to Ph.D.s in pharmacology, chemical engineering, and chemistry, 34 work in manufacturing and automation, 10 work in research and development, and 5 work in general and administrative functions. Our employees are primarily located in San Jose, California. None of our employees are represented by a labor union or are a party to a collective bargaining agreement and we believe that we have good relations with our employees.</w:t>
      </w:r>
    </w:p>
    <w:p>
      <w:pPr>
        <w:spacing w:after="0" w:line="188" w:lineRule="exact"/>
        <w:rPr>
          <w:sz w:val="20"/>
          <w:szCs w:val="20"/>
          <w:color w:val="auto"/>
        </w:rPr>
      </w:pPr>
    </w:p>
    <w:p>
      <w:pPr>
        <w:jc w:val="both"/>
        <w:ind w:left="120" w:right="560" w:firstLine="881"/>
        <w:spacing w:after="0" w:line="263"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The success of our business is fundamentally connected to the well-being of our employees. We provide market competitive compensation and benefits programs to help meet the needs of our employees. In addition to salaries, these programs include potential annual discretionary bonuses, broad-based equity awards, a 401(k) plan, healthcare and insurance benefits, health savings and flexible spending accounts, paid time off, family leave and flexible work schedules, among others. These benefits provide our employees choices where possible so they can customize their benefits to meet their needs and the needs of their families, as well as access to tools and resources to help them improve or maintain their health status and encourage engagement in healthy behaviors to improve their physical and mental health.</w:t>
      </w:r>
    </w:p>
    <w:p>
      <w:pPr>
        <w:spacing w:after="0" w:line="178"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In response to the COVID-19 pandemic and “shelter in place” and similar orders issued by state and local governments, we have temporarily restricted access to our offices in California, as well as suspended any non-essential business travel. Our employees are conducting their work remotely, and they otherwise have minimal presence in our offices for essential activities. The safety, health and well-being of our employees is paramount. As such, we will consider ongoing government regulations and local health conditions before lifting any restrictions on travel or allowing any gatherings at our offices.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Consultants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 We retain each consultant according to the terms of a consulting agreement. Under such agreements, we pay them a consulting fee and reimburse them for out of pocket expenses incurred in performing their services for us. In addition, we have in the past and may again in the future grant options to purchase our common stock to consultants,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Our corporate headquarters are currently located in San Jose, California, where we lease 22,000 square feet of office, research and development, production and manufacturing, and laboratory space pursuant to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service agreement with InCube Labs, LLC. We believe that these facilities will be adequate for our near-term needs. If required, we believe that suitable additional or alternative space would be available in the future on commercially reasonable terms.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140" w:firstLine="881"/>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60"/>
          </w:cols>
          <w:pgMar w:left="320" w:top="459"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names, ages, and positions of our executive officers, directors and key employees, as of April 26, 2021:</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Age</w:t>
            </w:r>
          </w:p>
        </w:tc>
        <w:tc>
          <w:tcPr>
            <w:tcW w:w="4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4460" w:type="dxa"/>
            <w:vAlign w:val="bottom"/>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Svai Sanford</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Hashim</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460" w:type="dxa"/>
            <w:vAlign w:val="bottom"/>
          </w:tcPr>
          <w:p>
            <w:pPr>
              <w:spacing w:after="0"/>
              <w:rPr>
                <w:sz w:val="20"/>
                <w:szCs w:val="20"/>
                <w:color w:val="auto"/>
              </w:rPr>
            </w:pPr>
            <w:r>
              <w:rPr>
                <w:rFonts w:ascii="Arial" w:cs="Arial" w:eastAsia="Arial" w:hAnsi="Arial"/>
                <w:sz w:val="18"/>
                <w:szCs w:val="18"/>
                <w:color w:val="auto"/>
              </w:rPr>
              <w:t>Chief Scientific Officer and Director</w:t>
            </w:r>
          </w:p>
        </w:tc>
      </w:tr>
      <w:tr>
        <w:trPr>
          <w:trHeight w:val="31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Dennis Ausiello.</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Jean-Luc Butel</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Laureen DeBuono</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Andrew Farquharson.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Maulik Nanavaty</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Talat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460" w:type="dxa"/>
            <w:vAlign w:val="bottom"/>
          </w:tcPr>
          <w:p>
            <w:pPr>
              <w:spacing w:after="0"/>
              <w:rPr>
                <w:sz w:val="20"/>
                <w:szCs w:val="20"/>
                <w:color w:val="auto"/>
              </w:rPr>
            </w:pPr>
            <w:r>
              <w:rPr>
                <w:rFonts w:ascii="Arial" w:cs="Arial" w:eastAsia="Arial" w:hAnsi="Arial"/>
                <w:sz w:val="18"/>
                <w:szCs w:val="18"/>
                <w:color w:val="auto"/>
              </w:rPr>
              <w:t>Vice President, Strategy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Mir Imran</w:t>
      </w:r>
      <w:r>
        <w:rPr>
          <w:rFonts w:ascii="Arial" w:cs="Arial" w:eastAsia="Arial" w:hAnsi="Arial"/>
          <w:sz w:val="18"/>
          <w:szCs w:val="18"/>
          <w:color w:val="auto"/>
        </w:rPr>
        <w:t>. Mr. Imran founded and has served as the Chairman of the board of directors, President and Chief Executive Officer of Rani</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Therapeutics, LLC since February 2012.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w:t>
      </w:r>
    </w:p>
    <w:p>
      <w:pPr>
        <w:spacing w:after="0" w:line="192"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medical device research and his extensive knowledge of our company.</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Svai Sanford. </w:t>
      </w:r>
      <w:r>
        <w:rPr>
          <w:rFonts w:ascii="Arial" w:cs="Arial" w:eastAsia="Arial" w:hAnsi="Arial"/>
          <w:sz w:val="18"/>
          <w:szCs w:val="18"/>
          <w:color w:val="auto"/>
        </w:rPr>
        <w:t>Mr. Sanford has served as our Chief Financial Officer since November 2018. Prior to joining us, from June 2017 to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881"/>
        <w:spacing w:after="0" w:line="287" w:lineRule="auto"/>
        <w:rPr>
          <w:sz w:val="20"/>
          <w:szCs w:val="20"/>
          <w:color w:val="auto"/>
        </w:rPr>
      </w:pPr>
      <w:r>
        <w:rPr>
          <w:rFonts w:ascii="Arial" w:cs="Arial" w:eastAsia="Arial" w:hAnsi="Arial"/>
          <w:sz w:val="16"/>
          <w:szCs w:val="16"/>
          <w:i w:val="1"/>
          <w:iCs w:val="1"/>
          <w:color w:val="auto"/>
        </w:rPr>
        <w:t xml:space="preserve">Mir Hashim. </w:t>
      </w:r>
      <w:r>
        <w:rPr>
          <w:rFonts w:ascii="Arial" w:cs="Arial" w:eastAsia="Arial" w:hAnsi="Arial"/>
          <w:sz w:val="16"/>
          <w:szCs w:val="16"/>
          <w:color w:val="auto"/>
        </w:rPr>
        <w:t>Dr. Hashim has served as a member of our board of directors and our Chief Scientific Officer since June 2013. Dr. Hashim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Dr. Hashim earned a B.S. in Biology and Chemistry from Osmania University, an M.S. in Life Sciences from the University of Hyderabad and a Ph.D.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Pharmacology from the School of Medicine, Memorial University of Newfoundland.</w:t>
      </w:r>
    </w:p>
    <w:p>
      <w:pPr>
        <w:spacing w:after="0" w:line="211"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We believe Dr. Hashim is qualified to serve on our board of directors because of his expertise in the pharmaceutical field and extensive knowledge of our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 xml:space="preserve">Dennis Ausiello. </w:t>
      </w:r>
      <w:r>
        <w:rPr>
          <w:rFonts w:ascii="Arial" w:cs="Arial" w:eastAsia="Arial" w:hAnsi="Arial"/>
          <w:sz w:val="17"/>
          <w:szCs w:val="17"/>
          <w:color w:val="auto"/>
        </w:rPr>
        <w:t>Dr. Ausiello has served as a member of our board of directors since September 2018. Dr. Ausiello serves as the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w:t>
      </w:r>
    </w:p>
    <w:p>
      <w:pPr>
        <w:spacing w:after="0" w:line="17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believe Dr. Ausiello is qualified to serve on our board of directors because of his leadership experience in the medical field, including in finance and research.</w:t>
      </w:r>
    </w:p>
    <w:p>
      <w:pPr>
        <w:spacing w:after="0" w:line="170"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i w:val="1"/>
          <w:iCs w:val="1"/>
          <w:color w:val="auto"/>
        </w:rPr>
        <w:t>Jean-Luc Butel</w:t>
      </w:r>
      <w:r>
        <w:rPr>
          <w:rFonts w:ascii="Arial" w:cs="Arial" w:eastAsia="Arial" w:hAnsi="Arial"/>
          <w:sz w:val="16"/>
          <w:szCs w:val="16"/>
          <w:color w:val="auto"/>
        </w:rPr>
        <w:t>. Mr. Butel has served as a member of our board of directors since April 2021. Mr. Butel currently serves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multiple companies, including Takeda Pharmaceutical Company Limited, a global pharmaceuticals company, since June 2016, Novo Holdings A/S, a life science investment company, since June 2017, JanaCare, a digital health company, since March 2019, SGInnovate, a start-up investment company, since January 2017, and A*ccelerate Technologies Pte. Ltd., an entity responsible for the commercialization of A*STAR’s IP portfolio, from September 2015 to December 2020. Since June 2015, he has also served as President and Global Healthcare Advisor at K8 Global Pte Ltd., a business consulting firm. Mr. Butel served on the board of directors of Varian Medical Systems Inc., a medical equipment manufacturer, from February 2017 to April 2021.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believe Mr. Butel is qualified to serve on our board of directors because of his leadership experience in healthcare companies.</w:t>
      </w:r>
    </w:p>
    <w:p>
      <w:pPr>
        <w:spacing w:after="0" w:line="237"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i w:val="1"/>
          <w:iCs w:val="1"/>
          <w:color w:val="auto"/>
        </w:rPr>
        <w:t xml:space="preserve">Laureen DeBuono. </w:t>
      </w:r>
      <w:r>
        <w:rPr>
          <w:rFonts w:ascii="Arial" w:cs="Arial" w:eastAsia="Arial" w:hAnsi="Arial"/>
          <w:sz w:val="18"/>
          <w:szCs w:val="18"/>
          <w:color w:val="auto"/>
        </w:rPr>
        <w:t>Ms. DeBuono has served as a member of our board of directors since April 2021. Ms. DeBuono has served as a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member of the audit committee and chair of the governance committee of Turtle Beach, a gaming headset company. Prior to this, she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w:t>
      </w:r>
    </w:p>
    <w:p>
      <w:pPr>
        <w:spacing w:after="0" w:line="17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believe Ms. DeBuono is qualified to serve on our board of directors because of her financial management experience and experience in the healthcare and medical technology industries.</w:t>
      </w:r>
    </w:p>
    <w:p>
      <w:pPr>
        <w:spacing w:after="0" w:line="170"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6"/>
          <w:szCs w:val="16"/>
          <w:i w:val="1"/>
          <w:iCs w:val="1"/>
          <w:color w:val="auto"/>
        </w:rPr>
        <w:t xml:space="preserve">Andrew Farquharson. </w:t>
      </w:r>
      <w:r>
        <w:rPr>
          <w:rFonts w:ascii="Arial" w:cs="Arial" w:eastAsia="Arial" w:hAnsi="Arial"/>
          <w:sz w:val="16"/>
          <w:szCs w:val="16"/>
          <w:color w:val="auto"/>
        </w:rPr>
        <w:t>Mr. Farquharson has served as a member of our board of directors since June 2012. Since January 2008, he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InCube Ventures, LP, a venture capital firm in the healthcare sector that he co-founded. Mr. Farquharson is also the co-founder of VentureHealth, and has been a Kauffman Fellow since 2006. Prior to entering venture capital, he served as Executive Vice President of Operon Technologies and held various roles within Genentech. Mr. Farquharson continues to serve on the boards of several private companies.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Farquharson earned a B.A. from the University of California, Berkeley and an M.B.A. from Harvard Business School.</w:t>
      </w:r>
    </w:p>
    <w:p>
      <w:pPr>
        <w:spacing w:after="0" w:line="211"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believe Mr. Farquharson is qualified to serve on our board of directors because of his experience in the healthcare sector and extensive knowledge of our company.</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Maulik Nanavaty</w:t>
      </w:r>
      <w:r>
        <w:rPr>
          <w:rFonts w:ascii="Arial" w:cs="Arial" w:eastAsia="Arial" w:hAnsi="Arial"/>
          <w:sz w:val="17"/>
          <w:szCs w:val="17"/>
          <w:color w:val="auto"/>
        </w:rPr>
        <w:t>. Dr. Nanavaty has served as a member of our board of directors since June 2016. Dr. Nanavaty has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believe Dr. Nanavaty is qualified to serve on our board of directors because of his extensive experience in the medical device industry.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i w:val="1"/>
          <w:iCs w:val="1"/>
          <w:color w:val="auto"/>
        </w:rPr>
        <w:t>Talat Imran</w:t>
      </w:r>
      <w:r>
        <w:rPr>
          <w:rFonts w:ascii="Arial" w:cs="Arial" w:eastAsia="Arial" w:hAnsi="Arial"/>
          <w:sz w:val="16"/>
          <w:szCs w:val="16"/>
          <w:color w:val="auto"/>
        </w:rPr>
        <w:t>. Mr. Imran has served as our Vice President, Strategy, since January 2014. Since May 2007, Mr. Imran has served as a partner at</w:t>
      </w:r>
      <w:r>
        <w:rPr>
          <w:rFonts w:ascii="Arial" w:cs="Arial" w:eastAsia="Arial" w:hAnsi="Arial"/>
          <w:sz w:val="16"/>
          <w:szCs w:val="16"/>
          <w:i w:val="1"/>
          <w:iCs w:val="1"/>
          <w:color w:val="auto"/>
        </w:rPr>
        <w:t xml:space="preserve"> </w:t>
      </w:r>
      <w:r>
        <w:rPr>
          <w:rFonts w:ascii="Arial" w:cs="Arial" w:eastAsia="Arial" w:hAnsi="Arial"/>
          <w:sz w:val="16"/>
          <w:szCs w:val="16"/>
          <w:color w:val="auto"/>
        </w:rPr>
        <w:t>InCube Ventures, LP, a venture capital company in the healthcare sector, and since December 2012 he has served as co-founder and Managing Director of VentureHealth, a healthcare investment company. Previously, Mr. Imran served as chief executive officer of Venture Web Partners, a web design, development and hosting firm, from June 2006 to December 2016. He earned a B.A. in Computer Science from the University of California, Santa Cruz.</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 Between Directors and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Mir Imran is the brother of Dr. Hashim and the father of Talat Imran.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70"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92"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20"/>
              <w:spacing w:after="0"/>
              <w:rPr>
                <w:sz w:val="20"/>
                <w:szCs w:val="20"/>
                <w:color w:val="auto"/>
              </w:rPr>
            </w:pPr>
            <w:r>
              <w:rPr>
                <w:rFonts w:ascii="Arial" w:cs="Arial" w:eastAsia="Arial" w:hAnsi="Arial"/>
                <w:sz w:val="18"/>
                <w:szCs w:val="18"/>
                <w:color w:val="auto"/>
              </w:rPr>
              <w:t>the Class I directors will be</w:t>
            </w:r>
          </w:p>
        </w:tc>
        <w:tc>
          <w:tcPr>
            <w:tcW w:w="6780" w:type="dxa"/>
            <w:vAlign w:val="bottom"/>
          </w:tcPr>
          <w:p>
            <w:pPr>
              <w:ind w:left="300"/>
              <w:spacing w:after="0"/>
              <w:rPr>
                <w:sz w:val="20"/>
                <w:szCs w:val="20"/>
                <w:color w:val="auto"/>
              </w:rPr>
            </w:pPr>
            <w:r>
              <w:rPr>
                <w:rFonts w:ascii="Arial" w:cs="Arial" w:eastAsia="Arial" w:hAnsi="Arial"/>
                <w:sz w:val="18"/>
                <w:szCs w:val="18"/>
                <w:color w:val="auto"/>
                <w:w w:val="96"/>
              </w:rPr>
              <w:t>, and their terms will expire at the annual meeting of stockholders to be held in 2022;</w:t>
            </w: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20"/>
              <w:spacing w:after="0"/>
              <w:rPr>
                <w:sz w:val="20"/>
                <w:szCs w:val="20"/>
                <w:color w:val="auto"/>
              </w:rPr>
            </w:pPr>
            <w:r>
              <w:rPr>
                <w:rFonts w:ascii="Arial" w:cs="Arial" w:eastAsia="Arial" w:hAnsi="Arial"/>
                <w:sz w:val="18"/>
                <w:szCs w:val="18"/>
                <w:color w:val="auto"/>
              </w:rPr>
              <w:t>the Class II directors will be</w:t>
            </w:r>
          </w:p>
        </w:tc>
        <w:tc>
          <w:tcPr>
            <w:tcW w:w="6780" w:type="dxa"/>
            <w:vAlign w:val="bottom"/>
          </w:tcPr>
          <w:p>
            <w:pPr>
              <w:ind w:left="360"/>
              <w:spacing w:after="0"/>
              <w:rPr>
                <w:sz w:val="20"/>
                <w:szCs w:val="20"/>
                <w:color w:val="auto"/>
              </w:rPr>
            </w:pPr>
            <w:r>
              <w:rPr>
                <w:rFonts w:ascii="Arial" w:cs="Arial" w:eastAsia="Arial" w:hAnsi="Arial"/>
                <w:sz w:val="18"/>
                <w:szCs w:val="18"/>
                <w:color w:val="auto"/>
                <w:w w:val="90"/>
              </w:rPr>
              <w:t>, and their terms will expire at the annual meeting of stockholders to be held in 2023; and</w:t>
            </w:r>
          </w:p>
        </w:tc>
      </w:tr>
      <w:tr>
        <w:trPr>
          <w:trHeight w:val="459"/>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20" w:type="dxa"/>
            <w:vAlign w:val="bottom"/>
          </w:tcPr>
          <w:p>
            <w:pPr>
              <w:ind w:left="120"/>
              <w:spacing w:after="0"/>
              <w:rPr>
                <w:sz w:val="20"/>
                <w:szCs w:val="20"/>
                <w:color w:val="auto"/>
              </w:rPr>
            </w:pPr>
            <w:r>
              <w:rPr>
                <w:rFonts w:ascii="Arial" w:cs="Arial" w:eastAsia="Arial" w:hAnsi="Arial"/>
                <w:sz w:val="18"/>
                <w:szCs w:val="18"/>
                <w:color w:val="auto"/>
              </w:rPr>
              <w:t>the Class III directors will be</w:t>
            </w:r>
          </w:p>
        </w:tc>
        <w:tc>
          <w:tcPr>
            <w:tcW w:w="6780" w:type="dxa"/>
            <w:vAlign w:val="bottom"/>
          </w:tcPr>
          <w:p>
            <w:pPr>
              <w:ind w:left="420"/>
              <w:spacing w:after="0"/>
              <w:rPr>
                <w:sz w:val="20"/>
                <w:szCs w:val="20"/>
                <w:color w:val="auto"/>
              </w:rPr>
            </w:pPr>
            <w:r>
              <w:rPr>
                <w:rFonts w:ascii="Arial" w:cs="Arial" w:eastAsia="Arial" w:hAnsi="Arial"/>
                <w:sz w:val="18"/>
                <w:szCs w:val="18"/>
                <w:color w:val="auto"/>
                <w:w w:val="94"/>
              </w:rPr>
              <w:t>, and their terms will expire at the annual meeting of stockholders to be held in 2024.</w:t>
            </w:r>
          </w:p>
        </w:tc>
      </w:tr>
    </w:tbl>
    <w:p>
      <w:pPr>
        <w:spacing w:after="0" w:line="202"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Following the completion of this offering, we will be a “controlled” company within the meaning of the corporate governance rules of Nasdaq. Although we do not intend to rely on the exemptions from these corporate governance requirements, if we do rely on such exemptions in the future, you will not have the same protections afforded to stockholders of companies that are subject to these corporate governance requirements. In the event that we cease to be a “controlled company” and our shares continue to be listed on Nasdaq, we will be required to comply with these provisions within the applicable transition periods.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Upon the completion of this offering, we anticipate that our Class A common stock will be listed on the Nasdaq Global Market. Under the rules of the Nasdaq Stock Market, independent directors must comprise a majority of a listed company’s board of directors within one year of the completion of this offering. In addition, the rules of the Nasdaq Stock Market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To be considered to be independent for purposes of Rule 10A-3 and under the rules of the Nasdaq Stock Market, a member of an audit committee of a listed company may not, other than in his or her capacity as 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40"/>
          </w:cols>
          <w:pgMar w:left="320" w:top="459" w:right="5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2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To be considered independent for purposes of Rule 10C-1 and under the rules of the Nasdaq Stock Market,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8"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Ausiello and Nanavaty, Mr. Butel and Ms. DeBuono, representing four of our seven directors, do not have a relationship that would interfere with the exercise of independent judgment in carrying out the responsibilities of a director and that each of these directors is “independent” as that term is defined under the rules of the Nasdaq Stock Market.</w:t>
      </w:r>
    </w:p>
    <w:p>
      <w:pPr>
        <w:spacing w:after="0" w:line="164"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Upon the completion of this offering, Mir Imran will serve as both our chief executive officer and as chairman of our board of directors. Our corporate governance guidelines will provide that one of our independent directors shall serve as the lead independent director at any time that</w:t>
      </w:r>
    </w:p>
    <w:p>
      <w:pPr>
        <w:ind w:left="120" w:right="20"/>
        <w:spacing w:after="0" w:line="255" w:lineRule="auto"/>
        <w:rPr>
          <w:sz w:val="20"/>
          <w:szCs w:val="20"/>
          <w:color w:val="auto"/>
        </w:rPr>
      </w:pPr>
      <w:r>
        <w:rPr>
          <w:rFonts w:ascii="Arial" w:cs="Arial" w:eastAsia="Arial" w:hAnsi="Arial"/>
          <w:sz w:val="18"/>
          <w:szCs w:val="18"/>
          <w:color w:val="auto"/>
        </w:rPr>
        <w:t>Mir Imran or anyone else who is not an independent director is serving as the chairman of the board of directors. Prior to the completion of this offering, our board of directors intends to appoint a lead independent director. Our lead independent director will preside over periodic meetings of our independent directors and coordinate certain activities of the independent directors.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right="100" w:firstLine="881"/>
        <w:spacing w:after="0" w:line="29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our audit committee are , and . is the chair of our audit committee. is our audit committee financial expert, as that term is defined under the SEC rules implementing SOX Section 407, and possesses financial sophistication, as defined under the rules of the Nasdaq Stock Market. Our audit committee oversees our corporate accounting and financial reporting process and assists our board of directors in monitoring our financial systems. Our audit committee will also:</w:t>
      </w:r>
    </w:p>
    <w:p>
      <w:pPr>
        <w:spacing w:after="0" w:line="214" w:lineRule="exact"/>
        <w:rPr>
          <w:sz w:val="20"/>
          <w:szCs w:val="20"/>
          <w:color w:val="auto"/>
        </w:rPr>
      </w:pPr>
    </w:p>
    <w:p>
      <w:pPr>
        <w:ind w:left="1420" w:right="26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appoint, approve the compensation of, and assess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pre-approve audit and permissible non-audit services, and the terms of such services, to be provided by our independent registered public accounting firm;</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discuss on a periodic basis, or as appropriate, with management, our policies, programs and controls with respect to risk assessment and risk management;</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financial statements related disclosures as well as critical accounting policies and practices used by us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13"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registered public accounting firm on our engagement team in accordance with requirements established by the SEC;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252" w:lineRule="exact"/>
        <w:rPr>
          <w:rFonts w:ascii="Arial" w:cs="Arial" w:eastAsia="Arial" w:hAnsi="Arial"/>
          <w:sz w:val="18"/>
          <w:szCs w:val="18"/>
          <w:color w:val="auto"/>
        </w:rPr>
      </w:pPr>
    </w:p>
    <w:p>
      <w:pPr>
        <w:jc w:val="both"/>
        <w:ind w:left="1420" w:right="480" w:hanging="319"/>
        <w:spacing w:after="0" w:line="342" w:lineRule="auto"/>
        <w:tabs>
          <w:tab w:leader="none" w:pos="14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recommend, based upon the audit committee’s review and discussions with management and the independent registered public accounting firm, whether our audited consolidated financial statements shall be included in our Annual Report on Form 10-K;</w:t>
      </w:r>
    </w:p>
    <w:p>
      <w:pPr>
        <w:spacing w:after="0" w:line="150" w:lineRule="exact"/>
        <w:rPr>
          <w:rFonts w:ascii="Arial" w:cs="Arial" w:eastAsia="Arial" w:hAnsi="Arial"/>
          <w:sz w:val="16"/>
          <w:szCs w:val="16"/>
          <w:color w:val="auto"/>
        </w:rPr>
      </w:pPr>
    </w:p>
    <w:p>
      <w:pPr>
        <w:ind w:left="142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monitor our compliance with legal and regulatory requirements as they relate to our consolidated financial statements and accounting matters;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the audit committee charter and the audit committee’s performance at least annually;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review all related party transactions for potential conflict of interest situations and approving all such transactions; and</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320" w:top="459" w:right="5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The members of our compensation committee are and . is the chair of our compensation committee. Our compensation committee oversees our compensation policies, plans, and benefits programs. The compensation committee will also:</w:t>
      </w:r>
    </w:p>
    <w:p>
      <w:pPr>
        <w:spacing w:after="0" w:line="197" w:lineRule="exact"/>
        <w:rPr>
          <w:sz w:val="20"/>
          <w:szCs w:val="20"/>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members of our nominating and corporate governance committee are and . is the chair of our nominating and corporate governance committee. Our nominating and corporate governance committee oversees and assists our board of directors in reviewing and recommending nominees for election as directors. Specifically, the nominating and corporate governance committee will:</w:t>
      </w:r>
    </w:p>
    <w:p>
      <w:pPr>
        <w:spacing w:after="0" w:line="211" w:lineRule="exact"/>
        <w:rPr>
          <w:sz w:val="20"/>
          <w:szCs w:val="20"/>
          <w:color w:val="auto"/>
        </w:rPr>
      </w:pPr>
    </w:p>
    <w:p>
      <w:pPr>
        <w:ind w:left="1420" w:right="120" w:hanging="319"/>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which will satisfy the applicable rules of the SEC and the listing standards of the Nasdaq Stock Market.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fiscal 2020, we did not have a formal policy with respect to compensation payable to our non-employee directors for service as directors. We reimburse our directors for expenses associated with attending meetings of our board of directors and committees of our board of directors. In connection with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offering, our board of directors expects to approve a policy for setting annual non-employee director compensation, which will take effect following the closing of this offering.</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7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(1)(3)(4)</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Andrew Farquharson</w:t>
            </w:r>
            <w:r>
              <w:rPr>
                <w:rFonts w:ascii="Arial" w:cs="Arial" w:eastAsia="Arial" w:hAnsi="Arial"/>
                <w:sz w:val="15"/>
                <w:szCs w:val="15"/>
                <w:color w:val="auto"/>
              </w:rPr>
              <w:t>(2)(3)(5)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(3)(6)</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(7)</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(8)</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180" w:hanging="424"/>
        <w:spacing w:after="0" w:line="230"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Reflects a retainer fee of $2,500 per month paid to Dr. Ausiello subject to his continuous service through each such month and pursuant to a Board Service Letter Agreement by and between Rani Therapeutics, LLC and Dr. Ausiello, dated as of May 14, 2018.</w:t>
      </w:r>
    </w:p>
    <w:p>
      <w:pPr>
        <w:ind w:left="540" w:hanging="424"/>
        <w:spacing w:after="0" w:line="221"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Reflects a discretionary bonus to reward active and longstanding board service.</w:t>
      </w:r>
    </w:p>
    <w:p>
      <w:pPr>
        <w:ind w:left="540" w:hanging="424"/>
        <w:spacing w:after="0"/>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The table below sets forth the aggregate number of outstanding Profits Interests units beneficially owned by each of our non-employee directors as of December 31, 2020:</w:t>
      </w:r>
    </w:p>
    <w:p>
      <w:pPr>
        <w:spacing w:after="0" w:line="20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 Profits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Interests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20" w:type="dxa"/>
            <w:vAlign w:val="bottom"/>
            <w:vMerge w:val="restart"/>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2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Andrew Farquharson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40" w:hanging="424"/>
        <w:spacing w:after="0" w:line="227"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We made the following Profits Interests grants to Dr. Ausiello: 50,000 common units granted in September 2018 with a participation threshold of $2.18 per unit that vest monthly over four years from the vesting commencement date of July 1, 2018; and 100,000 common units granted in September 2019 with a participation threshold of $2.29 per unit that vest monthly over four years from the vesting commencement date of September 17, 2019.</w:t>
      </w:r>
    </w:p>
    <w:p>
      <w:pPr>
        <w:ind w:left="540" w:right="40" w:hanging="424"/>
        <w:spacing w:after="0" w:line="238" w:lineRule="auto"/>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We made the following Profits Interests grant to Mr. Farquharson: 500,000 common units granted in May 2016 with a participation threshold of $1.44 per unit of which 25% vest on the one-year anniversary of the vesting commencement date of February 21, 2012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w:t>
      </w:r>
    </w:p>
    <w:p>
      <w:pPr>
        <w:ind w:left="540" w:right="60" w:hanging="424"/>
        <w:spacing w:after="0" w:line="238" w:lineRule="auto"/>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We made the following Profits Interests grants to Dr. Nanavaty: 100,000 common units granted in June 2016 with a participation threshold of $1.44 per unit of which 25% vest on the one-year anniversary of the vesting commencement date of June 1, 2016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100,000 common units granted in June 2016 with a participation threshold of $1.44 per unit of which 25% vest on the one-year anniversary of the vesting commencement date of July 1, 2014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and 100,000 common units granted in September 2019 with a participation threshold of $2.29 per unit that vest monthly over four years from the vesting commencement date of September 17, 2019.</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Mr. Butel joined our board of directors in April 2021.</w:t>
      </w:r>
    </w:p>
    <w:p>
      <w:pPr>
        <w:ind w:left="540" w:hanging="424"/>
        <w:spacing w:after="0"/>
        <w:tabs>
          <w:tab w:leader="none" w:pos="54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Ms. DeBuono joined our board of directors in April 2021.</w:t>
      </w:r>
    </w:p>
    <w:p>
      <w:pPr>
        <w:spacing w:after="0" w:line="19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Mir Imran and Dr. Hashim were our only employee directors during fiscal 2020. See the section titled “Executive Compensation” for additional information about Dr. Hashim’s compensation. Mir Imran does not receive any compensation for his services as an officer or a director.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the completion of this offering, the code of business conduct and ethics will be available on our website at https://www.ranitherapeutics.com/.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i w:val="1"/>
          <w:iCs w:val="1"/>
          <w:color w:val="auto"/>
        </w:rPr>
        <w:t>Unless we state otherwise or the context otherwise requires, in this Executive Compensation section the terms “Rani Therapeutics,” “Rani,” “we,” “us,” “our” and the “Company” refer to Rani LLC, for the period up to this offering, and for all periods following the completion of this offering, to Rani Therapeutics Holdings, Inc.</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Further, our reporting obligations extend only to the following “Named Executive Officers,” who are the individuals who served as our principal executive officer during and the next two most highly compensated executive officers at the end of the fiscal year ended December 31, 2020. For the fiscal year ended December 31, 2020, our Named Executive Officers and their principal positions were as follows:</w:t>
      </w:r>
    </w:p>
    <w:p>
      <w:pPr>
        <w:spacing w:after="0" w:line="205" w:lineRule="exact"/>
        <w:rPr>
          <w:sz w:val="20"/>
          <w:szCs w:val="20"/>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Mir Imran, our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Mir Hashim,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Svai Sanford, our Chief Financial Officer.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8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5"/>
                <w:szCs w:val="15"/>
                <w:color w:val="auto"/>
              </w:rPr>
            </w:pPr>
          </w:p>
        </w:tc>
        <w:tc>
          <w:tcPr>
            <w:tcW w:w="86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 Hashim</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$ 325,626</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$ 160,000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$ 144,750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$ 630,376</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Svai Sanford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$ 306,250</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$ 140,000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  77,200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$ 523,450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Amounts reflect annual salary, as adjusted on November 15, 2020.</w:t>
      </w:r>
    </w:p>
    <w:p>
      <w:pPr>
        <w:ind w:left="540" w:right="40" w:hanging="424"/>
        <w:spacing w:after="0" w:line="227" w:lineRule="auto"/>
        <w:tabs>
          <w:tab w:leader="none" w:pos="54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Profits Interests granted to our named executive officers during 2020 under our 2016 Plan (as defined below), computed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assumptions used in calculating the grant date fair value of the award disclosed in this column are set forth in the notes to our audited financial consolidated statements included elsewhere in this prospectus. These amounts do not correspond to the actual value that may be recognized by the named executive officers. See the subsection titled “—Outstanding Equity Awards at Fiscal Year-End” for additional information.</w:t>
      </w: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Mir Imran does not receive compensation for his services as our President and Chief Executive Officer, </w:t>
      </w:r>
      <w:r>
        <w:rPr>
          <w:rFonts w:ascii="Arial" w:cs="Arial" w:eastAsia="Arial" w:hAnsi="Arial"/>
          <w:sz w:val="17"/>
          <w:szCs w:val="17"/>
          <w:i w:val="1"/>
          <w:iCs w:val="1"/>
          <w:color w:val="auto"/>
        </w:rPr>
        <w:t>provided that</w:t>
      </w:r>
      <w:r>
        <w:rPr>
          <w:rFonts w:ascii="Arial" w:cs="Arial" w:eastAsia="Arial" w:hAnsi="Arial"/>
          <w:sz w:val="17"/>
          <w:szCs w:val="17"/>
          <w:color w:val="auto"/>
        </w:rPr>
        <w:t>, ICL, of which</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Mir Imran is the sole Managing Member, has entered into certain transactional agreements with the Company, as described in the section titled “Certain Relationships and Related Person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Below are descriptions of the current offer letters we have entered into with each of our named executive officers setting forth the terms and conditions of such executive’s employment with RMS, a wholly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owned subsidiary of the Company. Mir Imran does not currently have a formal offer letter or employment agreement with RMS.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Prior to the closing of this offering, Rani LLC or RMS will enter into new employment agreements or offer letters with each of our named executive officers setting forth the terms and conditions of such executive’s employment with us. The employment agreements or offer letters generally will provide for at-will employment with Rani LLC or RMS and set forth the executive officer’s initial base salary. Each of our named executive officers has executed a confidential information and invention assignment agreement.</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Mir Hashim</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In December 2019, we signed an offer letter with Dr. Hashim, our Chief Scientific Officer, effective January 1, 2020. The offer letter provides for an annual salary of $315,000, that was increased to $400,000, effective as of November 15,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Svai Sanford</w:t>
      </w:r>
    </w:p>
    <w:p>
      <w:pPr>
        <w:spacing w:after="0" w:line="225"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In December 2019, we signed an offer letter with Mr. Sanford, our Chief Financial Officer, effective January 1, 2020. The offer letter provides for an annual salary of $300,000, that was increased to $350,000, effective as of November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We have historically offered equity incentives to our Named Executive Officers through grants of Profits Interests in the Company. Certain of these incentive unit awards are subject to time-based vesting requirements and are subject to accelerated vesting upon the occurrence of certain change-in-control events, including the closing of this offering. See below under “ —Actions Taken in Connection with this Offering—Acceleration of Profits Interests Grants” for additional information regarding the expected acceleration of the units.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In December 2020, our compensation committee approved discretionary annual bonuses for Dr. Hashim and Mr. Sanford for 2020 in the amount equal to 40% of their then-current annual salary, equal to $160,000 and $140,000, respectively, which were paid in December 2020, as reflected in the “Bonus” column of the Summary Compensation Table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following table summarizes the number of Profits Interests units outstanding for our named executive officers as of December 31, 2020 that were issued by the Company under the 2016 Equity Incentive Plan, or the 2016 Plan. For more information about the outstanding equity awards granted to our named executive officers, please see the section titled “Narrative Disclosure to Summary Compensation Table—Equity Incentives” above: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Vesting</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exercise</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3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42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 exercisable</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140" w:type="dxa"/>
            <w:vAlign w:val="bottom"/>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(2)</w:t>
            </w:r>
            <w:r>
              <w:rPr>
                <w:rFonts w:ascii="Arial" w:cs="Arial" w:eastAsia="Arial" w:hAnsi="Arial"/>
                <w:sz w:val="14"/>
                <w:szCs w:val="14"/>
                <w:b w:val="1"/>
                <w:bCs w:val="1"/>
                <w:color w:val="auto"/>
                <w:w w:val="95"/>
              </w:rPr>
              <w:t xml:space="preserve"> ($)</w:t>
            </w: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expiration date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Mir Hashim</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05/09/2016</w:t>
            </w:r>
            <w:r>
              <w:rPr>
                <w:rFonts w:ascii="Arial" w:cs="Arial" w:eastAsia="Arial" w:hAnsi="Arial"/>
                <w:sz w:val="15"/>
                <w:szCs w:val="15"/>
                <w:color w:val="auto"/>
                <w:w w:val="95"/>
              </w:rPr>
              <w:t>(3)</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02/21/2012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05/09/2026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65,625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Svai Sanford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01/08/2019</w:t>
            </w:r>
            <w:r>
              <w:rPr>
                <w:rFonts w:ascii="Arial" w:cs="Arial" w:eastAsia="Arial" w:hAnsi="Arial"/>
                <w:sz w:val="15"/>
                <w:szCs w:val="15"/>
                <w:color w:val="auto"/>
                <w:w w:val="95"/>
              </w:rPr>
              <w:t>(3)</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11/05/2018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117,187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107,813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01/08/2029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09/17/2019</w:t>
            </w:r>
            <w:r>
              <w:rPr>
                <w:rFonts w:ascii="Arial" w:cs="Arial" w:eastAsia="Arial" w:hAnsi="Arial"/>
                <w:sz w:val="15"/>
                <w:szCs w:val="15"/>
                <w:color w:val="auto"/>
                <w:w w:val="95"/>
              </w:rPr>
              <w:t>(4)</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09/17/2019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23,437</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09/17/2029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35,000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300" w:hanging="424"/>
        <w:spacing w:after="0" w:line="230"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Represent Profits Interests that vest based on satisfaction of a service-based vesting condition, which will accelerate and vest concurrently with the effectiveness of this offering as described below in the subsection “Actions Taken in Connection with This Offering—Acceleration of Profits Interests Grants.”</w:t>
      </w:r>
    </w:p>
    <w:p>
      <w:pPr>
        <w:ind w:left="540" w:hanging="424"/>
        <w:spacing w:after="0" w:line="221"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Reflects the Profits Interests threshold amount.</w:t>
      </w:r>
    </w:p>
    <w:p>
      <w:pPr>
        <w:ind w:left="540" w:right="240" w:hanging="424"/>
        <w:spacing w:after="0" w:line="221"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25% of the Profits Interests units vest on the one-year anniversary of the vesting commencement date and 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 units vest on each monthly anniversary of the vesting commencement date thereafter, provided the holder remains a service provider to the Company on each applicable vesting date.</w:t>
      </w:r>
    </w:p>
    <w:p>
      <w:pPr>
        <w:ind w:left="540" w:right="580" w:hanging="424"/>
        <w:spacing w:after="0" w:line="237" w:lineRule="auto"/>
        <w:tabs>
          <w:tab w:leader="none" w:pos="54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units vest on each monthly anniversary of the vesting commencement date over four years, provided the holder remains a service provider to the Company on each applicable vesting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Actions Taken in Connection with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Profits Interests Grants</w:t>
      </w:r>
    </w:p>
    <w:p>
      <w:pPr>
        <w:spacing w:after="0" w:line="225" w:lineRule="exact"/>
        <w:rPr>
          <w:sz w:val="20"/>
          <w:szCs w:val="20"/>
          <w:color w:val="auto"/>
        </w:rPr>
      </w:pPr>
    </w:p>
    <w:p>
      <w:pPr>
        <w:jc w:val="both"/>
        <w:ind w:left="120" w:right="140" w:firstLine="881"/>
        <w:spacing w:after="0" w:line="259" w:lineRule="auto"/>
        <w:rPr>
          <w:sz w:val="20"/>
          <w:szCs w:val="20"/>
          <w:color w:val="auto"/>
        </w:rPr>
      </w:pPr>
      <w:r>
        <w:rPr>
          <w:rFonts w:ascii="Arial" w:cs="Arial" w:eastAsia="Arial" w:hAnsi="Arial"/>
          <w:sz w:val="18"/>
          <w:szCs w:val="18"/>
          <w:color w:val="auto"/>
        </w:rPr>
        <w:t>In connection with this offering, we expect the vesting of Profits Interests units, including those held by our Named Executive Officers, to be accelerated in full concurrent with the effectiveness of this offering, subject to the holder’s continued status as a service provider through the date of effectiveness of this offering. See the “Outstanding Equity Awards at Fiscal Year-End” table above for additional details regarding the Profits Interests units subject to vesting that are held by our Named Executive Officers.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It is anticipated that each of the Named Executive Officers will enter into a new employment agreement, which will be effective upon the closing of this offering, or the New Employment Agreements, and will supersede each Named Executive Officer’s existing employment agreement. The material terms and conditions set forth in each Named Executive Officer’s New Employment Agreement are anticipated to be substantially similar to those set forth in each Named Executive Officer’s employment agreement and described herein. However, the base salary for certain of our Named Executive Officers will be increased.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Plan in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hanging="343"/>
        <w:spacing w:after="0" w:line="277" w:lineRule="auto"/>
        <w:rPr>
          <w:sz w:val="20"/>
          <w:szCs w:val="20"/>
          <w:color w:val="auto"/>
        </w:rPr>
      </w:pPr>
      <w:r>
        <w:rPr>
          <w:rFonts w:ascii="Arial" w:cs="Arial" w:eastAsia="Arial" w:hAnsi="Arial"/>
          <w:sz w:val="18"/>
          <w:szCs w:val="18"/>
          <w:color w:val="auto"/>
        </w:rPr>
        <w:t>Our board of directors adopted the 2021 Equity Incentive Plan, or the 2021 Plan, in 2021. The 2021 Plan will become effective upon the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2021, and our stockholders approved the 2021</w:t>
      </w:r>
    </w:p>
    <w:p>
      <w:pPr>
        <w:spacing w:after="0" w:line="396" w:lineRule="exact"/>
        <w:rPr>
          <w:sz w:val="20"/>
          <w:szCs w:val="20"/>
          <w:color w:val="auto"/>
        </w:rPr>
      </w:pPr>
    </w:p>
    <w:p>
      <w:pPr>
        <w:sectPr>
          <w:pgSz w:w="11900" w:h="16838" w:orient="portrait"/>
          <w:cols w:equalWidth="0" w:num="3">
            <w:col w:w="620" w:space="720"/>
            <w:col w:w="5660" w:space="720"/>
            <w:col w:w="342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1140"/>
          </w:cols>
          <w:pgMar w:left="320" w:top="459" w:right="43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execution of the underwriting agreement for this offering. Once the 2021 Plan becomes effective, no further grants will be made under the 2016 Plan.</w:t>
      </w:r>
    </w:p>
    <w:p>
      <w:pPr>
        <w:spacing w:after="0" w:line="24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i w:val="1"/>
          <w:iCs w:val="1"/>
          <w:color w:val="auto"/>
        </w:rPr>
        <w:t>Types of Awards</w:t>
      </w:r>
      <w:r>
        <w:rPr>
          <w:rFonts w:ascii="Arial" w:cs="Arial" w:eastAsia="Arial" w:hAnsi="Arial"/>
          <w:sz w:val="17"/>
          <w:szCs w:val="17"/>
          <w:color w:val="auto"/>
        </w:rPr>
        <w:t>. Our 2021 Plan provides for the grant of incentive stock options, or ISOs, nonstatutory stock options, or NSOs, stock</w:t>
      </w:r>
      <w:r>
        <w:rPr>
          <w:rFonts w:ascii="Arial" w:cs="Arial" w:eastAsia="Arial" w:hAnsi="Arial"/>
          <w:sz w:val="17"/>
          <w:szCs w:val="17"/>
          <w:i w:val="1"/>
          <w:iCs w:val="1"/>
          <w:color w:val="auto"/>
        </w:rPr>
        <w:t xml:space="preserve"> </w:t>
      </w:r>
      <w:r>
        <w:rPr>
          <w:rFonts w:ascii="Arial" w:cs="Arial" w:eastAsia="Arial" w:hAnsi="Arial"/>
          <w:sz w:val="17"/>
          <w:szCs w:val="17"/>
          <w:color w:val="auto"/>
        </w:rPr>
        <w:t>appreciation rights, 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71"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The maximum number of shares of common stock that may be issued under our 2021 Plan is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reserved for issuance under our 2021 Plan will automatically increase on January 1 of each year, beginning on January 1, 2022, and continuing through and including January 1, 2031, by % of the aggregate number of shares of common stock of all classes issued and outstanding on December 31 of the immediately preceding calendar year, or a lesser number of shares determined by our board of directors prior to</w:t>
      </w:r>
    </w:p>
    <w:p>
      <w:pPr>
        <w:spacing w:after="0" w:line="1" w:lineRule="exact"/>
        <w:rPr>
          <w:sz w:val="20"/>
          <w:szCs w:val="20"/>
          <w:color w:val="auto"/>
        </w:rPr>
      </w:pPr>
    </w:p>
    <w:p>
      <w:pPr>
        <w:ind w:left="120"/>
        <w:spacing w:after="0"/>
        <w:tabs>
          <w:tab w:leader="none" w:pos="9940" w:val="left"/>
        </w:tabs>
        <w:rPr>
          <w:sz w:val="20"/>
          <w:szCs w:val="20"/>
          <w:color w:val="auto"/>
        </w:rPr>
      </w:pPr>
      <w:r>
        <w:rPr>
          <w:rFonts w:ascii="Arial" w:cs="Arial" w:eastAsia="Arial" w:hAnsi="Arial"/>
          <w:sz w:val="18"/>
          <w:szCs w:val="18"/>
          <w:color w:val="auto"/>
        </w:rPr>
        <w:t>the applicable January 1. The maximum number of shares that may be issued upon the exercise of ISOs under our 2021 Plan is</w:t>
      </w:r>
      <w:r>
        <w:rPr>
          <w:sz w:val="20"/>
          <w:szCs w:val="20"/>
          <w:color w:val="auto"/>
        </w:rPr>
        <w:tab/>
      </w:r>
      <w:r>
        <w:rPr>
          <w:rFonts w:ascii="Arial" w:cs="Arial" w:eastAsia="Arial" w:hAnsi="Arial"/>
          <w:sz w:val="15"/>
          <w:szCs w:val="15"/>
          <w:color w:val="auto"/>
        </w:rPr>
        <w:t>shares.</w:t>
      </w:r>
    </w:p>
    <w:p>
      <w:pPr>
        <w:spacing w:after="0" w:line="211"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Shares issued under our 2021 Plan will be authorized but unissued or reacquired shares of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maximum number of shares of common stock subject to stock awards granted under the 2021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8"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may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pursuant to stock option agreements adopted by the administrator. The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a stock option,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specified in the stock option agreement by the administrator.</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Acceptable consideration for the purchase of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pursuant to restricted stock award agreements adopted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in consideration for cash, check, bank draft or money order, services rendered to us or our affiliates or any other form of legal consideration.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64"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pursuant to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agreement, restricted stock units that have not vested will be forfeited upon the participant’s cessation of continuous service for any reason.</w:t>
      </w:r>
    </w:p>
    <w:p>
      <w:pPr>
        <w:spacing w:after="0" w:line="23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pursuant to stock appreciation right grant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administrator determines the strike price for a stock appreciation right, which generally cannot be less than 100% of the fair market value of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common stock with respect to which the stock appreciation right is exercised. A stock appreciation right granted under the 2021 Plan vests at the rate specified in the stock appreciation right agreement as determined by the administrator.</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420" w:firstLine="881"/>
        <w:spacing w:after="0" w:line="29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2021 Plan permits the grant of performance-based stock and cash awards. The compensation committee can</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such awards so that the stock or cash will be issued or paid pursuant to such award only following the achievement of</w:t>
      </w:r>
    </w:p>
    <w:p>
      <w:pPr>
        <w:ind w:left="120" w:right="80"/>
        <w:spacing w:after="0" w:line="260" w:lineRule="auto"/>
        <w:rPr>
          <w:sz w:val="20"/>
          <w:szCs w:val="20"/>
          <w:color w:val="auto"/>
        </w:rPr>
      </w:pPr>
      <w:r>
        <w:rPr>
          <w:rFonts w:ascii="Arial" w:cs="Arial" w:eastAsia="Arial" w:hAnsi="Arial"/>
          <w:sz w:val="18"/>
          <w:szCs w:val="18"/>
          <w:color w:val="auto"/>
        </w:rPr>
        <w:t>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8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administrator may grant other awards based in whole or in part by reference to common stock. The administrator will set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under the award and all other terms and conditions of such awards.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split,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or recapitalization, appropriate adjustments will be made to (1) the class and maximum number of shares reserved for issuance under the 2021 Plan;</w:t>
      </w:r>
    </w:p>
    <w:p>
      <w:pPr>
        <w:ind w:left="120" w:right="240" w:hanging="4"/>
        <w:spacing w:after="0" w:line="255" w:lineRule="auto"/>
        <w:tabs>
          <w:tab w:leader="none" w:pos="37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0"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95"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84"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46"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has the authority to amend, suspend or terminate our 2021 Plan, provided that such action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board adopted the 2016 Plan in May 2016, and our members adopted the 2016 Plan in March 2016. The 2016 Plan provides for the grant of options to purchase common units, Profits Interests awards, and restricted common units to our managers, consultants and other individuals who provides services to or for the benefit of the Company. The 2016 Plan will be terminated on the date the 2021 Plan becomes effective. However, any outstanding awards granted under the 2016 Plan will remain outstanding, subject to the terms of our 2016 Plan and award agreements.</w:t>
      </w:r>
    </w:p>
    <w:p>
      <w:pPr>
        <w:spacing w:after="0" w:line="15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i w:val="1"/>
          <w:iCs w:val="1"/>
          <w:color w:val="auto"/>
        </w:rPr>
        <w:t>Authorized Units</w:t>
      </w:r>
      <w:r>
        <w:rPr>
          <w:rFonts w:ascii="Arial" w:cs="Arial" w:eastAsia="Arial" w:hAnsi="Arial"/>
          <w:sz w:val="18"/>
          <w:szCs w:val="18"/>
          <w:color w:val="auto"/>
        </w:rPr>
        <w:t>. Upon the effective date of the 2021 Plan, we will no longer grant awards under our 2016 Plan. As of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6,926,358 Profits Interests were outstanding, and 3,923,642 common units remained available for future issuance under our 2016 Plan. No options to purchase common units or restricted common units are outstanding under our 2016 Plan.</w:t>
      </w:r>
    </w:p>
    <w:p>
      <w:pPr>
        <w:spacing w:after="0" w:line="184"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or a duly authorized committee of our board administers our 2016 Plan. The administrator has the power to</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or amend outstanding awards under our 2016 Plan, to prescribe, amend and rescind rules and regulations relating to the 2016 Plan, to construe and interpret the terms of the 2016 Plan and awards granted thereunder and to make all other determinations deemed necessary or advisable for administering the 2016 Plan. The administrator’s powers include the power to institute an exchange program (without the approval of our members)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administrator’s decisions are final and binding on all participants and any other persons holding awards.</w:t>
      </w:r>
    </w:p>
    <w:p>
      <w:pPr>
        <w:spacing w:after="0" w:line="16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Profits Interests Awards</w:t>
      </w:r>
      <w:r>
        <w:rPr>
          <w:rFonts w:ascii="Arial" w:cs="Arial" w:eastAsia="Arial" w:hAnsi="Arial"/>
          <w:sz w:val="16"/>
          <w:szCs w:val="16"/>
          <w:color w:val="auto"/>
        </w:rPr>
        <w:t>. We have granted Profits Interests to our service providers under our 2016 Plan. Subject to the provisions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2016 Plan, the administrator determines the vesting terms of the Profits Interests, the number of common units subject to the award, and Profits Interests threshold amount. The common units underlying each Profits Interests award entitle the holder, upon a sale or other specified capital transaction (in each case as set forth in our Amended and Restated Operating Agreement), to participate in a portion of the profits and appreciation in the equity value of the Company arising after the date of grant, as determined in reference to the Profits Interests threshold amount set forth in each award agreement. The Profits Interests are intended to qualify as partnership Profits Interests for U.S. federal income tax purposes.</w:t>
      </w:r>
    </w:p>
    <w:p>
      <w:pPr>
        <w:spacing w:after="0" w:line="16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determined otherwise by the administrator, awards may not be sold, transferred, pledged, assigned, hypothecated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reorganization transaction, upon a trigger event, as defined in our 2016 Plan, all awards granted under the 2016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8"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In the event of any split, reverse split, dividend, recapitalization, combination, reclassification, reorganization,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split-up, spin-off, repurchase, exchange of common units or other securities of the Company, other distribution of common units or other securities of the Company without the receipt of consideration by the Company, or other change in the corporate structure of the Company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affecting the common units occurs, the administrator, in order to prevent diminution or enlargement of the benefits or potential benefits intended to be made available under the 2016 Plan, will adjust the number and class of common units that may be delivered under the 2016 Plan and/or the number, class, and price of common units covered by each outstanding award.</w:t>
      </w:r>
    </w:p>
    <w:p>
      <w:pPr>
        <w:spacing w:after="0" w:line="184"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i w:val="1"/>
          <w:iCs w:val="1"/>
          <w:color w:val="auto"/>
        </w:rPr>
        <w:t>Merger or Liquidation Event</w:t>
      </w:r>
      <w:r>
        <w:rPr>
          <w:rFonts w:ascii="Arial" w:cs="Arial" w:eastAsia="Arial" w:hAnsi="Arial"/>
          <w:sz w:val="17"/>
          <w:szCs w:val="17"/>
          <w:color w:val="auto"/>
        </w:rPr>
        <w:t>. Our 2016 Plan provides that in the event of a merger or liquidation event, as defined under our 2016 Plan,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shall be subject to the agreement governing the merger or liquidation event, which shall provide for one or more of the following: (1) the continuation of such outstanding awards by the Company (if the Company is the surviving entity); (2) the assumption or substitution of substantially equivalent awards by the acquiring or succeeding corporation with appropriate adjustments to the number and kind of equity interests and prices; (3) the full or partial vesting of unvested awards, or the full or partial cancellation of unvested awards without consideration, in each case upon the closing of the merger or liquidation event; (4) 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and may be subject to vesting based on the participant’s continuing service, provided that the vesting schedule shall not be less favorable to the participant than the schedule under which such award would have otherwise vested); or (5) amounts of cash or other consideration from a sale of assets of the Company constituting a liquidity event otherwise distributable to a common unit holder shall be reduced by the Profits Interests threshold amount attributable to each Profits Interests receiving such distribution.</w:t>
      </w:r>
    </w:p>
    <w:p>
      <w:pPr>
        <w:spacing w:after="0" w:line="179"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has the authority to amend, suspend or terminate our 2016 Plan at any time. No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 suspension or termination of our 2016 Plan will impair the rights of a participant, unless mutually agreed otherwise between the participant and the administrator in writing. As noted above, it is expected that, prior to the effectiveness of the registration statement of which this prospectus forms a part, our 2016 Plan will be terminated, and we will not grant any additional awards under our 2016 Plan thereafter.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000"/>
        <w:spacing w:after="0"/>
        <w:tabs>
          <w:tab w:leader="none" w:pos="4900" w:val="left"/>
          <w:tab w:leader="none" w:pos="9120" w:val="left"/>
        </w:tabs>
        <w:rPr>
          <w:sz w:val="20"/>
          <w:szCs w:val="20"/>
          <w:color w:val="auto"/>
        </w:rPr>
      </w:pPr>
      <w:r>
        <w:rPr>
          <w:rFonts w:ascii="Arial" w:cs="Arial" w:eastAsia="Arial" w:hAnsi="Arial"/>
          <w:sz w:val="18"/>
          <w:szCs w:val="18"/>
          <w:color w:val="auto"/>
        </w:rPr>
        <w:t>Our board of directors adopted the ESPP, in</w:t>
      </w:r>
      <w:r>
        <w:rPr>
          <w:sz w:val="20"/>
          <w:szCs w:val="20"/>
          <w:color w:val="auto"/>
        </w:rPr>
        <w:tab/>
      </w:r>
      <w:r>
        <w:rPr>
          <w:rFonts w:ascii="Arial" w:cs="Arial" w:eastAsia="Arial" w:hAnsi="Arial"/>
          <w:sz w:val="18"/>
          <w:szCs w:val="18"/>
          <w:color w:val="auto"/>
        </w:rPr>
        <w:t>2021, and our stockholders adopted the ESPP in</w:t>
      </w:r>
      <w:r>
        <w:rPr>
          <w:sz w:val="20"/>
          <w:szCs w:val="20"/>
          <w:color w:val="auto"/>
        </w:rPr>
        <w:tab/>
      </w:r>
      <w:r>
        <w:rPr>
          <w:rFonts w:ascii="Arial" w:cs="Arial" w:eastAsia="Arial" w:hAnsi="Arial"/>
          <w:sz w:val="16"/>
          <w:szCs w:val="16"/>
          <w:color w:val="auto"/>
        </w:rPr>
        <w:t>2021. The ESPP will</w:t>
      </w:r>
    </w:p>
    <w:p>
      <w:pPr>
        <w:spacing w:after="0" w:line="23"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become effective upon the execution of the underwriting agreement for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our eligible employees to purchase common stock in a manner that may qualify for favorable tax treatment under Section 423 of the Internal Revenue Code, or the 423 component. In addition, purchase rights may be granted under a component that does not qualify for such favorable tax treatment, or the non-423 component. Because of our organizational structure, we currently anticipate that any benefits offered to eligible employees would be offered under the non-423 component of the ESPP.</w:t>
      </w:r>
    </w:p>
    <w:p>
      <w:pPr>
        <w:spacing w:after="0" w:line="16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The maximum aggregate number of shares of common stock that may be issued under our ESPP is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of common stock reserved for issuance under our ESPP will automatically increase on January 1 of each calendar year, beginning on</w:t>
      </w:r>
    </w:p>
    <w:p>
      <w:pPr>
        <w:ind w:left="120" w:right="100"/>
        <w:spacing w:after="0" w:line="281" w:lineRule="auto"/>
        <w:rPr>
          <w:sz w:val="20"/>
          <w:szCs w:val="20"/>
          <w:color w:val="auto"/>
        </w:rPr>
      </w:pPr>
      <w:r>
        <w:rPr>
          <w:rFonts w:ascii="Arial" w:cs="Arial" w:eastAsia="Arial" w:hAnsi="Arial"/>
          <w:sz w:val="16"/>
          <w:szCs w:val="16"/>
          <w:color w:val="auto"/>
        </w:rPr>
        <w:t>January 1, 2022 and continuing through and including January 1, 2031, by the lesser of (1) % of the aggregate number of shares of common stock of all classes issued and outstanding on December 31 of the preceding calendar year, (2) shares and (3) a number of shares determined by our</w:t>
      </w:r>
    </w:p>
    <w:p>
      <w:pPr>
        <w:spacing w:after="0" w:line="1"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board. Shares subject to purchase rights granted under our ESPP that terminate without having been exercised in full will not reduce the number of shares available for issuance under our ESPP.</w:t>
      </w:r>
    </w:p>
    <w:p>
      <w:pPr>
        <w:spacing w:after="0" w:line="18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or a duly authorized committee thereof, will administer our ESPP. Our board has delegated concurrent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administer our ESPP to the compensation committee under the terms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of the compensation committee’s charter. The ESPP is implemented through a series of offerings with specific terms approved by the administrator and under which eligible employees are granted purchase rights to purchase shares of common stock on specified dates during such offerings. Under the ESPP, we may specify offerings with durations of not more than 27 months, and may specify shorter purchase periods within each offering. Each offering will have one or more purchase dates on which shares of common stock will be purchased for our eligible employees participating in the offering. An offering under the ESPP may be terminated under certain circumstances.</w:t>
      </w:r>
    </w:p>
    <w:p>
      <w:pPr>
        <w:spacing w:after="0" w:line="17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participate in the ESPP and may contribute, normally through payroll deductions, with a maximum dollar amount as designated by the board. Unless otherwise determined by the administrator, common stock will be purchased for the accounts of employees participating in the ESPP at a price per share equal to the lower of (a) 85% of the fair market value of a share of common stock on the first date of an offering or (b) 85% of the fair market value of a share of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Our employees, including executive officers, or any of our designated affiliates may have to satisfy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Under the 423 component, an employee may not be granted rights to purchase stock under our ESPP if such employee (1) immediately after the grant would own stock possessing 5% or more of the total combined voting power or value of common stock, or (2) holds rights to purchase stock under our ESPP that would accrue at a rate that exceeds $25,000 worth of our stock for each calendar year that the rights remain outstanding.</w:t>
      </w:r>
    </w:p>
    <w:p>
      <w:pPr>
        <w:spacing w:after="0" w:line="17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corporate transactions, including: (1) a sale of all or substantially all of our assets, (2)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disposition of 50% of our outstanding securities, (3) the consummation of a merger or consolidation where we do not survive the transaction, and</w:t>
      </w:r>
    </w:p>
    <w:p>
      <w:pPr>
        <w:ind w:left="120" w:right="80" w:hanging="4"/>
        <w:spacing w:after="0" w:line="270" w:lineRule="auto"/>
        <w:tabs>
          <w:tab w:leader="none" w:pos="375"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common stock within 10 business days (or such other period specified by the board) prior to such corporate transaction, and such purchase rights will terminate immediately.</w:t>
      </w:r>
    </w:p>
    <w:p>
      <w:pPr>
        <w:spacing w:after="0" w:line="178"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survive the transaction but the shares of our common stock outstanding immediately before such transaction are converted or exchanged into other property by virtue of the transaction.</w:t>
      </w:r>
    </w:p>
    <w:p>
      <w:pPr>
        <w:spacing w:after="0" w:line="170"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The administrator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eligible employees are permitted to participate in the ICL 401(k) Plan, or the 401(k) Plan, and we will continue to offer a 401(k) plan after the closing of this offering. Participation in the 401(k) Plan is offered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discretionary matching employer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conditions are satisfied.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Class A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immediately following the closing of this offering and our amended and restated bylaws that will be in effect immediately prior to the closing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214" w:lineRule="exact"/>
        <w:rPr>
          <w:sz w:val="20"/>
          <w:szCs w:val="20"/>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57"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closing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8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60"/>
          </w:cols>
          <w:pgMar w:left="320" w:top="459"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20" w:firstLine="881"/>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participant in which the amount involved exceeded or will exceed the lesser of $120,000 or 1% of the average of our total assets as of December 31, 2019 and 2020,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“Management—Non-Employee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 with InCube Labs, LLC</w:t>
      </w:r>
    </w:p>
    <w:p>
      <w:pPr>
        <w:spacing w:after="0" w:line="22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ICL holds more than 5% of the capital stock of the Company and is wholly-owned by Mir Imran and his family. Mir Imran is our President, Chief Executive Officer and Director and is a Managing Member of ICL. From inception to December 31, 2017, the Company advanced funds to ICL for ICL to make payments directly to certain vendors on behalf of the Company and the Company has reimbursed ICL for all such payments at cost. During the year ended December 31, 2017, the Company converted the outstanding advances of approximately $6.6 million to ICL into notes receivable, or the ICL Notes. The ICL Notes accrued interest at a rate of 1.97% compounded annually, loan fees of 2.75%, and principal and accrued interest were due and payable on demand by the Company at any time after January 1, 2024. During 2019 and 2020, the Company received $1.0 million and $0.2 million, respectively, in payments for interest and repayment of principal on the ICL Notes. At December 31, 2019 and 2020, approximately $1.9 million and $1.7 million, respectively, of the ICL Notes were outstanding. In March 2021, the outstanding balance, including all accrued interest, was fully repaid by ICL.</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with InCube Labs, LLC</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Company and ICL entered into a Service Agreement effective as of January 1, 2019 whereby the Company agreed to pay fees in exchange for services provided by ICL. The services are related to occupancy, research and technology development, administrative services and other services including but not limited to intellectual property diligence and maintenance, general legal support, product and business development support services, public relations support, customer relations support and financing and investor relations.</w:t>
      </w:r>
    </w:p>
    <w:p>
      <w:pPr>
        <w:spacing w:after="0" w:line="171"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On January 1, 2020, the parties entered into Amendment No. 1 to Service Agreement whereby they amended the service rates for 2020. Effective January 1, 2020, the ICL personnel that were substantially dedicated to providing services to the Company were hired by our wholly owned subsidiary RMS as full-time employees. The term of the Service Agreement expired on December 31, 2020, and the Company is operating under the legacy terms of this agreement on a month-to-month basis. While substantially all of our service providers are currently employed by RMS, we continuously evaluate the efficiency and efficacy of our employment strategy, whether it be to employ personnel through the Company, RMS or otherwise.</w:t>
      </w:r>
    </w:p>
    <w:p>
      <w:pPr>
        <w:spacing w:after="0" w:line="192"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All of the Company’s facilities are owned by an entity affiliated with our chief executive officer and the chairman of our board of directors, who is also the chief executive officer and chairman of the board of directors of ICL. The Company pays for the use of these facilities through the Service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3"/>
              </w:rPr>
              <w:t>Year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$17,129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3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20,437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380" w:type="dxa"/>
            <w:vAlign w:val="bottom"/>
            <w:vMerge w:val="restart"/>
          </w:tcPr>
          <w:p>
            <w:pPr>
              <w:jc w:val="right"/>
              <w:ind w:right="2070"/>
              <w:spacing w:after="0"/>
              <w:rPr>
                <w:sz w:val="20"/>
                <w:szCs w:val="20"/>
                <w:color w:val="auto"/>
              </w:rPr>
            </w:pPr>
            <w:r>
              <w:rPr>
                <w:rFonts w:ascii="Arial" w:cs="Arial" w:eastAsia="Arial" w:hAnsi="Arial"/>
                <w:sz w:val="18"/>
                <w:szCs w:val="18"/>
                <w:color w:val="auto"/>
              </w:rPr>
              <w:t>200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and Exclusive License Agreement with InCube Labs, LLC</w:t>
      </w:r>
    </w:p>
    <w:p>
      <w:pPr>
        <w:spacing w:after="0" w:line="229"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On June 14, 2012 we entered into an Intellectual Property Agreement and an Exclusive License Agreement with ICL, which were each amended on June 13,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or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 We are obligated to diligently develop and commercialize such products and services and to reimburse ICL for its costs to prosecute and maintain the patents that are licensed to us, which reimbursement will be a pro rata portion if ICL grants licenses under such patents to other licensees.</w:t>
      </w:r>
    </w:p>
    <w:p>
      <w:pPr>
        <w:spacing w:after="0" w:line="181" w:lineRule="exact"/>
        <w:rPr>
          <w:sz w:val="20"/>
          <w:szCs w:val="20"/>
          <w:color w:val="auto"/>
        </w:rPr>
      </w:pPr>
    </w:p>
    <w:p>
      <w:pPr>
        <w:ind w:left="120" w:right="560" w:firstLine="881"/>
        <w:spacing w:after="0" w:line="263" w:lineRule="auto"/>
        <w:rPr>
          <w:sz w:val="20"/>
          <w:szCs w:val="20"/>
          <w:color w:val="auto"/>
        </w:rPr>
      </w:pPr>
      <w:r>
        <w:rPr>
          <w:rFonts w:ascii="Arial" w:cs="Arial" w:eastAsia="Arial" w:hAnsi="Arial"/>
          <w:sz w:val="18"/>
          <w:szCs w:val="18"/>
          <w:color w:val="auto"/>
        </w:rPr>
        <w:t>The Intellectual Property Agreement will terminate upon our sale, merger or liquidation and the Exclusive License Agreement will terminate on the date of the expiration or abandonment of the last-to-expire patent that is licensed to us. We may terminate the Exclusive License Agreement in its entirety or with respect to any licensed patent by giving prior written notice to ICL.</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December 2020, the Company amended the terms of certain warrants to purchase Series B units, issued to InCube Ventures II, LP, or ICV II, a related party and entity affiliated with ICL, by extending its exercise period for an additional two years. In December 2020, ICV II elected to cashless exercise all of their Series B Warrants and the Company issued 51,341 Series B units. There were no Series B Warrants outstanding at December 31, 2020.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expect to obtain an increase in our share of the tax basis of the assets of Rani LLC when (as described below under “ —Rani LLC Agreement—LLC Interest Redemption Right”) the Continuing LLC Owners (a) redeem or exchange their LLC Interests for newly issued shares of our Class A common stock on a one-for-one basis (or, at our option, for cash) and (b) receive payments under the Tax Receivable Agreement (such basis increases, “the Basis Adjustments”). We intend to treat such redemptions or exchanges of LLC Interests as the direct purchase of LLC Interests by Rani Holdings from the Continuing LLC Owners for U.S. federal income and other applicable tax purposes, regardless of whether such LLC Interests are surrendered by the Continuing LLC Owners to Rani LLC for redemption or sold to Rani Holdings upon the exercise of our election to acquire such LLC Interests directly. A Basis Adjustment may have the effect of reducing the amounts that we would otherwise pay in the future to various tax authorities to the extent that we have positive taxable income in a future tax period that is offset by tax depreciation or amortization deductions arising from such Basis Adjustment. The Basis Adjustments may also decrease gains (or increase losses) on future dispositions of certain capital assets to the extent tax basis is allocated to those capital assets.</w:t>
      </w:r>
    </w:p>
    <w:p>
      <w:pPr>
        <w:spacing w:after="0" w:line="18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In connection with the Organizational Transactions described above, we will enter into the Tax Receivable Agreement with the Continuing LLC Owners. The Tax Receivable Agreement will provide for our payment to the Continuing LLC Owners of 85% of the amount of tax benefits, if any, that we are deemed to realize (calculated using certain assumptions) as a result of any Basis Adjustments and certain other tax benefits arising from payments under the Tax Receivable Agreement. Rani LLC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LLC or us by the Continuing LLC Owners. The rights of the Continuing LLC Owners under the Tax Receivable Agreement are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assignable to transferees of their LLC Interests (other than Rani Holdings as transferee pursuant to subsequent redemptions (or exchanges) of the transferred LLC Interests). We expect to benefit from the remaining 15% of tax benefits, if any, that we may realize.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71"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Basis Adjustments, as well as any amounts paid to the Continuing LLC Owners under the Tax Receivable Agreement, will vary depending on a number of factors, including:</w:t>
      </w:r>
    </w:p>
    <w:p>
      <w:pPr>
        <w:spacing w:after="0" w:line="197" w:lineRule="exact"/>
        <w:rPr>
          <w:sz w:val="20"/>
          <w:szCs w:val="20"/>
          <w:color w:val="auto"/>
        </w:rPr>
      </w:pPr>
    </w:p>
    <w:p>
      <w:pPr>
        <w:ind w:left="1420" w:right="160" w:hanging="319"/>
        <w:spacing w:after="0" w:line="263"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exchanges—for instance, the increase in any tax deductions will vary depending on the fair value, which may fluctuate over time, of the depreciable or amortizable assets of Rani LLC at the time of each redemption or exchange;</w:t>
      </w:r>
    </w:p>
    <w:p>
      <w:pPr>
        <w:spacing w:after="0" w:line="210" w:lineRule="exact"/>
        <w:rPr>
          <w:rFonts w:ascii="Arial" w:cs="Arial" w:eastAsia="Arial" w:hAnsi="Arial"/>
          <w:sz w:val="18"/>
          <w:szCs w:val="18"/>
          <w:color w:val="auto"/>
        </w:rPr>
      </w:pPr>
    </w:p>
    <w:p>
      <w:pPr>
        <w:ind w:left="1420" w:right="380" w:hanging="319"/>
        <w:spacing w:after="0" w:line="263"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price of shares of our Class A common stock at the time of redemptions or exchanges—the Basis Adjustments, as well as any related increase in any tax deductions, is directly related to the price of shares of our Class A common stock at the time of each redemption or exchange;</w:t>
      </w:r>
    </w:p>
    <w:p>
      <w:pPr>
        <w:spacing w:after="0" w:line="210"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extent to which such redemptions or exchanges are taxable—if a redemption or exchange is not taxable for any reason, increased tax deductions will not be available; and</w:t>
      </w:r>
    </w:p>
    <w:p>
      <w:pPr>
        <w:spacing w:after="0" w:line="197" w:lineRule="exact"/>
        <w:rPr>
          <w:rFonts w:ascii="Arial" w:cs="Arial" w:eastAsia="Arial" w:hAnsi="Arial"/>
          <w:sz w:val="18"/>
          <w:szCs w:val="18"/>
          <w:color w:val="auto"/>
        </w:rPr>
      </w:pPr>
    </w:p>
    <w:p>
      <w:pPr>
        <w:ind w:left="1420" w:hanging="319"/>
        <w:spacing w:after="0" w:line="287" w:lineRule="auto"/>
        <w:tabs>
          <w:tab w:leader="none" w:pos="14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amount and timing of our taxable income (prior to taking into account the tax depreciation or amortization deductions arising from the Basis Adjustments) —the Tax Receivable Agreement generally will require Rani Holdings to pay 85% of the tax benefits as and when those benefits are treated as realized under the terms of the Tax Receivable Agreement. Except as discussed below in cases of</w:t>
      </w:r>
    </w:p>
    <w:p>
      <w:pPr>
        <w:spacing w:after="0" w:line="2" w:lineRule="exact"/>
        <w:rPr>
          <w:rFonts w:ascii="Arial" w:cs="Arial" w:eastAsia="Arial" w:hAnsi="Arial"/>
          <w:sz w:val="16"/>
          <w:szCs w:val="16"/>
          <w:color w:val="auto"/>
        </w:rPr>
      </w:pPr>
    </w:p>
    <w:p>
      <w:pPr>
        <w:ind w:left="1420"/>
        <w:spacing w:after="0" w:line="292" w:lineRule="auto"/>
        <w:rPr>
          <w:rFonts w:ascii="Arial" w:cs="Arial" w:eastAsia="Arial" w:hAnsi="Arial"/>
          <w:sz w:val="16"/>
          <w:szCs w:val="16"/>
          <w:color w:val="auto"/>
        </w:rPr>
      </w:pPr>
      <w:r>
        <w:rPr>
          <w:rFonts w:ascii="Arial" w:cs="Arial" w:eastAsia="Arial" w:hAnsi="Arial"/>
          <w:sz w:val="16"/>
          <w:szCs w:val="16"/>
          <w:color w:val="auto"/>
        </w:rPr>
        <w:t>(i) a material breach of a material obligation under the Tax Receivable Agreement, (ii) a change of control or (iii) an early termination of the Tax Receivable Agreement, if Rani Holdings does not have taxable income, it will generally not be required to make payments under the Tax Receivable Agreement for that taxable year because no tax benefits will have been realized. However, any tax benefits that do not result in realized tax benefits in a given taxable year may generate tax attributes that may be utilized to generate tax benefits in future taxable years. The utilization of any such tax attributes will result in payments under the Tax Receivable Agreement.</w:t>
      </w:r>
    </w:p>
    <w:p>
      <w:pPr>
        <w:spacing w:after="0" w:line="162"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Rani Holdings’ actual income tax liability to the amount of such taxes that it would have been required to pay had there been no Basis Adjustments and had the Tax Receivable Agreement not been entered into. The Tax Receivable Agreement will generally apply to each of our taxable years, beginning with the first taxable year ending after the consummation of the offering. The actual and hypothetical tax liabilities determined in the tax receivable agreements will be calculated using the actual U.S. federal income tax rate in effect for the applicable period and an assumed, weighted-average state and local income tax rate based on apportionment factors for the applicable period (along with the use of certain other assumptions). There is no maximum term for the Tax Receivable Agreement; however, the Tax Receivable Agreement may be terminated by us pursuant to an early termination procedure that requires us to pay the Continuing LLC Owners an agreed upon amount equal to the estimated present value of the remaining payments to be made under the agreement (calculated based on certain assumptions, including regarding tax rates and utilization of the Basis Adjustments).</w:t>
      </w:r>
    </w:p>
    <w:p>
      <w:pPr>
        <w:spacing w:after="0" w:line="166"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The payment obligations under the Tax Receivable Agreement are obligations of Rani Holdings and not of Rani LLC. Although the actual timing and amount of any payments that may be made under the Tax Receivable Agreement will vary, we expect that the payments that we may be required to make to the Continuing LLC Owners could be significant. For example, if we acquired all of the LLC Interests of the Continuing LLC</w:t>
      </w:r>
    </w:p>
    <w:p>
      <w:pPr>
        <w:spacing w:after="0" w:line="2"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Owners in taxable transactions as of this offering, based on an initial public offering price of $ per share (the midpoint of the estimated initial public offering price range set forth on the cover page of this prospectus)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w:t>
      </w:r>
    </w:p>
    <w:p>
      <w:pPr>
        <w:ind w:left="120" w:right="60"/>
        <w:spacing w:after="0" w:line="250" w:lineRule="auto"/>
        <w:rPr>
          <w:sz w:val="20"/>
          <w:szCs w:val="20"/>
          <w:color w:val="auto"/>
        </w:rPr>
      </w:pPr>
      <w:r>
        <w:rPr>
          <w:rFonts w:ascii="Arial" w:cs="Arial" w:eastAsia="Arial" w:hAnsi="Arial"/>
          <w:sz w:val="18"/>
          <w:szCs w:val="18"/>
          <w:color w:val="auto"/>
        </w:rPr>
        <w:t>as determined for purposes of the Tax Receivable Agreement, would aggregate to approximately $ , substantially all of which would be realized over the next years, and we would be required to pay the Continuing LLC Owners 85% of such amount, or $ , over the same</w:t>
      </w:r>
    </w:p>
    <w:p>
      <w:pPr>
        <w:spacing w:after="0" w:line="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period. The actual increases in tax basis with respect to future taxable redemptions, exchanges or purchases of LLC Interests, as well as the amount and timing of any payments we are required to make under the Tax Receivable Agreement in respect of the acquisition of LLC Interests from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(as well as the assumed combined state and local tax rate), the amount and timing of the taxable income that we generate in the future and the extent to which future redemptions, exchanges or purchases of LLC Interests are taxable transactions.</w:t>
      </w:r>
    </w:p>
    <w:p>
      <w:pPr>
        <w:spacing w:after="0" w:line="170"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There may be a material negative effect on our liquidity if, as described below, the payments made by us to the Continuing LLC Owners under the Tax Receivable Agreement exceed the actual benefits we receive in respect of the tax attributes subject to the Tax Receivable Agreement and/or distributions to us by Rani LLC are not sufficient to permit us to make payments under the Tax Receivable Agreement. To the extent that we are unable to make payments under the Tax Receivable Agreement for any reason, the unpaid amounts generally will be deferred and will accrue interest until paid by us. Decisions made by us in the course of running our business, such as with respect to mergers, asset sales, other forms of business combinations or other changes in control, may influence the timing and amount of payments that are received by the Continuing LLC Owners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6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In addition, although we are not aware of any issue that would cause the Internal Revenue Service to challenge the tax basis increases or other benefits arising under the Tax Receivable Agreement, the Continuing LLC Owners will not reimburse us for any payments previously made if such tax basis increases or other tax benefits are subsequently disallowed, except that any excess payments made to the Continuing LLC Owners will be netted against future payments otherwise to be made under the Tax Receivable Agreement, if any, after our determination of such excess. As a result, in such circumstances we could make payments to the Continuing LLC Owners under the Tax Receivable Agreement that are greater than our actual cash tax savings and may not be able to recoup those payments, which could negatively impact our liquidity.</w:t>
      </w:r>
    </w:p>
    <w:p>
      <w:pPr>
        <w:spacing w:after="0" w:line="164"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 As a result, upon a change of control, we could be required to make payments under the Tax Receivable Agreement that are greater than or less than the specified percentage of our actual cash tax savings, which could negatively impact our liquidity.</w:t>
      </w:r>
    </w:p>
    <w:p>
      <w:pPr>
        <w:spacing w:after="0" w:line="161"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This provision of the Tax Receivable Agreement may result in situations where the Continuing LLC Owners have interests that differ from or are in addition to those of our other stockholders. In addition, we could be required to make payments under the Tax Receivable Agreement that are substantial and in excess of our, or a potential acquirer’s, actual cash savings in income tax.</w:t>
      </w:r>
    </w:p>
    <w:p>
      <w:pPr>
        <w:spacing w:after="0" w:line="184" w:lineRule="exact"/>
        <w:rPr>
          <w:sz w:val="20"/>
          <w:szCs w:val="20"/>
          <w:color w:val="auto"/>
        </w:rPr>
      </w:pPr>
    </w:p>
    <w:p>
      <w:pPr>
        <w:ind w:left="120" w:right="720" w:firstLine="881"/>
        <w:spacing w:after="0" w:line="27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is dependent on the ability of Rani LLC to make distributions to us. To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extent that we are unable to make payments under the Tax Receivable Agreement for any reason, such payments will be deferred and will accrue interest until paid.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Rani LLC Agreement</w:t>
      </w:r>
    </w:p>
    <w:p>
      <w:pPr>
        <w:spacing w:after="0" w:line="229" w:lineRule="exact"/>
        <w:rPr>
          <w:sz w:val="20"/>
          <w:szCs w:val="20"/>
          <w:color w:val="auto"/>
        </w:rPr>
      </w:pPr>
    </w:p>
    <w:p>
      <w:pPr>
        <w:ind w:left="120" w:right="360" w:firstLine="881"/>
        <w:spacing w:after="0" w:line="259" w:lineRule="auto"/>
        <w:rPr>
          <w:sz w:val="20"/>
          <w:szCs w:val="20"/>
          <w:color w:val="auto"/>
        </w:rPr>
      </w:pPr>
      <w:r>
        <w:rPr>
          <w:rFonts w:ascii="Arial" w:cs="Arial" w:eastAsia="Arial" w:hAnsi="Arial"/>
          <w:sz w:val="18"/>
          <w:szCs w:val="18"/>
          <w:color w:val="auto"/>
        </w:rPr>
        <w:t>We will operate our business through Rani LLC and its subsidiary. In connection with the completion of this offering, we and the Continuing LLC Owners will enter into Rani LLC’s fifth amended and restated limited liability company agreement, which we refer to as the “Rani LLC Agreement.” The operations of Rani LLC, and the rights and obligations of the holders of LLC Interests, will be set forth in the Rani LLC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as Manager</w:t>
      </w:r>
    </w:p>
    <w:p>
      <w:pPr>
        <w:spacing w:after="0" w:line="225"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Under the Rani LLC Agreement, we will become a member and the sole manager of Rani LLC. As the sole manager, we will be able to control all of the day-to-day business affairs and decision-making of Rani LLC. As such, we, through our officers and directors, will be responsible for all operational and administrative decisions of Rani LLC and the day-to-day management of Rani LLC’s business. Pursuant to the terms of the Rani LLC Agreement, we cannot, under any circumstances, be removed as the sole manager of Rani LLC except by our election.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We will not be entitled to compensation for our services as manager. We will be entitled to reimbursement or capital contribution credit by Rani LLC for fees and expenses incurred on behalf of Rani LLC, including all expenses associated with this offering and maintaining our corporate existence.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120" w:right="40" w:firstLine="881"/>
        <w:spacing w:after="0" w:line="271" w:lineRule="auto"/>
        <w:rPr>
          <w:sz w:val="20"/>
          <w:szCs w:val="20"/>
          <w:color w:val="auto"/>
        </w:rPr>
      </w:pPr>
      <w:r>
        <w:rPr>
          <w:rFonts w:ascii="Arial" w:cs="Arial" w:eastAsia="Arial" w:hAnsi="Arial"/>
          <w:sz w:val="17"/>
          <w:szCs w:val="17"/>
          <w:color w:val="auto"/>
        </w:rPr>
        <w:t>The Rani LLC Agreement will require “tax distributions” to be made by Rani LLC to its members, as that term is defined in the agreement. Tax distributions will be made to members on a pro rata basis, including us, in amounts intended to be sufficient to allow the members, including us, to pay taxes owed in respect of income allocated by Rani LLC and to allow us to meet our obligations under the Tax Receivable Agreement (as described above under “ —Tax Receivable Agreement”). The Rani LLC Agreement will also allow for distributions to be made by Rani LLC to its members on a pro rata basis out of “distributable cash,” as that term is defined in the agreement. We expect Rani LLC may make distributions out of distributable cash periodically to the extent permitted by our agreements governing our indebtedness and necessary to enable us to cover our operating expenses and other obligations, including our tax liability and obligations under the Tax Receivable Agreement, as well as to make dividend payments, if any, to the holders of our Class A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LLC Interest Redemption Right</w:t>
      </w:r>
    </w:p>
    <w:p>
      <w:pPr>
        <w:spacing w:after="0" w:line="225"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Rani LLC Agreement will provide a redemption right to the Continuing LLC Owners which will entitle them to have their LLC Interests redeemed, at their election (subject to the terms of the Rani LLC Agreement), for newly issued shares of our Class A common stock on a one-for-one basis (subject to customary adjustments, including for stock splits, stock dividends and reclassifications). Upon the exercise of the redemption right, the redeeming member will surrender its LLC Interests to Rani LLC for cancellation. The Rani LLC Agreement will require that we contribute shares of our Class A common stock to Rani LLC in exchange for an amount of newly issued LLC Interests in Rani LLC that will be issued to us equal to the number of LLC Interests redeemed from the Continuing LLC Owners. Rani LLC will then distribute the shares of our Class A common stock to the Continuing LLC Owners to complete the redemption. In the event of such a redemption election by Continuing LLC Owners, Rani Holdings may effect a direct exchange of Class A common stock or a cash payment equal to a volume weighted average market price of one share of Class A common stock for each such LLC Interest in lieu of such a redemption. Whether by redemption or exchange, we will be obligated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ensure that at all times the number of LLC Interests that we own equals the number of shares of Class A common stock issued by us (subject to certain exceptions for treasury shares and shares underlying certain convertible or exchangeable securities).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The Rani LLC Agreement will provide for indemnification of the manager, members and officers of Rani LLC and their respective subsidiaries or affiliates.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We are party to an investors’ rights agreement, as amended, with certain holders of our units, including Rani Investment Corp., InCube Ventures II, L.P., VH Rani, LP and Biologix Partners, LP. Under our investors’ rights agreement, certain holders of our units have the right to demand that we file a registration statement or request that their units be covered by a registration statement that we are otherwise filing. This agreement will terminate upon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In connection with this offering, we intend to enter into a Registration Rights Agreement with the Continuing LLC Owners. The Registration Rights Agreement will provide the Continuing LLC Owners certain registration rights whereby, at any time following our initial public offering and the expiration of any related lock-up period, the Continuing LLC Owners can require us to register under the Securities Act shares of Class A common stock issuable to them upon, at our election, redemption or exchange of their LLC Interests, and the Former LLC Owners can require us to register under the Securities Act the shares of Class A common stock issued to them in connection with the Organizational Transactions. The Registration Rights Agreement will also provide for piggyback registration rights for the Continuing LLC Owners.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amended and restated certificate of incorporation, that will be in effect immediately following the closing of this offering, will contain provisions limiting the liability of the members of our board of directors, and our amended and restated bylaws, that will be in effect immediately prior to the closing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of Liability and Indemnification of Directors and Officers.”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the lesser of $120,000 or 1% of the average of our total assets as of the end of our last two completed fiscal years,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0940"/>
          </w:cols>
          <w:pgMar w:left="320" w:top="459" w:right="6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about the beneficial ownership of our Class A common stock and Class B common stock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30, 2021, after giving effect to the organizational transactions as described in the section titled “Organizational Transactions”:</w:t>
      </w:r>
    </w:p>
    <w:p>
      <w:pPr>
        <w:spacing w:after="0" w:line="238" w:lineRule="exact"/>
        <w:rPr>
          <w:sz w:val="20"/>
          <w:szCs w:val="20"/>
          <w:color w:val="auto"/>
        </w:rPr>
      </w:pPr>
    </w:p>
    <w:p>
      <w:pPr>
        <w:ind w:left="1420" w:right="260" w:hanging="319"/>
        <w:spacing w:after="0" w:line="277"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 immediately prior to this offering;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As described in the sections titled “Organizational Transactions” and “Certain Relationships and Related Person Transactions,” the Continuing LLC Owners will be entitled to have their LLC Interests redeemed for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In connection with this offering, we will issue to the Continuing LLC Owners one share of Class B common stock for each LLC Interest they own. As a result, the number of shares of Class B common stock listed in the table below correlates to the number of LLC Interests the Continuing LLC Owners will own immediately prior to and after this offering (but after giving effect to the Organizational Transactions other than this offering). See the section titled “Organizational Transactions.”</w:t>
      </w:r>
    </w:p>
    <w:p>
      <w:pPr>
        <w:spacing w:after="0" w:line="181"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The number of shares beneficially owned by each stockholder as described in this prospectus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including the redemption right described above, held by such person that are currently exercisable or will become exercisable within 60 days of April 30, 2021, are considered outstanding, although these shares are not considered outstanding for purposes of computing the percentage ownership of any other person.</w:t>
      </w:r>
    </w:p>
    <w:p>
      <w:pPr>
        <w:spacing w:after="0" w:line="16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 The following table does not reflect any potential purchases by our executive officers, directors, their affiliated entities or holders of more than 5% of our common units in this offering. If any shares are purchased by these persons or entities, the number and percentage of shares of our Class A common stock beneficially owned by them after this offering will differ from the amounts set forth in the following table.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Rani Therapeutics Holdings, Inc. 2051 Ringwood Avenue, San Jose, California 95131.</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InCube Labs, LLC</w:t>
      </w:r>
      <w:r>
        <w:rPr>
          <w:rFonts w:ascii="Arial" w:cs="Arial" w:eastAsia="Arial" w:hAnsi="Arial"/>
          <w:sz w:val="15"/>
          <w:szCs w:val="15"/>
          <w:color w:val="auto"/>
        </w:rPr>
        <w:t>(1)</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InCube Ventures II, L.P. and</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Affiliates</w:t>
      </w:r>
      <w:r>
        <w:rPr>
          <w:rFonts w:ascii="Arial" w:cs="Arial" w:eastAsia="Arial" w:hAnsi="Arial"/>
          <w:sz w:val="15"/>
          <w:szCs w:val="15"/>
          <w:color w:val="auto"/>
        </w:rPr>
        <w:t>(2)</w:t>
      </w:r>
    </w:p>
    <w:p>
      <w:pPr>
        <w:spacing w:after="0" w:line="10" w:lineRule="exact"/>
        <w:rPr>
          <w:sz w:val="20"/>
          <w:szCs w:val="20"/>
          <w:color w:val="auto"/>
        </w:rPr>
      </w:pPr>
    </w:p>
    <w:p>
      <w:pPr>
        <w:ind w:left="300" w:right="680" w:hanging="179"/>
        <w:spacing w:after="0" w:line="260" w:lineRule="auto"/>
        <w:rPr>
          <w:sz w:val="20"/>
          <w:szCs w:val="20"/>
          <w:color w:val="auto"/>
        </w:rPr>
      </w:pPr>
      <w:r>
        <w:rPr>
          <w:rFonts w:ascii="Arial" w:cs="Arial" w:eastAsia="Arial" w:hAnsi="Arial"/>
          <w:sz w:val="18"/>
          <w:szCs w:val="18"/>
          <w:color w:val="auto"/>
        </w:rPr>
        <w:t>South Lake One LLC and Affiliates</w:t>
      </w:r>
      <w:r>
        <w:rPr>
          <w:rFonts w:ascii="Arial" w:cs="Arial" w:eastAsia="Arial" w:hAnsi="Arial"/>
          <w:sz w:val="15"/>
          <w:szCs w:val="15"/>
          <w:color w:val="auto"/>
        </w:rPr>
        <w:t>(3)</w:t>
      </w:r>
    </w:p>
    <w:p>
      <w:pPr>
        <w:spacing w:after="0" w:line="73" w:lineRule="exact"/>
        <w:rPr>
          <w:sz w:val="20"/>
          <w:szCs w:val="20"/>
          <w:color w:val="auto"/>
        </w:rPr>
      </w:pPr>
    </w:p>
    <w:p>
      <w:pPr>
        <w:ind w:left="300" w:right="200" w:hanging="179"/>
        <w:spacing w:after="0" w:line="261" w:lineRule="auto"/>
        <w:rPr>
          <w:sz w:val="20"/>
          <w:szCs w:val="20"/>
          <w:color w:val="auto"/>
        </w:rPr>
      </w:pPr>
      <w:r>
        <w:rPr>
          <w:rFonts w:ascii="Arial" w:cs="Arial" w:eastAsia="Arial" w:hAnsi="Arial"/>
          <w:sz w:val="18"/>
          <w:szCs w:val="18"/>
          <w:b w:val="1"/>
          <w:bCs w:val="1"/>
          <w:color w:val="auto"/>
        </w:rPr>
        <w:t>Named Executive Officers and Directors</w:t>
      </w:r>
    </w:p>
    <w:p>
      <w:pPr>
        <w:ind w:left="120" w:right="840"/>
        <w:spacing w:after="0" w:line="271" w:lineRule="auto"/>
        <w:rPr>
          <w:sz w:val="20"/>
          <w:szCs w:val="20"/>
          <w:color w:val="auto"/>
        </w:rPr>
      </w:pPr>
      <w:r>
        <w:rPr>
          <w:rFonts w:ascii="Arial" w:cs="Arial" w:eastAsia="Arial" w:hAnsi="Arial"/>
          <w:sz w:val="17"/>
          <w:szCs w:val="17"/>
          <w:color w:val="auto"/>
        </w:rPr>
        <w:t>Dennis Ausiello Jean-Luc Butel Laureen DeBuono Andrew Farquharson</w:t>
      </w:r>
      <w:r>
        <w:rPr>
          <w:rFonts w:ascii="Arial" w:cs="Arial" w:eastAsia="Arial" w:hAnsi="Arial"/>
          <w:sz w:val="14"/>
          <w:szCs w:val="14"/>
          <w:color w:val="auto"/>
        </w:rPr>
        <w:t>(2)</w:t>
      </w:r>
      <w:r>
        <w:rPr>
          <w:rFonts w:ascii="Arial" w:cs="Arial" w:eastAsia="Arial" w:hAnsi="Arial"/>
          <w:sz w:val="17"/>
          <w:szCs w:val="17"/>
          <w:color w:val="auto"/>
        </w:rPr>
        <w:t xml:space="preserve"> Mir Hashim Mir Imran</w:t>
      </w:r>
      <w:r>
        <w:rPr>
          <w:rFonts w:ascii="Arial" w:cs="Arial" w:eastAsia="Arial" w:hAnsi="Arial"/>
          <w:sz w:val="14"/>
          <w:szCs w:val="14"/>
          <w:color w:val="auto"/>
        </w:rPr>
        <w:t>(1)(2)</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Maulik Nanavaty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Svai Sanford</w:t>
      </w:r>
    </w:p>
    <w:p>
      <w:pPr>
        <w:spacing w:after="0" w:line="9" w:lineRule="exact"/>
        <w:rPr>
          <w:sz w:val="20"/>
          <w:szCs w:val="20"/>
          <w:color w:val="auto"/>
        </w:rPr>
      </w:pPr>
    </w:p>
    <w:p>
      <w:pPr>
        <w:ind w:left="300" w:hanging="179"/>
        <w:spacing w:after="0" w:line="290" w:lineRule="auto"/>
        <w:rPr>
          <w:sz w:val="20"/>
          <w:szCs w:val="20"/>
          <w:color w:val="auto"/>
        </w:rPr>
      </w:pPr>
      <w:r>
        <w:rPr>
          <w:rFonts w:ascii="Arial" w:cs="Arial" w:eastAsia="Arial" w:hAnsi="Arial"/>
          <w:sz w:val="17"/>
          <w:szCs w:val="17"/>
          <w:color w:val="auto"/>
        </w:rPr>
        <w:t>All directors and executive officers as a group (8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38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89"/>
              </w:rPr>
              <w:t>Shares of Class A</w:t>
            </w:r>
          </w:p>
        </w:tc>
        <w:tc>
          <w:tcPr>
            <w:tcW w:w="580" w:type="dxa"/>
            <w:vAlign w:val="bottom"/>
          </w:tcPr>
          <w:p>
            <w:pPr>
              <w:spacing w:after="0"/>
              <w:rPr>
                <w:sz w:val="14"/>
                <w:szCs w:val="14"/>
                <w:color w:val="auto"/>
              </w:rPr>
            </w:pPr>
          </w:p>
        </w:tc>
        <w:tc>
          <w:tcPr>
            <w:tcW w:w="202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89"/>
              </w:rPr>
              <w:t>Shares of Class B</w:t>
            </w:r>
          </w:p>
        </w:tc>
        <w:tc>
          <w:tcPr>
            <w:tcW w:w="220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Total Common Stock</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380" w:type="dxa"/>
            <w:vAlign w:val="bottom"/>
            <w:gridSpan w:val="7"/>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580" w:type="dxa"/>
            <w:vAlign w:val="bottom"/>
          </w:tcPr>
          <w:p>
            <w:pPr>
              <w:spacing w:after="0"/>
              <w:rPr>
                <w:sz w:val="12"/>
                <w:szCs w:val="12"/>
                <w:color w:val="auto"/>
              </w:rPr>
            </w:pPr>
          </w:p>
        </w:tc>
        <w:tc>
          <w:tcPr>
            <w:tcW w:w="2020" w:type="dxa"/>
            <w:vAlign w:val="bottom"/>
            <w:gridSpan w:val="7"/>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380" w:type="dxa"/>
            <w:vAlign w:val="bottom"/>
            <w:gridSpan w:val="7"/>
          </w:tcPr>
          <w:p>
            <w:pPr>
              <w:jc w:val="center"/>
              <w:ind w:right="940"/>
              <w:spacing w:after="0"/>
              <w:rPr>
                <w:sz w:val="20"/>
                <w:szCs w:val="20"/>
                <w:color w:val="auto"/>
              </w:rPr>
            </w:pPr>
            <w:r>
              <w:rPr>
                <w:rFonts w:ascii="Arial" w:cs="Arial" w:eastAsia="Arial" w:hAnsi="Arial"/>
                <w:sz w:val="14"/>
                <w:szCs w:val="14"/>
                <w:b w:val="1"/>
                <w:bCs w:val="1"/>
                <w:color w:val="auto"/>
                <w:w w:val="93"/>
              </w:rPr>
              <w:t>Beneficially Owned</w:t>
            </w:r>
          </w:p>
        </w:tc>
        <w:tc>
          <w:tcPr>
            <w:tcW w:w="580" w:type="dxa"/>
            <w:vAlign w:val="bottom"/>
          </w:tcPr>
          <w:p>
            <w:pPr>
              <w:spacing w:after="0"/>
              <w:rPr>
                <w:sz w:val="14"/>
                <w:szCs w:val="14"/>
                <w:color w:val="auto"/>
              </w:rPr>
            </w:pPr>
          </w:p>
        </w:tc>
        <w:tc>
          <w:tcPr>
            <w:tcW w:w="2020" w:type="dxa"/>
            <w:vAlign w:val="bottom"/>
            <w:gridSpan w:val="7"/>
          </w:tcPr>
          <w:p>
            <w:pPr>
              <w:jc w:val="center"/>
              <w:ind w:right="680"/>
              <w:spacing w:after="0"/>
              <w:rPr>
                <w:sz w:val="20"/>
                <w:szCs w:val="20"/>
                <w:color w:val="auto"/>
              </w:rPr>
            </w:pPr>
            <w:r>
              <w:rPr>
                <w:rFonts w:ascii="Arial" w:cs="Arial" w:eastAsia="Arial" w:hAnsi="Arial"/>
                <w:sz w:val="14"/>
                <w:szCs w:val="14"/>
                <w:b w:val="1"/>
                <w:bCs w:val="1"/>
                <w:color w:val="auto"/>
                <w:w w:val="91"/>
              </w:rPr>
              <w:t>Beneficially Owned</w:t>
            </w:r>
          </w:p>
        </w:tc>
        <w:tc>
          <w:tcPr>
            <w:tcW w:w="22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520" w:type="dxa"/>
            <w:vAlign w:val="bottom"/>
            <w:tcBorders>
              <w:top w:val="single" w:sz="8" w:color="auto"/>
            </w:tcBorders>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12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280" w:type="dxa"/>
            <w:vAlign w:val="bottom"/>
          </w:tcPr>
          <w:p>
            <w:pPr>
              <w:spacing w:after="0"/>
              <w:rPr>
                <w:sz w:val="10"/>
                <w:szCs w:val="10"/>
                <w:color w:val="auto"/>
              </w:rPr>
            </w:pPr>
          </w:p>
        </w:tc>
        <w:tc>
          <w:tcPr>
            <w:tcW w:w="1400" w:type="dxa"/>
            <w:vAlign w:val="bottom"/>
            <w:tcBorders>
              <w:top w:val="single" w:sz="8" w:color="auto"/>
            </w:tcBorders>
            <w:gridSpan w:val="4"/>
          </w:tcPr>
          <w:p>
            <w:pPr>
              <w:jc w:val="center"/>
              <w:ind w:right="300"/>
              <w:spacing w:after="0" w:line="119" w:lineRule="exact"/>
              <w:rPr>
                <w:sz w:val="20"/>
                <w:szCs w:val="20"/>
                <w:color w:val="auto"/>
              </w:rPr>
            </w:pPr>
            <w:r>
              <w:rPr>
                <w:rFonts w:ascii="Arial" w:cs="Arial" w:eastAsia="Arial" w:hAnsi="Arial"/>
                <w:sz w:val="13"/>
                <w:szCs w:val="13"/>
                <w:b w:val="1"/>
                <w:bCs w:val="1"/>
                <w:color w:val="auto"/>
              </w:rPr>
              <w:t>After Giving</w:t>
            </w:r>
          </w:p>
        </w:tc>
        <w:tc>
          <w:tcPr>
            <w:tcW w:w="11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10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After Giving</w:t>
            </w: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After Giving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Effect to the</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Effect to the</w:t>
            </w:r>
          </w:p>
        </w:tc>
        <w:tc>
          <w:tcPr>
            <w:tcW w:w="0" w:type="dxa"/>
            <w:vAlign w:val="bottom"/>
          </w:tcPr>
          <w:p>
            <w:pPr>
              <w:spacing w:after="0"/>
              <w:rPr>
                <w:sz w:val="1"/>
                <w:szCs w:val="1"/>
                <w:color w:val="auto"/>
              </w:rPr>
            </w:pPr>
          </w:p>
        </w:tc>
      </w:tr>
      <w:tr>
        <w:trPr>
          <w:trHeight w:val="149"/>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12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Organizational</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Transactions and</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Transactions and</w:t>
            </w: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Transactions</w:t>
            </w:r>
          </w:p>
        </w:tc>
        <w:tc>
          <w:tcPr>
            <w:tcW w:w="0" w:type="dxa"/>
            <w:vAlign w:val="bottom"/>
          </w:tcPr>
          <w:p>
            <w:pPr>
              <w:spacing w:after="0"/>
              <w:rPr>
                <w:sz w:val="1"/>
                <w:szCs w:val="1"/>
                <w:color w:val="auto"/>
              </w:rPr>
            </w:pPr>
          </w:p>
        </w:tc>
      </w:tr>
      <w:tr>
        <w:trPr>
          <w:trHeight w:val="148"/>
        </w:trPr>
        <w:tc>
          <w:tcPr>
            <w:tcW w:w="15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Before the</w:t>
            </w:r>
          </w:p>
        </w:tc>
        <w:tc>
          <w:tcPr>
            <w:tcW w:w="15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After the</w:t>
            </w:r>
          </w:p>
        </w:tc>
        <w:tc>
          <w:tcPr>
            <w:tcW w:w="140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and Before the</w:t>
            </w:r>
          </w:p>
        </w:tc>
        <w:tc>
          <w:tcPr>
            <w:tcW w:w="12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and After the</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and Before</w:t>
            </w: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and After</w:t>
            </w:r>
          </w:p>
        </w:tc>
        <w:tc>
          <w:tcPr>
            <w:tcW w:w="0" w:type="dxa"/>
            <w:vAlign w:val="bottom"/>
          </w:tcPr>
          <w:p>
            <w:pPr>
              <w:spacing w:after="0"/>
              <w:rPr>
                <w:sz w:val="1"/>
                <w:szCs w:val="1"/>
                <w:color w:val="auto"/>
              </w:rPr>
            </w:pPr>
          </w:p>
        </w:tc>
      </w:tr>
      <w:tr>
        <w:trPr>
          <w:trHeight w:val="171"/>
        </w:trPr>
        <w:tc>
          <w:tcPr>
            <w:tcW w:w="1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9"/>
              </w:rPr>
              <w:t>Offering</w:t>
            </w:r>
          </w:p>
        </w:tc>
        <w:tc>
          <w:tcPr>
            <w:tcW w:w="15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2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the Offering</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the Offering</w:t>
            </w:r>
          </w:p>
        </w:tc>
        <w:tc>
          <w:tcPr>
            <w:tcW w:w="0" w:type="dxa"/>
            <w:vAlign w:val="bottom"/>
          </w:tcPr>
          <w:p>
            <w:pPr>
              <w:spacing w:after="0"/>
              <w:rPr>
                <w:sz w:val="1"/>
                <w:szCs w:val="1"/>
                <w:color w:val="auto"/>
              </w:rPr>
            </w:pPr>
          </w:p>
        </w:tc>
      </w:tr>
      <w:tr>
        <w:trPr>
          <w:trHeight w:val="142"/>
        </w:trPr>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2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12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100" w:type="dxa"/>
            <w:vAlign w:val="bottom"/>
            <w:tcBorders>
              <w:top w:val="single" w:sz="8" w:color="auto"/>
            </w:tcBorders>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-2536825</wp:posOffset>
            </wp:positionV>
            <wp:extent cx="69951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-2262505</wp:posOffset>
            </wp:positionV>
            <wp:extent cx="6995160" cy="274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-1645285</wp:posOffset>
            </wp:positionV>
            <wp:extent cx="6995160" cy="274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-1233805</wp:posOffset>
            </wp:positionV>
            <wp:extent cx="6995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-959485</wp:posOffset>
            </wp:positionV>
            <wp:extent cx="699516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-685165</wp:posOffset>
            </wp:positionV>
            <wp:extent cx="69951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-410845</wp:posOffset>
            </wp:positionV>
            <wp:extent cx="6995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2660" w:space="420"/>
            <w:col w:w="8000"/>
          </w:cols>
          <w:pgMar w:left="320" w:top="459" w:right="499" w:bottom="1440" w:gutter="0" w:footer="0" w:header="0"/>
          <w:type w:val="continuous"/>
        </w:sectPr>
      </w:pPr>
    </w:p>
    <w:p>
      <w:pPr>
        <w:ind w:left="540" w:hanging="424"/>
        <w:spacing w:after="0"/>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the outstanding shares of our Class A common stock or Class B Common Stock.</w:t>
      </w:r>
    </w:p>
    <w:p>
      <w:pPr>
        <w:spacing w:after="0" w:line="35" w:lineRule="exact"/>
        <w:rPr>
          <w:sz w:val="20"/>
          <w:szCs w:val="20"/>
          <w:color w:val="auto"/>
        </w:rPr>
      </w:pPr>
    </w:p>
    <w:p>
      <w:pPr>
        <w:ind w:left="540" w:right="2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shares held by ICL. Mir Imran is the sole managing member of ICL, which is wholly owned by Mir Imran and his family. The address of this entity is 2051 Ringwood Avenue San Jose, California 95131.</w:t>
      </w:r>
    </w:p>
    <w:p>
      <w:pPr>
        <w:ind w:left="540" w:hanging="424"/>
        <w:spacing w:after="0" w:line="250"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shares held by InCube Ventures II, L.P., or InCube Ventures II, Rani Investment Corporation, or RIC, VH Rani, LP, or VH, and Biologix Partners, LP, or Biologix. InCube Ventures II is a limited partnership and its general partners are Mir Imran, Andrew Farquharson and Wayne Roe. RIC is wholly owned by InCube Ventures II which is owned 99% by its limited partner Raffles Fund I, Ltd., a Cayman Island company, and 1% by its general partner InCube Venture Associates II, LLC, a Delaware LLC. InCube Venture Associates II, LLC is owned by Mir Imran, Andrew Farquharson and Wayne Roe. VH and Biologix are both limited partnerships and each have a general partner, InCube Crowdfunding LLC in which Mir Imran, Talat Imran and Andrew Farquharson are each Managing Members. The address of these entities is 2051 Ringwood Avenue San Jose, California 95131.</w:t>
      </w:r>
    </w:p>
    <w:p>
      <w:pPr>
        <w:spacing w:after="0" w:line="2" w:lineRule="exact"/>
        <w:rPr>
          <w:rFonts w:ascii="Arial" w:cs="Arial" w:eastAsia="Arial" w:hAnsi="Arial"/>
          <w:sz w:val="18"/>
          <w:szCs w:val="18"/>
          <w:color w:val="auto"/>
        </w:rPr>
      </w:pPr>
    </w:p>
    <w:p>
      <w:pPr>
        <w:ind w:left="540" w:right="180" w:hanging="424"/>
        <w:spacing w:after="0" w:line="255"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shares held by Aequanimitas Limited Partnership and South Lake One LLC. Isidoro Quiroga Moreno is the President of South Lake One LLC and Aequanimitas Limited Partnership. The address of these entities is c/o Vcorp Services LLC, 21013 Centre Road, Suite 403-B, Wilmington, Delaware 19805.</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80"/>
          </w:cols>
          <w:pgMar w:left="320" w:top="459" w:right="49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that will be in effect immediately following the closing of this offering, and our amended and restated bylaws, that will be in effect immediately prior to the closing of this offering, are summaries and are qualified by reference to the amended and restated certificate of incorporation and the amended and restated bylaws, which are filed as exhibits to the registration statement of which this prospectus forms a part.</w:t>
      </w:r>
    </w:p>
    <w:p>
      <w:pPr>
        <w:spacing w:after="0" w:line="187"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Our current authorized capital stock consists of 1,000 shares of Common Stock, par value $0.0001 per share. As of the consummation of this offering, our authorized capital stock will consist of shares of Class A common stock, par value $0.0001, shares of Class B common stock, par value $0.0001 per share, and shares of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the consummation of this offering, there will be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shares of our Class B common stock issued and outstanding.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Class A common stock issued and outstanding,</w:t>
      </w:r>
    </w:p>
    <w:p>
      <w:pPr>
        <w:spacing w:after="0" w:line="441" w:lineRule="exact"/>
        <w:rPr>
          <w:sz w:val="20"/>
          <w:szCs w:val="20"/>
          <w:color w:val="auto"/>
        </w:rPr>
      </w:pPr>
    </w:p>
    <w:p>
      <w:pPr>
        <w:sectPr>
          <w:pgSz w:w="11900" w:h="16838" w:orient="portrait"/>
          <w:cols w:equalWidth="0" w:num="3">
            <w:col w:w="380" w:space="620"/>
            <w:col w:w="4460" w:space="140"/>
            <w:col w:w="5520"/>
          </w:cols>
          <w:pgMar w:left="320" w:top="459" w:right="459" w:bottom="1440" w:gutter="0" w:footer="0" w:header="0"/>
          <w:type w:val="continuous"/>
        </w:sectPr>
      </w:pP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Holders of our Class A common stock will be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Holders of Class A common stock will share ratably (based on the number of shares of Class A common stock held) if and when any dividend is declared by the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On our liquidation, dissolution or winding up, each holder of Class A common stock will be entitled to a pro rata distribution of any assets available for distribution to common stockholders.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 shares of Class A common stock will be subject to redemption or have preemptive rights to purchase additional shares of Class A common stock. Holders of shares of our Class A common stock do not have subscription, redemption or conversion rights. There will be no redemption or sinking fund provisions applicable to the Class A common stock. Upon consummation of this offering, all the outstanding shares of Class A common stock will be validly issued, fully paid and non-assessable.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Class B Common Stock with LLC Interests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Shares of Class B common stock will only be issued in the future to the extent necessary to maintain a one-to-one ratio between the number of LLC Interests held by the Continuing LLC Owners and the number of shares of Class B common stock issued to the Continuing LLC Owners. Shares of Class B common stock are transferable only together with an equal number of LLC Interests. Shares of Class B common stock will be cancelled on a one-for-one basis if we, at the election of the Continuing LLC Owners, redeem or exchange their LLC Interests pursuant to the terms of the Rani LLC Agreement.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Holders of Class B common stock will be entitled to cast 10 votes per share (for so long as the aggregate number of outstanding shares of our Class B common stock represents at least % of the aggregate number of our outstanding shares of common stock, and thereafter, one vote per share), with the number of shares of Class B common stock held by each Continuing LLC Owner being equivalent to the number of LLC Interests held by such Continuing LLC Owner. Holders of our Class B common stock will not be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6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Holders of our Class B common stock will not participate in any dividend declared by the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our liquidation, dissolution or winding up, holders of Class B common stock will not be entitled to receive any distribution of our assets.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Rani LLC Agreement, each holder of Class B common stock agrees that:</w:t>
      </w:r>
    </w:p>
    <w:p>
      <w:pPr>
        <w:spacing w:after="0" w:line="252" w:lineRule="exact"/>
        <w:rPr>
          <w:sz w:val="20"/>
          <w:szCs w:val="20"/>
          <w:color w:val="auto"/>
        </w:rPr>
      </w:pPr>
    </w:p>
    <w:p>
      <w:pPr>
        <w:ind w:left="1420" w:right="300" w:hanging="319"/>
        <w:spacing w:after="0" w:line="277" w:lineRule="auto"/>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holder will not transfer any shares of Class B common stock to any person unless the holder transfers an equal number of LLC Interests to the same person; and</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the event the holder transfers any LLC Interests to any person, the holder will transfer an equal number of shares of Class B common stock to the same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No shares of Class B common stock will have preemptive rights to purchase additional shares of Class B common stock. Holders of shares of our Class B common stock do not have subscription, redemption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conversion rights. There will be no redemption or sinking fund provisions applicable to the Class B common stock. Upon consummation of this offering, all outstanding shares of Class B common stock will be validly issued, fully paid and nonassessable.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amended and restated certificate of incorporation will provide that our board of directors has the authority, without action by the</w:t>
      </w:r>
    </w:p>
    <w:p>
      <w:pPr>
        <w:spacing w:after="0" w:line="35"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stockholders, to designate and issue up to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76"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73"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successors to the class of directors whose term expires at that annual meeting will be elected for a three-year term.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220" w:firstLine="881"/>
        <w:spacing w:after="0" w:line="308"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total voting power of the shares present in person or by proxy at the meeting and entitled to vote.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left="120" w:right="460" w:firstLine="881"/>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affected at a duly called annual or special meeting of stockholders and may not be affected by written consent.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Class A common stock, except for any amendment of the above provisions, which would require the approval of a two-thirds majority of our then outstanding Class A common stock. Additionally, our amended and restated certificate of incorporation will provide that our bylaws may be amended, altered, or repealed by the board of directors.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w:t>
      </w:r>
    </w:p>
    <w:p>
      <w:pPr>
        <w:spacing w:after="0" w:line="18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25"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We are governed by Section 203 of the DGCL. Subject to certain exceptions, Section 203 of the DGCL prohibits a public Delaware corporation from engaging in a business combination (as defined in such section)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8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tabs>
          <w:tab w:leader="none" w:pos="6360" w:val="left"/>
          <w:tab w:leader="none" w:pos="10300" w:val="left"/>
        </w:tabs>
        <w:rPr>
          <w:sz w:val="20"/>
          <w:szCs w:val="20"/>
          <w:color w:val="auto"/>
        </w:rPr>
      </w:pPr>
      <w:r>
        <w:rPr>
          <w:rFonts w:ascii="Arial" w:cs="Arial" w:eastAsia="Arial" w:hAnsi="Arial"/>
          <w:sz w:val="18"/>
          <w:szCs w:val="18"/>
          <w:color w:val="auto"/>
        </w:rPr>
        <w:t>The transfer agent and registrar for our Class A common stock is</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1"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Upon the closing of this offering, we will have outstanding an aggregate of shares of Class A common stock, assuming the issuance of shares of Class A common stock offered by us in this offering and the issuance of shares of Class A common stock to the Former LLC Owners. In addition, LLC Interests, following the completion of this offering, will be redeemable, at the Continuing LLC</w:t>
      </w:r>
    </w:p>
    <w:p>
      <w:pPr>
        <w:spacing w:after="0" w:line="3"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Owners’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The remaining outstanding shares of our common stock will be “restricted securities” as that term is defined under Rule 144 of the Securities Act.</w:t>
      </w:r>
    </w:p>
    <w:p>
      <w:pPr>
        <w:spacing w:after="0" w:line="198"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(including shares of Class A common stock issuable upon redemption or exchange of LLC Interests) will be available for sale in the public market as follows:</w:t>
      </w:r>
    </w:p>
    <w:p>
      <w:pPr>
        <w:spacing w:after="0" w:line="211" w:lineRule="exact"/>
        <w:rPr>
          <w:sz w:val="20"/>
          <w:szCs w:val="20"/>
          <w:color w:val="auto"/>
        </w:rPr>
      </w:pPr>
    </w:p>
    <w:p>
      <w:pPr>
        <w:ind w:left="1420" w:right="40" w:hanging="319"/>
        <w:spacing w:after="0" w:line="277"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 shares will be available for sale until 180 days after the date of this prospectus, subject to certain limited exceptions provided for in the lock-up agreements; and</w:t>
      </w:r>
    </w:p>
    <w:p>
      <w:pPr>
        <w:spacing w:after="0" w:line="197" w:lineRule="exact"/>
        <w:rPr>
          <w:rFonts w:ascii="Arial" w:cs="Arial" w:eastAsia="Arial" w:hAnsi="Arial"/>
          <w:sz w:val="18"/>
          <w:szCs w:val="18"/>
          <w:color w:val="auto"/>
        </w:rPr>
      </w:pPr>
    </w:p>
    <w:p>
      <w:pPr>
        <w:ind w:left="1420" w:right="120" w:hanging="319"/>
        <w:spacing w:after="0" w:line="311" w:lineRule="auto"/>
        <w:tabs>
          <w:tab w:leader="none" w:pos="21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shares of Class A common stock (without giving effect to any redemptions or exchanges of LLC Interests for shares of Class A common stock), plus any shares purchased by our affiliates in this offering, will be eligible for sale beginning more than 180 days after the date of this prospectus, subject, in the case of shares held by our affiliates, to the volume limitations under Rule 144.</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In connection with this offering, our officers and directors, and certain of our stockholders, have each entered into a lock-up agreement with the underwriters of this offering that restricts the sale of shares of our common stock by those parties for a period of 180 days after the date of this prospectus without the prior written consent of the representatives. However, the representatives, on behalf of the underwriters, may, in their discretion, choose to release any or all of the shares of our common stock subject to these lock-up agreements at any time prior to the expiration of</w:t>
      </w:r>
    </w:p>
    <w:p>
      <w:pPr>
        <w:spacing w:after="0" w:line="1"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the lock-up period without notice. For more information, see the section titled “Underwriting.” Upon the expiration of the lock-up period, substantially all of the shares subject to such lock-up restrictions will become eligible for sale, subject to the limitations discussed above.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51" w:lineRule="exact"/>
        <w:rPr>
          <w:sz w:val="20"/>
          <w:szCs w:val="20"/>
          <w:color w:val="auto"/>
        </w:rPr>
      </w:pPr>
    </w:p>
    <w:p>
      <w:pPr>
        <w:ind w:left="1420" w:hanging="319"/>
        <w:spacing w:after="0"/>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and</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sale.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a compensatory stock or option plan or other written agreement before the effective date of a registration statement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 is entitled to sell such shares 90 days after such effective date in reliance on Rule 144. An affiliate of the issuer can resell shares in reliance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144 without having to comply with the holding period requirement, and non-affiliates of the issuer can resell shares in reliance on Rule 144 without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having to comply with the current public information and holding period requirements.</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offer and sale of all shares of Class A common stock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000"/>
        <w:spacing w:after="0"/>
        <w:tabs>
          <w:tab w:leader="none" w:pos="5120" w:val="left"/>
        </w:tabs>
        <w:rPr>
          <w:sz w:val="20"/>
          <w:szCs w:val="20"/>
          <w:color w:val="auto"/>
        </w:rPr>
      </w:pPr>
      <w:r>
        <w:rPr>
          <w:rFonts w:ascii="Arial" w:cs="Arial" w:eastAsia="Arial" w:hAnsi="Arial"/>
          <w:sz w:val="18"/>
          <w:szCs w:val="18"/>
          <w:color w:val="auto"/>
        </w:rPr>
        <w:t>Upon the closing of this offering, the holders of</w:t>
      </w:r>
      <w:r>
        <w:rPr>
          <w:sz w:val="20"/>
          <w:szCs w:val="20"/>
          <w:color w:val="auto"/>
        </w:rPr>
        <w:tab/>
      </w:r>
      <w:r>
        <w:rPr>
          <w:rFonts w:ascii="Arial" w:cs="Arial" w:eastAsia="Arial" w:hAnsi="Arial"/>
          <w:sz w:val="16"/>
          <w:szCs w:val="16"/>
          <w:color w:val="auto"/>
        </w:rPr>
        <w:t>shares of Class A common stock (including the holders of LLC Interests</w:t>
      </w:r>
    </w:p>
    <w:p>
      <w:pPr>
        <w:spacing w:after="0" w:line="2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redeemable or exchangeable for shares of Class A common stock) or their transferees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the section titled “Certain Relationships and Related Person Transactions—Registration Rights Agreement” for additional information. Shares covered by a registration statement will be eligible for sale in the public market upon the expiration or release from the terms of the lock-up agreement described in “—Lock-up Agreements.”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20"/>
          </w:cols>
          <w:pgMar w:left="320" w:top="459" w:right="5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ownership and disposition of our Class A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or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spacing w:after="0" w:line="16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w:t>
      </w:r>
    </w:p>
    <w:p>
      <w:pPr>
        <w:ind w:left="120"/>
        <w:spacing w:after="0" w:line="253" w:lineRule="auto"/>
        <w:rPr>
          <w:sz w:val="20"/>
          <w:szCs w:val="20"/>
          <w:color w:val="auto"/>
        </w:rPr>
      </w:pPr>
      <w:r>
        <w:rPr>
          <w:rFonts w:ascii="Arial" w:cs="Arial" w:eastAsia="Arial" w:hAnsi="Arial"/>
          <w:sz w:val="18"/>
          <w:szCs w:val="18"/>
          <w:color w:val="auto"/>
        </w:rPr>
        <w:t>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220" w:lineRule="exact"/>
        <w:rPr>
          <w:sz w:val="20"/>
          <w:szCs w:val="20"/>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straddle or other risk reduction strategy or as part of a conversion transaction or other integrated investment;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brokers, dealers or certain electing traders in securities that mark their securities positions to market for tax purposes;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897(I)(2) of the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If any partnership or arrangement classified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w:t>
      </w:r>
    </w:p>
    <w:p>
      <w:pPr>
        <w:spacing w:after="0" w:line="187"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211" w:lineRule="exact"/>
        <w:rPr>
          <w:sz w:val="20"/>
          <w:szCs w:val="20"/>
          <w:color w:val="auto"/>
        </w:rPr>
      </w:pPr>
    </w:p>
    <w:p>
      <w:pPr>
        <w:ind w:left="1420" w:hanging="319"/>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(other than certain pro rata distributions of our 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—Sale or Other Taxable Disposition”).</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in order to avoid withholding with respect to such tax).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Any such effectively connected dividends will be subject to U.S. federal income tax on a net-income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173" w:lineRule="exact"/>
        <w:rPr>
          <w:sz w:val="20"/>
          <w:szCs w:val="20"/>
          <w:color w:val="auto"/>
        </w:rPr>
      </w:pPr>
    </w:p>
    <w:p>
      <w:pPr>
        <w:ind w:left="1420" w:right="80" w:hanging="319"/>
        <w:spacing w:after="0" w:line="263"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10"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(a “USRPI”), by reason of our status as a U.S. real property holding corporation (a “USRPHC”) for U.S. federal income tax purposes.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20" w:right="460" w:firstLine="881"/>
        <w:spacing w:after="0" w:line="29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w:t>
      </w:r>
    </w:p>
    <w:p>
      <w:pPr>
        <w:ind w:left="120"/>
        <w:spacing w:after="0" w:line="252" w:lineRule="auto"/>
        <w:rPr>
          <w:sz w:val="20"/>
          <w:szCs w:val="20"/>
          <w:color w:val="auto"/>
        </w:rPr>
      </w:pPr>
      <w:r>
        <w:rPr>
          <w:rFonts w:ascii="Arial" w:cs="Arial" w:eastAsia="Arial" w:hAnsi="Arial"/>
          <w:sz w:val="18"/>
          <w:szCs w:val="18"/>
          <w:color w:val="auto"/>
        </w:rPr>
        <w:t>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and such Non-U.S. Holder has not owned, actually or constructively, more than five percent of our Class A common stock throughout the shorter of (1) the five-year period ending on the date of the sale or other taxable disposition and (2) the Non-U.S. Holder’s holding period.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120" w:right="760" w:firstLine="881"/>
        <w:spacing w:after="0" w:line="291" w:lineRule="auto"/>
        <w:rPr>
          <w:sz w:val="20"/>
          <w:szCs w:val="20"/>
          <w:color w:val="auto"/>
        </w:rPr>
      </w:pPr>
      <w:r>
        <w:rPr>
          <w:rFonts w:ascii="Arial" w:cs="Arial" w:eastAsia="Arial" w:hAnsi="Arial"/>
          <w:sz w:val="16"/>
          <w:szCs w:val="16"/>
          <w:color w:val="auto"/>
        </w:rPr>
        <w:t>Payments of dividends on our Class A common stock generally will not be subject to backup withholding, provided the applicable withholding agent does not have actual knowledge or reason to know the holder is a United States person and the holder either certifies</w:t>
      </w:r>
    </w:p>
    <w:p>
      <w:pPr>
        <w:ind w:left="120"/>
        <w:spacing w:after="0" w:line="269" w:lineRule="auto"/>
        <w:rPr>
          <w:sz w:val="20"/>
          <w:szCs w:val="20"/>
          <w:color w:val="auto"/>
        </w:rPr>
      </w:pPr>
      <w:r>
        <w:rPr>
          <w:rFonts w:ascii="Arial" w:cs="Arial" w:eastAsia="Arial" w:hAnsi="Arial"/>
          <w:sz w:val="17"/>
          <w:szCs w:val="17"/>
          <w:color w:val="auto"/>
        </w:rPr>
        <w:t>its non-U.S. status, such as by furnishing a valid IRS Form W-8BEN, W-8BEN-E or W-8ECI, or otherwise establishes an exemption. However, information returns generally will be filed with the IRS in connection with any distributions on our Class A common stock paid to a Non-U.S. Holder, regardless of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0"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shares of our Class A common stock are held will affect the determination of whether such withholding is required. Similarly, certain payments in respect of our Class A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 Prospective investors should consult their tax advisors regarding the potential application of withholding under FATCA to their investment in our Class A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BofA Securities, Inc., Stifel, Nicolaus &amp; Company, Incorporated, Cantor Fitzgerald &amp; Co. and Canaccord Genuity LLC are acting as representatives of each of the underwriters named below. Subject to the terms and conditions set forth in an underwriting agreement among us, Rani LLC and the underwriters, we have agreed to sell to the underwriters, and each of the underwriters has agreed, severally and not jointly, to purchase from us, the number of shares of Class A common stock set forth opposite its name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580" w:type="dxa"/>
            <w:vAlign w:val="bottom"/>
            <w:gridSpan w:val="2"/>
          </w:tcPr>
          <w:p>
            <w:pPr>
              <w:jc w:val="center"/>
              <w:ind w:left="3808"/>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46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39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5974715"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5715</wp:posOffset>
            </wp:positionV>
            <wp:extent cx="56578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14605</wp:posOffset>
            </wp:positionV>
            <wp:extent cx="56578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578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31750</wp:posOffset>
            </wp:positionV>
            <wp:extent cx="5657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59"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and Rani LLC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000" w:type="dxa"/>
            <w:vAlign w:val="bottom"/>
            <w:gridSpan w:val="2"/>
          </w:tcPr>
          <w:p>
            <w:pPr>
              <w:ind w:left="1380"/>
              <w:spacing w:after="0"/>
              <w:rPr>
                <w:sz w:val="20"/>
                <w:szCs w:val="20"/>
                <w:color w:val="auto"/>
              </w:rPr>
            </w:pPr>
            <w:r>
              <w:rPr>
                <w:rFonts w:ascii="Arial" w:cs="Arial" w:eastAsia="Arial" w:hAnsi="Arial"/>
                <w:sz w:val="14"/>
                <w:szCs w:val="14"/>
                <w:b w:val="1"/>
                <w:bCs w:val="1"/>
                <w:color w:val="auto"/>
                <w:w w:val="91"/>
              </w:rPr>
              <w:t>Per Share</w:t>
            </w:r>
          </w:p>
        </w:tc>
        <w:tc>
          <w:tcPr>
            <w:tcW w:w="1940" w:type="dxa"/>
            <w:vAlign w:val="bottom"/>
            <w:gridSpan w:val="2"/>
          </w:tcPr>
          <w:p>
            <w:pPr>
              <w:ind w:left="940"/>
              <w:spacing w:after="0"/>
              <w:rPr>
                <w:sz w:val="20"/>
                <w:szCs w:val="20"/>
                <w:color w:val="auto"/>
              </w:rPr>
            </w:pPr>
            <w:r>
              <w:rPr>
                <w:rFonts w:ascii="Arial" w:cs="Arial" w:eastAsia="Arial" w:hAnsi="Arial"/>
                <w:sz w:val="14"/>
                <w:szCs w:val="14"/>
                <w:b w:val="1"/>
                <w:bCs w:val="1"/>
                <w:color w:val="auto"/>
                <w:w w:val="96"/>
              </w:rPr>
              <w:t>Without Option</w:t>
            </w:r>
          </w:p>
        </w:tc>
        <w:tc>
          <w:tcPr>
            <w:tcW w:w="1780" w:type="dxa"/>
            <w:vAlign w:val="bottom"/>
            <w:gridSpan w:val="3"/>
          </w:tcPr>
          <w:p>
            <w:pPr>
              <w:ind w:left="94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expenses of the offering, not including the underwriting discounts and commissions, payable by us are estimated to be approximately</w:t>
      </w:r>
    </w:p>
    <w:p>
      <w:pPr>
        <w:spacing w:after="0" w:line="46" w:lineRule="exact"/>
        <w:rPr>
          <w:sz w:val="20"/>
          <w:szCs w:val="20"/>
          <w:color w:val="auto"/>
        </w:rPr>
      </w:pPr>
    </w:p>
    <w:p>
      <w:pPr>
        <w:ind w:left="560" w:hanging="444"/>
        <w:spacing w:after="0"/>
        <w:tabs>
          <w:tab w:leader="none" w:pos="5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We have also agreed to reimburse the underwriters for certain of their expenses incurred in connection with, among others, the review and</w:t>
      </w:r>
    </w:p>
    <w:p>
      <w:pPr>
        <w:spacing w:after="0" w:line="32" w:lineRule="exact"/>
        <w:rPr>
          <w:sz w:val="20"/>
          <w:szCs w:val="20"/>
          <w:color w:val="auto"/>
        </w:rPr>
      </w:pPr>
    </w:p>
    <w:p>
      <w:pPr>
        <w:ind w:left="120"/>
        <w:spacing w:after="0"/>
        <w:tabs>
          <w:tab w:leader="none" w:pos="6660" w:val="left"/>
        </w:tabs>
        <w:rPr>
          <w:sz w:val="20"/>
          <w:szCs w:val="20"/>
          <w:color w:val="auto"/>
        </w:rPr>
      </w:pPr>
      <w:r>
        <w:rPr>
          <w:rFonts w:ascii="Arial" w:cs="Arial" w:eastAsia="Arial" w:hAnsi="Arial"/>
          <w:sz w:val="17"/>
          <w:szCs w:val="17"/>
          <w:color w:val="auto"/>
        </w:rPr>
        <w:t>clearance by the Financial Industry Regulatory Authority, Inc. in an amount of up to $</w:t>
      </w:r>
      <w:r>
        <w:rPr>
          <w:sz w:val="20"/>
          <w:szCs w:val="20"/>
          <w:color w:val="auto"/>
        </w:rPr>
        <w:tab/>
      </w:r>
      <w:r>
        <w:rPr>
          <w:rFonts w:ascii="Arial" w:cs="Arial" w:eastAsia="Arial" w:hAnsi="Arial"/>
          <w:sz w:val="13"/>
          <w:szCs w:val="13"/>
          <w:color w:val="auto"/>
        </w:rPr>
        <w:t>.</w:t>
      </w:r>
    </w:p>
    <w:p>
      <w:pPr>
        <w:spacing w:after="0" w:line="15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0920"/>
          </w:cols>
          <w:pgMar w:left="320" w:top="459" w:right="6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to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Rani LLC, our executive officers and directors and our other existing security holders have agreed not to sell or transfer any Class A common stock or Class B common stock or securities convertible into, exchangeable for, exercisable for, or repayable with Class A common stock or Class B common stock, for 180 days after the date of this prospectus without first obtaining the written consent of BofA Securities, Inc. and Stifel, Nicolaus &amp; Company, Incorporated. Specifically, we and these other persons have agreed, with certain limited exceptions, not to directly or indirectly:</w:t>
      </w:r>
    </w:p>
    <w:p>
      <w:pPr>
        <w:spacing w:after="0" w:line="184" w:lineRule="exact"/>
        <w:rPr>
          <w:sz w:val="20"/>
          <w:szCs w:val="20"/>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otherwise dispose of or transfer any Class A common stock or Class B common stock,</w:t>
      </w:r>
    </w:p>
    <w:p>
      <w:pPr>
        <w:spacing w:after="0" w:line="252"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Class A common stock or Class B common stock or file, cause to be filed or cause to be confidentially submitted any registration statement under the Securities Act related to the Class A common stock or Class B common stock, or</w:t>
      </w:r>
    </w:p>
    <w:p>
      <w:pPr>
        <w:spacing w:after="0" w:line="210"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directly or indirectly, the economic consequence of ownership of any Class A common stock or Class B common stock whether any such swap or transaction is to be settled by delivery of shares or other securities, in cash or otherwise.</w:t>
      </w:r>
    </w:p>
    <w:p>
      <w:pPr>
        <w:spacing w:after="0" w:line="184"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This lock-up provision applies to Class A common stock and Class B common stock and to securities convertible into or exchangeable or exercisable for or repayable with Class A common stock or Class B common stock. It also applies to Class A common stock or Class B common stock owned now or acquired later by the person executing the agreement or for which the person executing the agreement later acquires the power of disposition.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common stock. The initial public offering price will be determined through negotiations between us, Rani LLC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5480" w:right="1860" w:hanging="4379"/>
        <w:spacing w:after="0" w:line="449" w:lineRule="auto"/>
        <w:tabs>
          <w:tab w:leader="none" w:pos="141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 223</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Class A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including Rani LLC. They have received, or may in the future receive, customary fees and commissions for these transactions.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500" w:hanging="427"/>
        <w:spacing w:after="0" w:line="27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the Prospectus Regulation.</w:t>
      </w:r>
    </w:p>
    <w:p>
      <w:pPr>
        <w:spacing w:after="0" w:line="187"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5(l)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have been obtained to each such proposed offer or resale.</w:t>
      </w:r>
    </w:p>
    <w:p>
      <w:pPr>
        <w:spacing w:after="0" w:line="17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00" w:hanging="427"/>
        <w:spacing w:after="0" w:line="277"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 or</w:t>
      </w:r>
    </w:p>
    <w:p>
      <w:pPr>
        <w:spacing w:after="0" w:line="252" w:lineRule="exact"/>
        <w:rPr>
          <w:rFonts w:ascii="Arial" w:cs="Arial" w:eastAsia="Arial" w:hAnsi="Arial"/>
          <w:sz w:val="18"/>
          <w:szCs w:val="18"/>
          <w:color w:val="auto"/>
        </w:rPr>
      </w:pPr>
    </w:p>
    <w:p>
      <w:pPr>
        <w:jc w:val="both"/>
        <w:ind w:left="1420" w:right="160" w:hanging="427"/>
        <w:spacing w:after="0" w:line="342" w:lineRule="auto"/>
        <w:tabs>
          <w:tab w:leader="none" w:pos="142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provided that no such offer of shares shall require us or any underwriter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8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FINMA, and the offer of shares has not been and will not be authorized under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ASIC in relation to the offering. This prospectus does not constitute a prospectus, product disclosure statement or other disclosure document under the Corporations Act 2001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6"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w:t>
      </w:r>
    </w:p>
    <w:p>
      <w:pPr>
        <w:spacing w:after="0" w:line="4"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 Section 275(1A)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SFA,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80" w:hanging="319"/>
        <w:spacing w:after="0" w:line="342" w:lineRule="auto"/>
        <w:tabs>
          <w:tab w:leader="none" w:pos="14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420" w:right="940" w:hanging="319"/>
        <w:spacing w:after="0" w:line="277"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Cooley LLP, Palo Alto, California. Goodwin Procter LLP, Redwood City, California is acting as counsel for the underwriters.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financial statements of Rani Therapeutics Holdings, Inc. at April 19,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6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consolidated financial statements of Rani Therapeutics, LLC as of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https://www.ranitherapeutics.com/where these materials are available. Upon the closing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00"/>
          </w:cols>
          <w:pgMar w:left="320" w:top="459" w:right="479" w:bottom="1440" w:gutter="0" w:footer="0" w:header="0"/>
        </w:sectPr>
      </w:pPr>
    </w:p>
    <w:bookmarkStart w:id="236" w:name="page237"/>
    <w:bookmarkEnd w:id="236"/>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9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298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ACA</w:t>
            </w:r>
          </w:p>
        </w:tc>
        <w:tc>
          <w:tcPr>
            <w:tcW w:w="7980" w:type="dxa"/>
            <w:vAlign w:val="bottom"/>
          </w:tcPr>
          <w:p>
            <w:pPr>
              <w:ind w:left="440"/>
              <w:spacing w:after="0"/>
              <w:rPr>
                <w:sz w:val="20"/>
                <w:szCs w:val="20"/>
                <w:color w:val="auto"/>
              </w:rPr>
            </w:pPr>
            <w:r>
              <w:rPr>
                <w:rFonts w:ascii="Arial" w:cs="Arial" w:eastAsia="Arial" w:hAnsi="Arial"/>
                <w:sz w:val="18"/>
                <w:szCs w:val="18"/>
                <w:color w:val="auto"/>
                <w:w w:val="90"/>
              </w:rPr>
              <w:t>Patient Protection and Affordable Care Act, as amended by the Healthcare and Education Reconciliation</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80" w:type="dxa"/>
            <w:vAlign w:val="bottom"/>
          </w:tcPr>
          <w:p>
            <w:pPr>
              <w:ind w:left="440"/>
              <w:spacing w:after="0"/>
              <w:rPr>
                <w:sz w:val="20"/>
                <w:szCs w:val="20"/>
                <w:color w:val="auto"/>
              </w:rPr>
            </w:pPr>
            <w:r>
              <w:rPr>
                <w:rFonts w:ascii="Arial" w:cs="Arial" w:eastAsia="Arial" w:hAnsi="Arial"/>
                <w:sz w:val="18"/>
                <w:szCs w:val="18"/>
                <w:color w:val="auto"/>
              </w:rPr>
              <w:t>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API</w:t>
            </w:r>
          </w:p>
        </w:tc>
        <w:tc>
          <w:tcPr>
            <w:tcW w:w="7980" w:type="dxa"/>
            <w:vAlign w:val="bottom"/>
          </w:tcPr>
          <w:p>
            <w:pPr>
              <w:ind w:left="440"/>
              <w:spacing w:after="0"/>
              <w:rPr>
                <w:sz w:val="20"/>
                <w:szCs w:val="20"/>
                <w:color w:val="auto"/>
              </w:rPr>
            </w:pPr>
            <w:r>
              <w:rPr>
                <w:rFonts w:ascii="Arial" w:cs="Arial" w:eastAsia="Arial" w:hAnsi="Arial"/>
                <w:sz w:val="18"/>
                <w:szCs w:val="18"/>
                <w:color w:val="auto"/>
              </w:rPr>
              <w:t>Active Pharmaceutical Ingredient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ASIC</w:t>
            </w:r>
          </w:p>
        </w:tc>
        <w:tc>
          <w:tcPr>
            <w:tcW w:w="7980" w:type="dxa"/>
            <w:vAlign w:val="bottom"/>
          </w:tcPr>
          <w:p>
            <w:pPr>
              <w:ind w:left="440"/>
              <w:spacing w:after="0"/>
              <w:rPr>
                <w:sz w:val="20"/>
                <w:szCs w:val="20"/>
                <w:color w:val="auto"/>
              </w:rPr>
            </w:pPr>
            <w:r>
              <w:rPr>
                <w:rFonts w:ascii="Arial" w:cs="Arial" w:eastAsia="Arial" w:hAnsi="Arial"/>
                <w:sz w:val="18"/>
                <w:szCs w:val="18"/>
                <w:color w:val="auto"/>
              </w:rPr>
              <w:t>Australian Securities and Investments Commission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AUC</w:t>
            </w:r>
          </w:p>
        </w:tc>
        <w:tc>
          <w:tcPr>
            <w:tcW w:w="7980" w:type="dxa"/>
            <w:vAlign w:val="bottom"/>
          </w:tcPr>
          <w:p>
            <w:pPr>
              <w:ind w:left="440"/>
              <w:spacing w:after="0"/>
              <w:rPr>
                <w:sz w:val="20"/>
                <w:szCs w:val="20"/>
                <w:color w:val="auto"/>
              </w:rPr>
            </w:pPr>
            <w:r>
              <w:rPr>
                <w:rFonts w:ascii="Arial" w:cs="Arial" w:eastAsia="Arial" w:hAnsi="Arial"/>
                <w:sz w:val="18"/>
                <w:szCs w:val="18"/>
                <w:color w:val="auto"/>
              </w:rPr>
              <w:t>Area Under Curve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BLA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License Application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BPCIA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Price Competition and Innovation Act (2009)</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CBER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Biologics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CCPA</w:t>
            </w:r>
          </w:p>
        </w:tc>
        <w:tc>
          <w:tcPr>
            <w:tcW w:w="7980" w:type="dxa"/>
            <w:vAlign w:val="bottom"/>
          </w:tcPr>
          <w:p>
            <w:pPr>
              <w:ind w:left="440"/>
              <w:spacing w:after="0"/>
              <w:rPr>
                <w:sz w:val="20"/>
                <w:szCs w:val="20"/>
                <w:color w:val="auto"/>
              </w:rPr>
            </w:pPr>
            <w:r>
              <w:rPr>
                <w:rFonts w:ascii="Arial" w:cs="Arial" w:eastAsia="Arial" w:hAnsi="Arial"/>
                <w:sz w:val="18"/>
                <w:szCs w:val="18"/>
                <w:color w:val="auto"/>
              </w:rPr>
              <w:t>California Consumer Privacy Act of 2018</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CDC</w:t>
            </w:r>
          </w:p>
        </w:tc>
        <w:tc>
          <w:tcPr>
            <w:tcW w:w="7980" w:type="dxa"/>
            <w:vAlign w:val="bottom"/>
          </w:tcPr>
          <w:p>
            <w:pPr>
              <w:ind w:left="440"/>
              <w:spacing w:after="0"/>
              <w:rPr>
                <w:sz w:val="20"/>
                <w:szCs w:val="20"/>
                <w:color w:val="auto"/>
              </w:rPr>
            </w:pPr>
            <w:r>
              <w:rPr>
                <w:rFonts w:ascii="Arial" w:cs="Arial" w:eastAsia="Arial" w:hAnsi="Arial"/>
                <w:sz w:val="18"/>
                <w:szCs w:val="18"/>
                <w:color w:val="auto"/>
              </w:rPr>
              <w:t>U.S. Centers for Disease Control and Prevention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Drug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CDRH</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Device and Radiological Health</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cGCP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cGMP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Manufacturing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CISA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Federal Act on Collective Investment Schemes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Cmax</w:t>
            </w:r>
          </w:p>
        </w:tc>
        <w:tc>
          <w:tcPr>
            <w:tcW w:w="7980" w:type="dxa"/>
            <w:vAlign w:val="bottom"/>
          </w:tcPr>
          <w:p>
            <w:pPr>
              <w:ind w:left="440"/>
              <w:spacing w:after="0"/>
              <w:rPr>
                <w:sz w:val="20"/>
                <w:szCs w:val="20"/>
                <w:color w:val="auto"/>
              </w:rPr>
            </w:pPr>
            <w:r>
              <w:rPr>
                <w:rFonts w:ascii="Arial" w:cs="Arial" w:eastAsia="Arial" w:hAnsi="Arial"/>
                <w:sz w:val="18"/>
                <w:szCs w:val="18"/>
                <w:color w:val="auto"/>
              </w:rPr>
              <w:t>Maximal Concentration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CMS</w:t>
            </w:r>
          </w:p>
        </w:tc>
        <w:tc>
          <w:tcPr>
            <w:tcW w:w="7980" w:type="dxa"/>
            <w:vAlign w:val="bottom"/>
          </w:tcPr>
          <w:p>
            <w:pPr>
              <w:ind w:left="440"/>
              <w:spacing w:after="0"/>
              <w:rPr>
                <w:sz w:val="20"/>
                <w:szCs w:val="20"/>
                <w:color w:val="auto"/>
              </w:rPr>
            </w:pPr>
            <w:r>
              <w:rPr>
                <w:rFonts w:ascii="Arial" w:cs="Arial" w:eastAsia="Arial" w:hAnsi="Arial"/>
                <w:sz w:val="18"/>
                <w:szCs w:val="18"/>
                <w:color w:val="auto"/>
              </w:rPr>
              <w:t>Center for Medicare &amp; Medicaid Services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COVID-19</w:t>
            </w:r>
          </w:p>
        </w:tc>
        <w:tc>
          <w:tcPr>
            <w:tcW w:w="7980" w:type="dxa"/>
            <w:vAlign w:val="bottom"/>
          </w:tcPr>
          <w:p>
            <w:pPr>
              <w:ind w:left="440"/>
              <w:spacing w:after="0"/>
              <w:rPr>
                <w:sz w:val="20"/>
                <w:szCs w:val="20"/>
                <w:color w:val="auto"/>
              </w:rPr>
            </w:pPr>
            <w:r>
              <w:rPr>
                <w:rFonts w:ascii="Arial" w:cs="Arial" w:eastAsia="Arial" w:hAnsi="Arial"/>
                <w:sz w:val="18"/>
                <w:szCs w:val="18"/>
                <w:color w:val="auto"/>
              </w:rPr>
              <w:t>COVID-19 Pandemic</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CRO</w:t>
            </w:r>
          </w:p>
        </w:tc>
        <w:tc>
          <w:tcPr>
            <w:tcW w:w="7980" w:type="dxa"/>
            <w:vAlign w:val="bottom"/>
          </w:tcPr>
          <w:p>
            <w:pPr>
              <w:ind w:left="440"/>
              <w:spacing w:after="0"/>
              <w:rPr>
                <w:sz w:val="20"/>
                <w:szCs w:val="20"/>
                <w:color w:val="auto"/>
              </w:rPr>
            </w:pPr>
            <w:r>
              <w:rPr>
                <w:rFonts w:ascii="Arial" w:cs="Arial" w:eastAsia="Arial" w:hAnsi="Arial"/>
                <w:sz w:val="18"/>
                <w:szCs w:val="18"/>
                <w:color w:val="auto"/>
              </w:rPr>
              <w:t>Contract Research Organizations</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DFSA</w:t>
            </w:r>
          </w:p>
        </w:tc>
        <w:tc>
          <w:tcPr>
            <w:tcW w:w="7980" w:type="dxa"/>
            <w:vAlign w:val="bottom"/>
          </w:tcPr>
          <w:p>
            <w:pPr>
              <w:ind w:left="440"/>
              <w:spacing w:after="0"/>
              <w:rPr>
                <w:sz w:val="20"/>
                <w:szCs w:val="20"/>
                <w:color w:val="auto"/>
              </w:rPr>
            </w:pPr>
            <w:r>
              <w:rPr>
                <w:rFonts w:ascii="Arial" w:cs="Arial" w:eastAsia="Arial" w:hAnsi="Arial"/>
                <w:sz w:val="18"/>
                <w:szCs w:val="18"/>
                <w:color w:val="auto"/>
              </w:rPr>
              <w:t>Dubai Financial Services Authority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DGCL</w:t>
            </w:r>
          </w:p>
        </w:tc>
        <w:tc>
          <w:tcPr>
            <w:tcW w:w="7980" w:type="dxa"/>
            <w:vAlign w:val="bottom"/>
          </w:tcPr>
          <w:p>
            <w:pPr>
              <w:ind w:left="440"/>
              <w:spacing w:after="0"/>
              <w:rPr>
                <w:sz w:val="20"/>
                <w:szCs w:val="20"/>
                <w:color w:val="auto"/>
              </w:rPr>
            </w:pPr>
            <w:r>
              <w:rPr>
                <w:rFonts w:ascii="Arial" w:cs="Arial" w:eastAsia="Arial" w:hAnsi="Arial"/>
                <w:sz w:val="18"/>
                <w:szCs w:val="18"/>
                <w:color w:val="auto"/>
              </w:rPr>
              <w:t>Delaware General Corporation Law</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EMA</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Medicines Agency</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EPO</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Patent Office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FATCA</w:t>
            </w:r>
          </w:p>
        </w:tc>
        <w:tc>
          <w:tcPr>
            <w:tcW w:w="7980" w:type="dxa"/>
            <w:vAlign w:val="bottom"/>
          </w:tcPr>
          <w:p>
            <w:pPr>
              <w:ind w:left="440"/>
              <w:spacing w:after="0"/>
              <w:rPr>
                <w:sz w:val="20"/>
                <w:szCs w:val="20"/>
                <w:color w:val="auto"/>
              </w:rPr>
            </w:pPr>
            <w:r>
              <w:rPr>
                <w:rFonts w:ascii="Arial" w:cs="Arial" w:eastAsia="Arial" w:hAnsi="Arial"/>
                <w:sz w:val="18"/>
                <w:szCs w:val="18"/>
                <w:color w:val="auto"/>
              </w:rPr>
              <w:t>Foreign Account Tax Compliance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FCPA</w:t>
            </w:r>
          </w:p>
        </w:tc>
        <w:tc>
          <w:tcPr>
            <w:tcW w:w="7980" w:type="dxa"/>
            <w:vAlign w:val="bottom"/>
          </w:tcPr>
          <w:p>
            <w:pPr>
              <w:ind w:left="440"/>
              <w:spacing w:after="0"/>
              <w:rPr>
                <w:sz w:val="20"/>
                <w:szCs w:val="20"/>
                <w:color w:val="auto"/>
              </w:rPr>
            </w:pPr>
            <w:r>
              <w:rPr>
                <w:rFonts w:ascii="Arial" w:cs="Arial" w:eastAsia="Arial" w:hAnsi="Arial"/>
                <w:sz w:val="18"/>
                <w:szCs w:val="18"/>
                <w:color w:val="auto"/>
              </w:rPr>
              <w:t>U.S. Foreign Corrupt Practices Act</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FDA</w:t>
            </w:r>
          </w:p>
        </w:tc>
        <w:tc>
          <w:tcPr>
            <w:tcW w:w="7980" w:type="dxa"/>
            <w:vAlign w:val="bottom"/>
          </w:tcPr>
          <w:p>
            <w:pPr>
              <w:ind w:left="440"/>
              <w:spacing w:after="0"/>
              <w:rPr>
                <w:sz w:val="20"/>
                <w:szCs w:val="20"/>
                <w:color w:val="auto"/>
              </w:rPr>
            </w:pPr>
            <w:r>
              <w:rPr>
                <w:rFonts w:ascii="Arial" w:cs="Arial" w:eastAsia="Arial" w:hAnsi="Arial"/>
                <w:sz w:val="18"/>
                <w:szCs w:val="18"/>
                <w:color w:val="auto"/>
              </w:rPr>
              <w:t>United States Food and Drug Administration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FDCA</w:t>
            </w:r>
          </w:p>
        </w:tc>
        <w:tc>
          <w:tcPr>
            <w:tcW w:w="7980" w:type="dxa"/>
            <w:vAlign w:val="bottom"/>
          </w:tcPr>
          <w:p>
            <w:pPr>
              <w:ind w:left="440"/>
              <w:spacing w:after="0"/>
              <w:rPr>
                <w:sz w:val="20"/>
                <w:szCs w:val="20"/>
                <w:color w:val="auto"/>
              </w:rPr>
            </w:pPr>
            <w:r>
              <w:rPr>
                <w:rFonts w:ascii="Arial" w:cs="Arial" w:eastAsia="Arial" w:hAnsi="Arial"/>
                <w:sz w:val="18"/>
                <w:szCs w:val="18"/>
                <w:color w:val="auto"/>
              </w:rPr>
              <w:t>Federal Food, Drug and Cosmetic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FINMA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Financial Market Supervisory Authority</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FSMA</w:t>
            </w:r>
          </w:p>
        </w:tc>
        <w:tc>
          <w:tcPr>
            <w:tcW w:w="7980" w:type="dxa"/>
            <w:vAlign w:val="bottom"/>
          </w:tcPr>
          <w:p>
            <w:pPr>
              <w:ind w:left="440"/>
              <w:spacing w:after="0"/>
              <w:rPr>
                <w:sz w:val="20"/>
                <w:szCs w:val="20"/>
                <w:color w:val="auto"/>
              </w:rPr>
            </w:pPr>
            <w:r>
              <w:rPr>
                <w:rFonts w:ascii="Arial" w:cs="Arial" w:eastAsia="Arial" w:hAnsi="Arial"/>
                <w:sz w:val="18"/>
                <w:szCs w:val="18"/>
                <w:color w:val="auto"/>
              </w:rPr>
              <w:t>Financial Services and Markets Act 2000</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GAAP</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Accepted Accounting Principles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GCP</w:t>
            </w:r>
          </w:p>
        </w:tc>
        <w:tc>
          <w:tcPr>
            <w:tcW w:w="7980" w:type="dxa"/>
            <w:vAlign w:val="bottom"/>
          </w:tcPr>
          <w:p>
            <w:pPr>
              <w:ind w:left="440"/>
              <w:spacing w:after="0"/>
              <w:rPr>
                <w:sz w:val="20"/>
                <w:szCs w:val="20"/>
                <w:color w:val="auto"/>
              </w:rPr>
            </w:pPr>
            <w:r>
              <w:rPr>
                <w:rFonts w:ascii="Arial" w:cs="Arial" w:eastAsia="Arial" w:hAnsi="Arial"/>
                <w:sz w:val="18"/>
                <w:szCs w:val="18"/>
                <w:color w:val="auto"/>
              </w:rPr>
              <w:t>Good Clinical Practice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GDPR</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General Data Protection Regulation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GI</w:t>
            </w:r>
          </w:p>
        </w:tc>
        <w:tc>
          <w:tcPr>
            <w:tcW w:w="7980" w:type="dxa"/>
            <w:vAlign w:val="bottom"/>
          </w:tcPr>
          <w:p>
            <w:pPr>
              <w:ind w:left="440"/>
              <w:spacing w:after="0"/>
              <w:rPr>
                <w:sz w:val="20"/>
                <w:szCs w:val="20"/>
                <w:color w:val="auto"/>
              </w:rPr>
            </w:pPr>
            <w:r>
              <w:rPr>
                <w:rFonts w:ascii="Arial" w:cs="Arial" w:eastAsia="Arial" w:hAnsi="Arial"/>
                <w:sz w:val="18"/>
                <w:szCs w:val="18"/>
                <w:color w:val="auto"/>
              </w:rPr>
              <w:t>Gastrointestinal</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GLP</w:t>
            </w:r>
          </w:p>
        </w:tc>
        <w:tc>
          <w:tcPr>
            <w:tcW w:w="7980" w:type="dxa"/>
            <w:vAlign w:val="bottom"/>
          </w:tcPr>
          <w:p>
            <w:pPr>
              <w:ind w:left="440"/>
              <w:spacing w:after="0"/>
              <w:rPr>
                <w:sz w:val="20"/>
                <w:szCs w:val="20"/>
                <w:color w:val="auto"/>
              </w:rPr>
            </w:pPr>
            <w:r>
              <w:rPr>
                <w:rFonts w:ascii="Arial" w:cs="Arial" w:eastAsia="Arial" w:hAnsi="Arial"/>
                <w:sz w:val="18"/>
                <w:szCs w:val="18"/>
                <w:color w:val="auto"/>
              </w:rPr>
              <w:t>Glucagon-like Peptide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GRAS</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Regarded as Safe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hGH</w:t>
            </w:r>
          </w:p>
        </w:tc>
        <w:tc>
          <w:tcPr>
            <w:tcW w:w="7980" w:type="dxa"/>
            <w:vAlign w:val="bottom"/>
          </w:tcPr>
          <w:p>
            <w:pPr>
              <w:ind w:left="440"/>
              <w:spacing w:after="0"/>
              <w:rPr>
                <w:sz w:val="20"/>
                <w:szCs w:val="20"/>
                <w:color w:val="auto"/>
              </w:rPr>
            </w:pPr>
            <w:r>
              <w:rPr>
                <w:rFonts w:ascii="Arial" w:cs="Arial" w:eastAsia="Arial" w:hAnsi="Arial"/>
                <w:sz w:val="18"/>
                <w:szCs w:val="18"/>
                <w:color w:val="auto"/>
              </w:rPr>
              <w:t>Human Growth Hormone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HHS</w:t>
            </w:r>
          </w:p>
        </w:tc>
        <w:tc>
          <w:tcPr>
            <w:tcW w:w="7980" w:type="dxa"/>
            <w:vAlign w:val="bottom"/>
          </w:tcPr>
          <w:p>
            <w:pPr>
              <w:ind w:left="440"/>
              <w:spacing w:after="0"/>
              <w:rPr>
                <w:sz w:val="20"/>
                <w:szCs w:val="20"/>
                <w:color w:val="auto"/>
              </w:rPr>
            </w:pPr>
            <w:r>
              <w:rPr>
                <w:rFonts w:ascii="Arial" w:cs="Arial" w:eastAsia="Arial" w:hAnsi="Arial"/>
                <w:sz w:val="18"/>
                <w:szCs w:val="18"/>
                <w:color w:val="auto"/>
              </w:rPr>
              <w:t>The Department of Health and Human Services</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HIPAA</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Insurance Portability and Accountability Act of 1996</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HITECH</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Information Technology for Economic and Clinical Health Act of 2009</w:t>
            </w:r>
          </w:p>
        </w:tc>
      </w:tr>
      <w:tr>
        <w:trPr>
          <w:trHeight w:val="365"/>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3320"/>
              <w:spacing w:after="0"/>
              <w:rPr>
                <w:sz w:val="20"/>
                <w:szCs w:val="20"/>
                <w:color w:val="auto"/>
              </w:rPr>
            </w:pPr>
            <w:r>
              <w:rPr>
                <w:rFonts w:ascii="Arial" w:cs="Arial" w:eastAsia="Arial" w:hAnsi="Arial"/>
                <w:sz w:val="18"/>
                <w:szCs w:val="18"/>
                <w:color w:val="auto"/>
              </w:rPr>
              <w:t>232</w:t>
            </w:r>
          </w:p>
        </w:tc>
      </w:tr>
    </w:tbl>
    <w:p>
      <w:pPr>
        <w:ind w:left="3320"/>
        <w:spacing w:after="0"/>
        <w:rPr>
          <w:sz w:val="20"/>
          <w:szCs w:val="20"/>
          <w:color w:val="auto"/>
        </w:rPr>
        <w:sectPr>
          <w:pgSz w:w="11900" w:h="16838" w:orient="portrait"/>
          <w:cols w:equalWidth="0" w:num="1">
            <w:col w:w="10140"/>
          </w:cols>
          <w:pgMar w:left="320" w:top="446" w:right="1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7" w:name="page238"/>
    <w:bookmarkEnd w:id="2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01"/>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ICA</w:t>
            </w:r>
          </w:p>
        </w:tc>
        <w:tc>
          <w:tcPr>
            <w:tcW w:w="5060" w:type="dxa"/>
            <w:vAlign w:val="bottom"/>
          </w:tcPr>
          <w:p>
            <w:pPr>
              <w:ind w:left="460"/>
              <w:spacing w:after="0"/>
              <w:rPr>
                <w:sz w:val="20"/>
                <w:szCs w:val="20"/>
                <w:color w:val="auto"/>
              </w:rPr>
            </w:pPr>
            <w:r>
              <w:rPr>
                <w:rFonts w:ascii="Arial" w:cs="Arial" w:eastAsia="Arial" w:hAnsi="Arial"/>
                <w:sz w:val="18"/>
                <w:szCs w:val="18"/>
                <w:color w:val="auto"/>
                <w:w w:val="98"/>
              </w:rPr>
              <w:t>Investment Company Act of 1940, as amended—1940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ICL</w:t>
            </w:r>
          </w:p>
        </w:tc>
        <w:tc>
          <w:tcPr>
            <w:tcW w:w="5060" w:type="dxa"/>
            <w:vAlign w:val="bottom"/>
          </w:tcPr>
          <w:p>
            <w:pPr>
              <w:ind w:left="460"/>
              <w:spacing w:after="0"/>
              <w:rPr>
                <w:sz w:val="20"/>
                <w:szCs w:val="20"/>
                <w:color w:val="auto"/>
              </w:rPr>
            </w:pPr>
            <w:r>
              <w:rPr>
                <w:rFonts w:ascii="Arial" w:cs="Arial" w:eastAsia="Arial" w:hAnsi="Arial"/>
                <w:sz w:val="18"/>
                <w:szCs w:val="18"/>
                <w:color w:val="auto"/>
              </w:rPr>
              <w:t>InCube Labs, LLC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IDE</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Device Exemption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IDT</w:t>
            </w:r>
          </w:p>
        </w:tc>
        <w:tc>
          <w:tcPr>
            <w:tcW w:w="5060" w:type="dxa"/>
            <w:vAlign w:val="bottom"/>
          </w:tcPr>
          <w:p>
            <w:pPr>
              <w:ind w:left="460"/>
              <w:spacing w:after="0"/>
              <w:rPr>
                <w:sz w:val="20"/>
                <w:szCs w:val="20"/>
                <w:color w:val="auto"/>
              </w:rPr>
            </w:pPr>
            <w:r>
              <w:rPr>
                <w:rFonts w:ascii="Arial" w:cs="Arial" w:eastAsia="Arial" w:hAnsi="Arial"/>
                <w:sz w:val="18"/>
                <w:szCs w:val="18"/>
                <w:color w:val="auto"/>
              </w:rPr>
              <w:t>Intestinal Deployment Time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IJ</w:t>
            </w:r>
          </w:p>
        </w:tc>
        <w:tc>
          <w:tcPr>
            <w:tcW w:w="5060" w:type="dxa"/>
            <w:vAlign w:val="bottom"/>
          </w:tcPr>
          <w:p>
            <w:pPr>
              <w:ind w:left="460"/>
              <w:spacing w:after="0"/>
              <w:rPr>
                <w:sz w:val="20"/>
                <w:szCs w:val="20"/>
                <w:color w:val="auto"/>
              </w:rPr>
            </w:pPr>
            <w:r>
              <w:rPr>
                <w:rFonts w:ascii="Arial" w:cs="Arial" w:eastAsia="Arial" w:hAnsi="Arial"/>
                <w:sz w:val="18"/>
                <w:szCs w:val="18"/>
                <w:color w:val="auto"/>
              </w:rPr>
              <w:t>Intrajejunal</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IND</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IRB</w:t>
            </w:r>
          </w:p>
        </w:tc>
        <w:tc>
          <w:tcPr>
            <w:tcW w:w="5060" w:type="dxa"/>
            <w:vAlign w:val="bottom"/>
          </w:tcPr>
          <w:p>
            <w:pPr>
              <w:ind w:left="460"/>
              <w:spacing w:after="0"/>
              <w:rPr>
                <w:sz w:val="20"/>
                <w:szCs w:val="20"/>
                <w:color w:val="auto"/>
              </w:rPr>
            </w:pPr>
            <w:r>
              <w:rPr>
                <w:rFonts w:ascii="Arial" w:cs="Arial" w:eastAsia="Arial" w:hAnsi="Arial"/>
                <w:sz w:val="18"/>
                <w:szCs w:val="18"/>
                <w:color w:val="auto"/>
              </w:rPr>
              <w:t>Institutional Review Board</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IRS</w:t>
            </w:r>
          </w:p>
        </w:tc>
        <w:tc>
          <w:tcPr>
            <w:tcW w:w="5060" w:type="dxa"/>
            <w:vAlign w:val="bottom"/>
          </w:tcPr>
          <w:p>
            <w:pPr>
              <w:ind w:left="460"/>
              <w:spacing w:after="0"/>
              <w:rPr>
                <w:sz w:val="20"/>
                <w:szCs w:val="20"/>
                <w:color w:val="auto"/>
              </w:rPr>
            </w:pPr>
            <w:r>
              <w:rPr>
                <w:rFonts w:ascii="Arial" w:cs="Arial" w:eastAsia="Arial" w:hAnsi="Arial"/>
                <w:sz w:val="18"/>
                <w:szCs w:val="18"/>
                <w:color w:val="auto"/>
              </w:rPr>
              <w:t>Internal Revenue Service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IV</w:t>
            </w:r>
          </w:p>
        </w:tc>
        <w:tc>
          <w:tcPr>
            <w:tcW w:w="5060" w:type="dxa"/>
            <w:vAlign w:val="bottom"/>
          </w:tcPr>
          <w:p>
            <w:pPr>
              <w:ind w:left="460"/>
              <w:spacing w:after="0"/>
              <w:rPr>
                <w:sz w:val="20"/>
                <w:szCs w:val="20"/>
                <w:color w:val="auto"/>
              </w:rPr>
            </w:pPr>
            <w:r>
              <w:rPr>
                <w:rFonts w:ascii="Arial" w:cs="Arial" w:eastAsia="Arial" w:hAnsi="Arial"/>
                <w:sz w:val="18"/>
                <w:szCs w:val="18"/>
                <w:color w:val="auto"/>
              </w:rPr>
              <w:t>Intravenous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JOBS Act</w:t>
            </w:r>
          </w:p>
        </w:tc>
        <w:tc>
          <w:tcPr>
            <w:tcW w:w="5060" w:type="dxa"/>
            <w:vAlign w:val="bottom"/>
          </w:tcPr>
          <w:p>
            <w:pPr>
              <w:ind w:left="460"/>
              <w:spacing w:after="0"/>
              <w:rPr>
                <w:sz w:val="20"/>
                <w:szCs w:val="20"/>
                <w:color w:val="auto"/>
              </w:rPr>
            </w:pPr>
            <w:r>
              <w:rPr>
                <w:rFonts w:ascii="Arial" w:cs="Arial" w:eastAsia="Arial" w:hAnsi="Arial"/>
                <w:sz w:val="18"/>
                <w:szCs w:val="18"/>
                <w:color w:val="auto"/>
              </w:rPr>
              <w:t>Jumpstart our Business Startups Act of 2021</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JW</w:t>
            </w:r>
          </w:p>
        </w:tc>
        <w:tc>
          <w:tcPr>
            <w:tcW w:w="5060" w:type="dxa"/>
            <w:vAlign w:val="bottom"/>
          </w:tcPr>
          <w:p>
            <w:pPr>
              <w:ind w:left="460"/>
              <w:spacing w:after="0"/>
              <w:rPr>
                <w:sz w:val="20"/>
                <w:szCs w:val="20"/>
                <w:color w:val="auto"/>
              </w:rPr>
            </w:pPr>
            <w:r>
              <w:rPr>
                <w:rFonts w:ascii="Arial" w:cs="Arial" w:eastAsia="Arial" w:hAnsi="Arial"/>
                <w:sz w:val="18"/>
                <w:szCs w:val="18"/>
                <w:color w:val="auto"/>
              </w:rPr>
              <w:t>Jejunal Wall</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MFN</w:t>
            </w:r>
          </w:p>
        </w:tc>
        <w:tc>
          <w:tcPr>
            <w:tcW w:w="5060" w:type="dxa"/>
            <w:vAlign w:val="bottom"/>
          </w:tcPr>
          <w:p>
            <w:pPr>
              <w:ind w:left="460"/>
              <w:spacing w:after="0"/>
              <w:rPr>
                <w:sz w:val="20"/>
                <w:szCs w:val="20"/>
                <w:color w:val="auto"/>
              </w:rPr>
            </w:pPr>
            <w:r>
              <w:rPr>
                <w:rFonts w:ascii="Arial" w:cs="Arial" w:eastAsia="Arial" w:hAnsi="Arial"/>
                <w:sz w:val="18"/>
                <w:szCs w:val="18"/>
                <w:color w:val="auto"/>
              </w:rPr>
              <w:t>Most-Favored Nation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Nasdaq</w:t>
            </w:r>
          </w:p>
        </w:tc>
        <w:tc>
          <w:tcPr>
            <w:tcW w:w="5060" w:type="dxa"/>
            <w:vAlign w:val="bottom"/>
          </w:tcPr>
          <w:p>
            <w:pPr>
              <w:ind w:left="460"/>
              <w:spacing w:after="0"/>
              <w:rPr>
                <w:sz w:val="20"/>
                <w:szCs w:val="20"/>
                <w:color w:val="auto"/>
              </w:rPr>
            </w:pPr>
            <w:r>
              <w:rPr>
                <w:rFonts w:ascii="Arial" w:cs="Arial" w:eastAsia="Arial" w:hAnsi="Arial"/>
                <w:sz w:val="18"/>
                <w:szCs w:val="18"/>
                <w:color w:val="auto"/>
              </w:rPr>
              <w:t>Nasdaq Stock Market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NDA</w:t>
            </w:r>
          </w:p>
        </w:tc>
        <w:tc>
          <w:tcPr>
            <w:tcW w:w="5060" w:type="dxa"/>
            <w:vAlign w:val="bottom"/>
          </w:tcPr>
          <w:p>
            <w:pPr>
              <w:ind w:left="460"/>
              <w:spacing w:after="0"/>
              <w:rPr>
                <w:sz w:val="20"/>
                <w:szCs w:val="20"/>
                <w:color w:val="auto"/>
              </w:rPr>
            </w:pPr>
            <w:r>
              <w:rPr>
                <w:rFonts w:ascii="Arial" w:cs="Arial" w:eastAsia="Arial" w:hAnsi="Arial"/>
                <w:sz w:val="18"/>
                <w:szCs w:val="18"/>
                <w:color w:val="auto"/>
              </w:rPr>
              <w:t>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NET</w:t>
            </w:r>
          </w:p>
        </w:tc>
        <w:tc>
          <w:tcPr>
            <w:tcW w:w="5060" w:type="dxa"/>
            <w:vAlign w:val="bottom"/>
          </w:tcPr>
          <w:p>
            <w:pPr>
              <w:ind w:left="460"/>
              <w:spacing w:after="0"/>
              <w:rPr>
                <w:sz w:val="20"/>
                <w:szCs w:val="20"/>
                <w:color w:val="auto"/>
              </w:rPr>
            </w:pPr>
            <w:r>
              <w:rPr>
                <w:rFonts w:ascii="Arial" w:cs="Arial" w:eastAsia="Arial" w:hAnsi="Arial"/>
                <w:sz w:val="18"/>
                <w:szCs w:val="18"/>
                <w:color w:val="auto"/>
              </w:rPr>
              <w:t>Neuroendocrine Tumors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OCP</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Combination Products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OIG</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Inspector General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OP</w:t>
            </w:r>
          </w:p>
        </w:tc>
        <w:tc>
          <w:tcPr>
            <w:tcW w:w="5060" w:type="dxa"/>
            <w:vAlign w:val="bottom"/>
          </w:tcPr>
          <w:p>
            <w:pPr>
              <w:ind w:left="460"/>
              <w:spacing w:after="0"/>
              <w:rPr>
                <w:sz w:val="20"/>
                <w:szCs w:val="20"/>
                <w:color w:val="auto"/>
              </w:rPr>
            </w:pPr>
            <w:r>
              <w:rPr>
                <w:rFonts w:ascii="Arial" w:cs="Arial" w:eastAsia="Arial" w:hAnsi="Arial"/>
                <w:sz w:val="18"/>
                <w:szCs w:val="18"/>
                <w:color w:val="auto"/>
              </w:rPr>
              <w:t>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PD</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Pharmacodynamic</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PHSA</w:t>
            </w:r>
          </w:p>
        </w:tc>
        <w:tc>
          <w:tcPr>
            <w:tcW w:w="5060" w:type="dxa"/>
            <w:vAlign w:val="bottom"/>
          </w:tcPr>
          <w:p>
            <w:pPr>
              <w:ind w:left="460"/>
              <w:spacing w:after="0"/>
              <w:rPr>
                <w:sz w:val="20"/>
                <w:szCs w:val="20"/>
                <w:color w:val="auto"/>
              </w:rPr>
            </w:pPr>
            <w:r>
              <w:rPr>
                <w:rFonts w:ascii="Arial" w:cs="Arial" w:eastAsia="Arial" w:hAnsi="Arial"/>
                <w:sz w:val="18"/>
                <w:szCs w:val="18"/>
                <w:color w:val="auto"/>
              </w:rPr>
              <w:t>Public Health Service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PK</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Pharmacokinetic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PTH-Hypo</w:t>
            </w:r>
          </w:p>
        </w:tc>
        <w:tc>
          <w:tcPr>
            <w:tcW w:w="5060" w:type="dxa"/>
            <w:vAlign w:val="bottom"/>
          </w:tcPr>
          <w:p>
            <w:pPr>
              <w:ind w:left="460"/>
              <w:spacing w:after="0"/>
              <w:rPr>
                <w:sz w:val="20"/>
                <w:szCs w:val="20"/>
                <w:color w:val="auto"/>
              </w:rPr>
            </w:pPr>
            <w:r>
              <w:rPr>
                <w:rFonts w:ascii="Arial" w:cs="Arial" w:eastAsia="Arial" w:hAnsi="Arial"/>
                <w:sz w:val="18"/>
                <w:szCs w:val="18"/>
                <w:color w:val="auto"/>
                <w:w w:val="91"/>
              </w:rPr>
              <w:t>Parathyroid Hormone for the Treatment of Hypoparathyroidism</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PTH-OP</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 for the Treatment of Osteoporosis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QSRs</w:t>
            </w:r>
          </w:p>
        </w:tc>
        <w:tc>
          <w:tcPr>
            <w:tcW w:w="5060" w:type="dxa"/>
            <w:vAlign w:val="bottom"/>
          </w:tcPr>
          <w:p>
            <w:pPr>
              <w:ind w:left="460"/>
              <w:spacing w:after="0"/>
              <w:rPr>
                <w:sz w:val="20"/>
                <w:szCs w:val="20"/>
                <w:color w:val="auto"/>
              </w:rPr>
            </w:pPr>
            <w:r>
              <w:rPr>
                <w:rFonts w:ascii="Arial" w:cs="Arial" w:eastAsia="Arial" w:hAnsi="Arial"/>
                <w:sz w:val="18"/>
                <w:szCs w:val="18"/>
                <w:color w:val="auto"/>
              </w:rPr>
              <w:t>Quality System Regulations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RA</w:t>
            </w:r>
          </w:p>
        </w:tc>
        <w:tc>
          <w:tcPr>
            <w:tcW w:w="5060" w:type="dxa"/>
            <w:vAlign w:val="bottom"/>
          </w:tcPr>
          <w:p>
            <w:pPr>
              <w:ind w:left="460"/>
              <w:spacing w:after="0"/>
              <w:rPr>
                <w:sz w:val="20"/>
                <w:szCs w:val="20"/>
                <w:color w:val="auto"/>
              </w:rPr>
            </w:pPr>
            <w:r>
              <w:rPr>
                <w:rFonts w:ascii="Arial" w:cs="Arial" w:eastAsia="Arial" w:hAnsi="Arial"/>
                <w:sz w:val="18"/>
                <w:szCs w:val="18"/>
                <w:color w:val="auto"/>
              </w:rPr>
              <w:t>Rheumatoid Arthritis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REMS</w:t>
            </w:r>
          </w:p>
        </w:tc>
        <w:tc>
          <w:tcPr>
            <w:tcW w:w="5060" w:type="dxa"/>
            <w:vAlign w:val="bottom"/>
          </w:tcPr>
          <w:p>
            <w:pPr>
              <w:ind w:left="460"/>
              <w:spacing w:after="0"/>
              <w:rPr>
                <w:sz w:val="20"/>
                <w:szCs w:val="20"/>
                <w:color w:val="auto"/>
              </w:rPr>
            </w:pPr>
            <w:r>
              <w:rPr>
                <w:rFonts w:ascii="Arial" w:cs="Arial" w:eastAsia="Arial" w:hAnsi="Arial"/>
                <w:sz w:val="18"/>
                <w:szCs w:val="18"/>
                <w:color w:val="auto"/>
              </w:rPr>
              <w:t>Risk Evaluation and Mitigation Strategy</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SC</w:t>
            </w:r>
          </w:p>
        </w:tc>
        <w:tc>
          <w:tcPr>
            <w:tcW w:w="5060" w:type="dxa"/>
            <w:vAlign w:val="bottom"/>
          </w:tcPr>
          <w:p>
            <w:pPr>
              <w:ind w:left="460"/>
              <w:spacing w:after="0"/>
              <w:rPr>
                <w:sz w:val="20"/>
                <w:szCs w:val="20"/>
                <w:color w:val="auto"/>
              </w:rPr>
            </w:pPr>
            <w:r>
              <w:rPr>
                <w:rFonts w:ascii="Arial" w:cs="Arial" w:eastAsia="Arial" w:hAnsi="Arial"/>
                <w:sz w:val="18"/>
                <w:szCs w:val="18"/>
                <w:color w:val="auto"/>
              </w:rPr>
              <w:t>Subcutaneous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SEC</w:t>
            </w:r>
          </w:p>
        </w:tc>
        <w:tc>
          <w:tcPr>
            <w:tcW w:w="5060" w:type="dxa"/>
            <w:vAlign w:val="bottom"/>
          </w:tcPr>
          <w:p>
            <w:pPr>
              <w:ind w:left="460"/>
              <w:spacing w:after="0"/>
              <w:rPr>
                <w:sz w:val="20"/>
                <w:szCs w:val="20"/>
                <w:color w:val="auto"/>
              </w:rPr>
            </w:pPr>
            <w:r>
              <w:rPr>
                <w:rFonts w:ascii="Arial" w:cs="Arial" w:eastAsia="Arial" w:hAnsi="Arial"/>
                <w:sz w:val="18"/>
                <w:szCs w:val="18"/>
                <w:color w:val="auto"/>
              </w:rPr>
              <w:t>Securities and Exchange Commission</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SFA</w:t>
            </w:r>
          </w:p>
        </w:tc>
        <w:tc>
          <w:tcPr>
            <w:tcW w:w="5060" w:type="dxa"/>
            <w:vAlign w:val="bottom"/>
          </w:tcPr>
          <w:p>
            <w:pPr>
              <w:ind w:left="460"/>
              <w:spacing w:after="0"/>
              <w:rPr>
                <w:sz w:val="20"/>
                <w:szCs w:val="20"/>
                <w:color w:val="auto"/>
              </w:rPr>
            </w:pPr>
            <w:r>
              <w:rPr>
                <w:rFonts w:ascii="Arial" w:cs="Arial" w:eastAsia="Arial" w:hAnsi="Arial"/>
                <w:sz w:val="18"/>
                <w:szCs w:val="18"/>
                <w:color w:val="auto"/>
              </w:rPr>
              <w:t>U.S. Securities and Futures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SIX</w:t>
            </w:r>
          </w:p>
        </w:tc>
        <w:tc>
          <w:tcPr>
            <w:tcW w:w="5060" w:type="dxa"/>
            <w:vAlign w:val="bottom"/>
          </w:tcPr>
          <w:p>
            <w:pPr>
              <w:ind w:left="460"/>
              <w:spacing w:after="0"/>
              <w:rPr>
                <w:sz w:val="20"/>
                <w:szCs w:val="20"/>
                <w:color w:val="auto"/>
              </w:rPr>
            </w:pPr>
            <w:r>
              <w:rPr>
                <w:rFonts w:ascii="Arial" w:cs="Arial" w:eastAsia="Arial" w:hAnsi="Arial"/>
                <w:sz w:val="18"/>
                <w:szCs w:val="18"/>
                <w:color w:val="auto"/>
              </w:rPr>
              <w:t>SIX Swiss Exchange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Tmax</w:t>
            </w:r>
          </w:p>
        </w:tc>
        <w:tc>
          <w:tcPr>
            <w:tcW w:w="5060" w:type="dxa"/>
            <w:vAlign w:val="bottom"/>
          </w:tcPr>
          <w:p>
            <w:pPr>
              <w:ind w:left="460"/>
              <w:spacing w:after="0"/>
              <w:rPr>
                <w:sz w:val="20"/>
                <w:szCs w:val="20"/>
                <w:color w:val="auto"/>
              </w:rPr>
            </w:pPr>
            <w:r>
              <w:rPr>
                <w:rFonts w:ascii="Arial" w:cs="Arial" w:eastAsia="Arial" w:hAnsi="Arial"/>
                <w:sz w:val="18"/>
                <w:szCs w:val="18"/>
                <w:color w:val="auto"/>
              </w:rPr>
              <w:t>Time To Maximum Concentration</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USPTO</w:t>
            </w:r>
          </w:p>
        </w:tc>
        <w:tc>
          <w:tcPr>
            <w:tcW w:w="5060" w:type="dxa"/>
            <w:vAlign w:val="bottom"/>
          </w:tcPr>
          <w:p>
            <w:pPr>
              <w:ind w:left="460"/>
              <w:spacing w:after="0"/>
              <w:rPr>
                <w:sz w:val="20"/>
                <w:szCs w:val="20"/>
                <w:color w:val="auto"/>
              </w:rPr>
            </w:pPr>
            <w:r>
              <w:rPr>
                <w:rFonts w:ascii="Arial" w:cs="Arial" w:eastAsia="Arial" w:hAnsi="Arial"/>
                <w:sz w:val="18"/>
                <w:szCs w:val="18"/>
                <w:color w:val="auto"/>
              </w:rPr>
              <w:t>U.S. Patent Trademark Office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USRPHC</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Holding Corporation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USRPI</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Interest</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WBCT</w:t>
            </w:r>
          </w:p>
        </w:tc>
        <w:tc>
          <w:tcPr>
            <w:tcW w:w="5060" w:type="dxa"/>
            <w:vAlign w:val="bottom"/>
          </w:tcPr>
          <w:p>
            <w:pPr>
              <w:ind w:left="460"/>
              <w:spacing w:after="0"/>
              <w:rPr>
                <w:sz w:val="20"/>
                <w:szCs w:val="20"/>
                <w:color w:val="auto"/>
              </w:rPr>
            </w:pPr>
            <w:r>
              <w:rPr>
                <w:rFonts w:ascii="Arial" w:cs="Arial" w:eastAsia="Arial" w:hAnsi="Arial"/>
                <w:sz w:val="18"/>
                <w:szCs w:val="18"/>
                <w:color w:val="auto"/>
              </w:rPr>
              <w:t>Whole Blood Clotting Time</w:t>
            </w:r>
          </w:p>
        </w:tc>
      </w:tr>
      <w:tr>
        <w:trPr>
          <w:trHeight w:val="364"/>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tcPr>
          <w:p>
            <w:pPr>
              <w:ind w:left="3340"/>
              <w:spacing w:after="0"/>
              <w:rPr>
                <w:sz w:val="20"/>
                <w:szCs w:val="20"/>
                <w:color w:val="auto"/>
              </w:rPr>
            </w:pPr>
            <w:r>
              <w:rPr>
                <w:rFonts w:ascii="Arial" w:cs="Arial" w:eastAsia="Arial" w:hAnsi="Arial"/>
                <w:sz w:val="18"/>
                <w:szCs w:val="18"/>
                <w:color w:val="auto"/>
              </w:rPr>
              <w:t>233</w:t>
            </w:r>
          </w:p>
        </w:tc>
      </w:tr>
    </w:tbl>
    <w:p>
      <w:pPr>
        <w:ind w:left="334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8" w:name="page239"/>
    <w:bookmarkEnd w:id="238"/>
    <w:tbl>
      <w:tblPr>
        <w:tblLayout w:type="fixed"/>
        <w:tblInd w:w="0" w:type="dxa"/>
        <w:tblCellMar>
          <w:top w:w="0" w:type="dxa"/>
          <w:left w:w="0" w:type="dxa"/>
          <w:bottom w:w="0" w:type="dxa"/>
          <w:right w:w="0" w:type="dxa"/>
        </w:tblCellMar>
      </w:tblPr>
      <w:tr>
        <w:trPr>
          <w:trHeight w:val="207"/>
        </w:trPr>
        <w:tc>
          <w:tcPr>
            <w:tcW w:w="936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00" w:type="dxa"/>
            <w:vAlign w:val="bottom"/>
            <w:gridSpan w:val="5"/>
          </w:tcPr>
          <w:p>
            <w:pPr>
              <w:jc w:val="center"/>
              <w:ind w:right="1380"/>
              <w:spacing w:after="0"/>
              <w:rPr>
                <w:sz w:val="20"/>
                <w:szCs w:val="20"/>
                <w:color w:val="auto"/>
              </w:rPr>
            </w:pPr>
            <w:r>
              <w:rPr>
                <w:rFonts w:ascii="Arial" w:cs="Arial" w:eastAsia="Arial" w:hAnsi="Arial"/>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EE"/>
              </w:rPr>
              <w:t>RANI THERAPEUTICS HOLDINGS, INC.</w:t>
            </w:r>
          </w:p>
        </w:tc>
        <w:tc>
          <w:tcPr>
            <w:tcW w:w="17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40">
              <w:r>
                <w:rPr>
                  <w:rFonts w:ascii="Arial" w:cs="Arial" w:eastAsia="Arial" w:hAnsi="Arial"/>
                  <w:sz w:val="18"/>
                  <w:szCs w:val="18"/>
                  <w:color w:val="0000EE"/>
                  <w:w w:val="91"/>
                </w:rPr>
                <w:t>Report of Independent Registered Public Accounting Firm</w:t>
              </w:r>
            </w:hyperlink>
          </w:p>
        </w:tc>
        <w:tc>
          <w:tcPr>
            <w:tcW w:w="5020" w:type="dxa"/>
            <w:vAlign w:val="bottom"/>
            <w:gridSpan w:val="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Balance Sheet</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Notes to Financial Statements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240" w:type="dxa"/>
            <w:vAlign w:val="bottom"/>
            <w:gridSpan w:val="11"/>
          </w:tcPr>
          <w:p>
            <w:pPr>
              <w:spacing w:after="0"/>
              <w:rPr>
                <w:sz w:val="20"/>
                <w:szCs w:val="20"/>
                <w:color w:val="auto"/>
              </w:rPr>
            </w:pPr>
            <w:r>
              <w:rPr>
                <w:rFonts w:ascii="Arial" w:cs="Arial" w:eastAsia="Arial" w:hAnsi="Arial"/>
                <w:sz w:val="18"/>
                <w:szCs w:val="18"/>
                <w:b w:val="1"/>
                <w:bCs w:val="1"/>
                <w:color w:val="0000EE"/>
              </w:rPr>
              <w:t>RANI THERAPEUTICS, LLC</w:t>
            </w:r>
          </w:p>
        </w:tc>
        <w:tc>
          <w:tcPr>
            <w:tcW w:w="17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243">
              <w:r>
                <w:rPr>
                  <w:rFonts w:ascii="Arial" w:cs="Arial" w:eastAsia="Arial" w:hAnsi="Arial"/>
                  <w:sz w:val="18"/>
                  <w:szCs w:val="18"/>
                  <w:color w:val="0000EE"/>
                  <w:w w:val="91"/>
                </w:rPr>
                <w:t>Report of Independent Registered Public Accounting Firm</w:t>
              </w:r>
            </w:hyperlink>
          </w:p>
        </w:tc>
        <w:tc>
          <w:tcPr>
            <w:tcW w:w="5020" w:type="dxa"/>
            <w:vAlign w:val="bottom"/>
            <w:gridSpan w:val="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244">
              <w:r>
                <w:rPr>
                  <w:rFonts w:ascii="Arial" w:cs="Arial" w:eastAsia="Arial" w:hAnsi="Arial"/>
                  <w:sz w:val="18"/>
                  <w:szCs w:val="18"/>
                  <w:color w:val="0000EE"/>
                </w:rPr>
                <w:t>Consolidated Balance Sheets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45">
              <w:r>
                <w:rPr>
                  <w:rFonts w:ascii="Arial" w:cs="Arial" w:eastAsia="Arial" w:hAnsi="Arial"/>
                  <w:sz w:val="18"/>
                  <w:szCs w:val="18"/>
                  <w:color w:val="0000EE"/>
                  <w:w w:val="89"/>
                </w:rPr>
                <w:t>Consolidated Statements of Operations and Comprehensive Loss</w:t>
              </w:r>
            </w:hyperlink>
          </w:p>
        </w:tc>
        <w:tc>
          <w:tcPr>
            <w:tcW w:w="4560" w:type="dxa"/>
            <w:vAlign w:val="bottom"/>
            <w:gridSpan w:val="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246">
              <w:r>
                <w:rPr>
                  <w:rFonts w:ascii="Arial" w:cs="Arial" w:eastAsia="Arial" w:hAnsi="Arial"/>
                  <w:sz w:val="18"/>
                  <w:szCs w:val="18"/>
                  <w:color w:val="0000EE"/>
                </w:rPr>
                <w:t>Consolidated Statements of Changes in Convertible Preferred Units and Members’ Deficit</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6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47">
              <w:r>
                <w:rPr>
                  <w:rFonts w:ascii="Arial" w:cs="Arial" w:eastAsia="Arial" w:hAnsi="Arial"/>
                  <w:sz w:val="18"/>
                  <w:szCs w:val="18"/>
                  <w:color w:val="0000EE"/>
                </w:rPr>
                <w:t>Consolidated Statements of Cash Flows</w:t>
              </w:r>
            </w:hyperlink>
          </w:p>
        </w:tc>
        <w:tc>
          <w:tcPr>
            <w:tcW w:w="276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20"/>
        </w:trPr>
        <w:tc>
          <w:tcPr>
            <w:tcW w:w="120" w:type="dxa"/>
            <w:vAlign w:val="bottom"/>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0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240" w:type="dxa"/>
            <w:vAlign w:val="bottom"/>
            <w:gridSpan w:val="11"/>
          </w:tcPr>
          <w:p>
            <w:pPr>
              <w:spacing w:after="0" w:line="196" w:lineRule="exact"/>
              <w:rPr>
                <w:rFonts w:ascii="Arial" w:cs="Arial" w:eastAsia="Arial" w:hAnsi="Arial"/>
                <w:sz w:val="18"/>
                <w:szCs w:val="18"/>
                <w:color w:val="0000EE"/>
              </w:rPr>
            </w:pPr>
            <w:hyperlink w:anchor="page248">
              <w:r>
                <w:rPr>
                  <w:rFonts w:ascii="Arial" w:cs="Arial" w:eastAsia="Arial" w:hAnsi="Arial"/>
                  <w:sz w:val="18"/>
                  <w:szCs w:val="18"/>
                  <w:color w:val="0000EE"/>
                </w:rPr>
                <w:t>Notes to Consolidated Financial Statements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385"/>
        </w:trPr>
        <w:tc>
          <w:tcPr>
            <w:tcW w:w="1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560" w:type="dxa"/>
            <w:vAlign w:val="bottom"/>
            <w:gridSpan w:val="2"/>
          </w:tcPr>
          <w:p>
            <w:pPr>
              <w:jc w:val="center"/>
              <w:ind w:right="2920"/>
              <w:spacing w:after="0"/>
              <w:rPr>
                <w:sz w:val="20"/>
                <w:szCs w:val="20"/>
                <w:color w:val="auto"/>
              </w:rPr>
            </w:pPr>
            <w:r>
              <w:rPr>
                <w:rFonts w:ascii="Arial" w:cs="Arial" w:eastAsia="Arial" w:hAnsi="Arial"/>
                <w:sz w:val="18"/>
                <w:szCs w:val="18"/>
                <w:color w:val="auto"/>
                <w:w w:val="88"/>
              </w:rPr>
              <w:t>F-1</w:t>
            </w:r>
          </w:p>
        </w:tc>
        <w:tc>
          <w:tcPr>
            <w:tcW w:w="1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 of Rani Therapeutics Holdings,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120" w:right="120" w:firstLine="881"/>
        <w:spacing w:after="0" w:line="286" w:lineRule="auto"/>
        <w:rPr>
          <w:sz w:val="20"/>
          <w:szCs w:val="20"/>
          <w:color w:val="auto"/>
        </w:rPr>
      </w:pPr>
      <w:r>
        <w:rPr>
          <w:rFonts w:ascii="Arial" w:cs="Arial" w:eastAsia="Arial" w:hAnsi="Arial"/>
          <w:sz w:val="17"/>
          <w:szCs w:val="17"/>
          <w:color w:val="auto"/>
        </w:rPr>
        <w:t>We have audited the accompanying balance sheet of Rani Therapeutics Holdings, Inc. (the Company) as of April 19, 2021 and the related notes (collectively referred to as the “financial statements”). In our opinion, the financial statements present fairly, in all material respects, the financial position of the Company at April 19, 2021 in conformity with U.S. generally accepted accounting principles.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2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20"/>
          </w:cols>
          <w:pgMar w:left="320" w:top="459" w:right="45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rPr>
              <w:t>RANI THERAPEUTICS HOLDINGS, INC.</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As of April 19, 2021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Common stock, $0.0001 par value per share, 1,000 shares authorized, issued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Rani Therapeutics Holdings, Inc. (the “Company”) was formed as a Delaware corporation on April 6, 2021. The Company was formed for the purpose of completing a public offering and related transactions in order to carry on the business of Rani Therapeutics, LLC and its subsidiary (“Rani LLC”). As the manager of Rani LLC, the Company is expected to operate and control all of the business and affairs of Rani LLC, and through Rani LLC, continue to conduct the business now conducted by these subsidiaries.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Accounting</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financial statement has been prepared in accordance with accounting principles generally accepted in the United States of America (“GAAP”). Separate statements of operations, comprehensive income, changes in stockholder’s equity, and cash flows have not been presented because there have been no activities in this entity as of April 19, 2021.</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These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consists of a deposit in-transit.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Common Stock</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On April 6, 2021, the Company was authorized to issue 1,000 shares of common stock, par value $0.0001 per share, all of which have been issued or are outstanding. On the balance sheet date, the Company issued 1,000 shares at a purchase price of $0.01 per share for aggregate gross proceeds of $10.00 to Rani LLC. As of the balance sheet date, the Company had outstanding 1,000 shares all of which were owned by Rani LLC.</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has evaluated subsequent events through April 26, 2021, the date these financial statements were available to be issued. The Company has concluded that no subsequent event has occurred that requires disclosure.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Managers of Rani Therapeutics,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have audited the accompanying consolidated balance sheets of Rani Therapeutics, LLC (the Company) as of December 31, 2019 and 2020, the related consolidated statements of operations and comprehensive loss, changes in convertible preferred units and member’s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the years then ended in conformity with U.S. generally accepted accounting principles.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related party notes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notes receivable,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4"/>
        </w:trPr>
        <w:tc>
          <w:tcPr>
            <w:tcW w:w="87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60" w:type="dxa"/>
            <w:vAlign w:val="bottom"/>
          </w:tcPr>
          <w:p>
            <w:pPr>
              <w:spacing w:after="0"/>
              <w:rPr>
                <w:sz w:val="20"/>
                <w:szCs w:val="20"/>
                <w:color w:val="auto"/>
              </w:rPr>
            </w:pPr>
            <w:r>
              <w:rPr>
                <w:rFonts w:ascii="Arial" w:cs="Arial" w:eastAsia="Arial" w:hAnsi="Arial"/>
                <w:sz w:val="18"/>
                <w:szCs w:val="18"/>
                <w:color w:val="auto"/>
                <w:w w:val="93"/>
              </w:rPr>
              <w:t>Convertible preferred units, 21,605,000 and 32,620,000 units authorized, and 17,084,696 and 26,745,528 units issued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2020,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184,714</w:t>
            </w:r>
          </w:p>
        </w:tc>
        <w:tc>
          <w:tcPr>
            <w:tcW w:w="0" w:type="dxa"/>
            <w:vAlign w:val="bottom"/>
          </w:tcPr>
          <w:p>
            <w:pPr>
              <w:spacing w:after="0"/>
              <w:rPr>
                <w:sz w:val="1"/>
                <w:szCs w:val="1"/>
                <w:color w:val="auto"/>
              </w:rPr>
            </w:pPr>
          </w:p>
        </w:tc>
      </w:tr>
      <w:tr>
        <w:trPr>
          <w:trHeight w:val="108"/>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6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90,000,000 and 101,000,000 units authorized, and 46,890,280 units issued and outstanding at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540"/>
              <w:spacing w:after="0"/>
              <w:rPr>
                <w:sz w:val="20"/>
                <w:szCs w:val="20"/>
                <w:color w:val="auto"/>
              </w:rPr>
            </w:pPr>
            <w:r>
              <w:rPr>
                <w:rFonts w:ascii="Arial" w:cs="Arial" w:eastAsia="Arial" w:hAnsi="Arial"/>
                <w:sz w:val="18"/>
                <w:szCs w:val="18"/>
                <w:color w:val="auto"/>
              </w:rPr>
              <w:t>December 31, 2019 and 2020,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(97,300)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(114,003)</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(96,636)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24"/>
        </w:trPr>
        <w:tc>
          <w:tcPr>
            <w:tcW w:w="848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loss per unit—basic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46,890,280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46,890,280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820" w:type="dxa"/>
            <w:vAlign w:val="bottom"/>
          </w:tcPr>
          <w:p>
            <w:pPr>
              <w:spacing w:after="0"/>
              <w:rPr>
                <w:sz w:val="3"/>
                <w:szCs w:val="3"/>
                <w:color w:val="auto"/>
              </w:rPr>
            </w:pPr>
          </w:p>
        </w:tc>
        <w:tc>
          <w:tcPr>
            <w:tcW w:w="18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1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26"/>
        </w:trPr>
        <w:tc>
          <w:tcPr>
            <w:tcW w:w="4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9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12"/>
                <w:szCs w:val="12"/>
                <w:color w:val="auto"/>
              </w:rPr>
            </w:pPr>
          </w:p>
        </w:tc>
        <w:tc>
          <w:tcPr>
            <w:tcW w:w="20" w:type="dxa"/>
            <w:vAlign w:val="bottom"/>
            <w:tcBorders>
              <w:bottom w:val="single" w:sz="8" w:color="auto"/>
            </w:tcBorders>
            <w:vMerge w:val="continue"/>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17,084,696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$ 115,505</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46,890,280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664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(70,713)</w:t>
            </w:r>
          </w:p>
        </w:tc>
        <w:tc>
          <w:tcPr>
            <w:tcW w:w="32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(26,587)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17,084,696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$ 115,505</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51,341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Series E preferred units, net of issuance costs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9,609,491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68,491</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26,745,528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184,714</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(114,003)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Years Ended</w:t>
      </w:r>
    </w:p>
    <w:p>
      <w:pPr>
        <w:ind w:left="9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(16,703)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2,538</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(26,267)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(14,960)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68,491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issuance of convertible note,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Paycheck Protection Program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Principal repayments from related party for 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72,682</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(26,947)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43,483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16,536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115"/>
        </w:trPr>
        <w:tc>
          <w:tcPr>
            <w:tcW w:w="9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Reissuance of previously expired warrant for Series B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Since its inception, Rani has devoted substantially all of its resources to research and development activities, including drug formulation, preclinical studies, clinical trials, manufacturing automation and scale-up, building its intellectual property portfolio, establishing strategic relationships with pharmaceutical companies that may benefit from the RaniPill capsule as well as administrative activities such as business planning, raising capital, and providing general and administrative support for these operations.</w:t>
      </w:r>
    </w:p>
    <w:p>
      <w:pPr>
        <w:spacing w:after="0" w:line="18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$26.6 million and $16.7 million for the years ended December 31, 2019 and 2020, respectively. As of December 31, 2020, the Company had an accumulated deficit of $114.0 million and negative cash flows from operations of $15.0 million. The Company expects to continue to generate operating losses and negative operating cash flows for the foreseeable future as it continues to develop the RaniPill capsule. As of December 31, 2020, the Company expects that its cash and cash equivalents of $73.1 million will be sufficient to fund its operations through at least one year from April 2021, the date the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 The consolidated financial statements include the accounts of the Company and its wholly owned subsidiary. All intercompany accounts and transactions have been eliminated in consolidation.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operating segment.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5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2019 and 2020.</w:t>
      </w:r>
    </w:p>
    <w:p>
      <w:pPr>
        <w:spacing w:after="0" w:line="124"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and 2020, the Company had deferred revenue of $0.2 million and $2.7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The Company limits its credit risk associated with cash and cash equivalents by maintaining its bank accounts at major financial institutions.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Property and equipment, net are recorded at cost, net of accumulated depreciation. Depreciation is recorded using the straight-line method based on the estimated useful lives of the depreciable property. Leasehold improvements are amortized on a straight-line basis over the shorter of the lease term or their estimated useful lives. The Company’s estimated useful lives of its property and equipment are as follows:</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88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92"/>
              </w:rPr>
              <w:t>Estimated Useful Lives (in years)</w:t>
            </w: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8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78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3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Estimated useful life</w:t>
            </w: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consolidated balance sheet and the resulting gain or loss is recognized in the consolidated statement of operations and comprehensive loss. Expenditures for maintenance and repairs are expensed as incurred.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principal balance on the notes receivable from related party is recorded on the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consolidated statement of operations and comprehensive loss. Associated interest earned is recognized using the effective interest method. The estimated fair value of the Company’s related party notes receivable at December 31, 2019 and 2020 approximated their carrying value due to their short-term nature.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Company’s wholly-owned subsidiary, RMS, is a taxpaying entity in the United States. Accordingly, the Company provides current and deferred income taxes for this entity. The Company is treated as a pass through entity for federal and state income tax purposes and is not subject to income tax as the limited liability company (“LLC”) members are responsible for the tax consequences of their proportionate share of the pass through income or loss. As such, the Company’s tax provision consists solely of the activities of RMS, which is taxed as a corporation for federal and state income tax purposes.</w:t>
      </w:r>
    </w:p>
    <w:p>
      <w:pPr>
        <w:spacing w:after="0" w:line="18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The Company’s taxable subsidiary accounts for income taxes using the asset and liability method, under which deferred tax liabilities and assets are recognized for the expected future tax consequences of temporary differences between the consolidated financial statement carrying amounts and the tax basis of assets and liabilities and net operating loss and tax credit carryforwards. Deferred tax assets and liabilities are classified as noncurrent on the consolidated balance sheet. Valuation allowances are established when necessary to reduce deferred tax assets to the amount that is more likely than not to be realized.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benefit from income taxes in the accompanying consolidated statements of operations and comprehensive loss. No such interest and penalties were recognized for any period presented.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medium and large businesses and a three-year cap on the use of business incentive tax credits to offset no more than $5.0 million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per year. A.B. 85 suspends the use of net operating losses for taxable years 2020, 2021 and 2022 for certain taxpayers with taxable income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or more. The carryover period for any net operating losses that are suspended under this provision will be extended. A.B. 85 also requires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business incentive tax credits including carryovers may not reduce the applicable tax by more than $5.0 million for taxable years 2020, 2021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Other than the Company’s receipt of a Paycheck Protection Program Loan during 2020 (see Note 12), the FFCR Act, CARES Act and A.B. 85 did not have a material impact on the Company’s consolidated financial statements as of December 31, 2020; however, the Company continues to examine the impacts the FFCR Act, CARES Act and A.B. 85 may have on its business, consolidated results of operations, financial condition, liquidity and related disclosures.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2019 and 2020. Subsequent adjustments of the carrying values to the ultimate redemption values will only be made when it becomes probable that such liquidation events will occur, causing the units to become redeemable.</w:t>
      </w:r>
    </w:p>
    <w:p>
      <w:pPr>
        <w:spacing w:after="0" w:line="171"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Outstanding warrants to purchase preferred units of the Company are classified as liabilities in the accompanying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consolidated results of operations.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 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the years ended December 31, 2019 and 2020,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comparable to companies that comply with the new or revised accounting pronouncements as of public company effective dates.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June 2018, the Financial Accounting Standards Board (the “FASB”) issued ASU 2018-07,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Nonemployee Share-Based Payment Accounting </w:t>
      </w:r>
      <w:r>
        <w:rPr>
          <w:rFonts w:ascii="Arial" w:cs="Arial" w:eastAsia="Arial" w:hAnsi="Arial"/>
          <w:sz w:val="18"/>
          <w:szCs w:val="18"/>
          <w:color w:val="auto"/>
        </w:rPr>
        <w:t>(“ASU 2018-07”). This ASU expanded the scope of Topic 718,</w:t>
      </w:r>
      <w:r>
        <w:rPr>
          <w:rFonts w:ascii="Arial" w:cs="Arial" w:eastAsia="Arial" w:hAnsi="Arial"/>
          <w:sz w:val="18"/>
          <w:szCs w:val="18"/>
          <w:i w:val="1"/>
          <w:iCs w:val="1"/>
          <w:color w:val="auto"/>
        </w:rPr>
        <w:t xml:space="preserve"> Compensation— Stock Compensation </w:t>
      </w:r>
      <w:r>
        <w:rPr>
          <w:rFonts w:ascii="Arial" w:cs="Arial" w:eastAsia="Arial" w:hAnsi="Arial"/>
          <w:sz w:val="18"/>
          <w:szCs w:val="18"/>
          <w:color w:val="auto"/>
        </w:rPr>
        <w:t>(which currently only includes share-based payments to employees) to include share-based payments issued to nonemployees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The ASU was effective for the Company on January 1, 2020. The Company’s adoption of this standard did not have a material impact on the consolidated financial statements</w:t>
      </w:r>
    </w:p>
    <w:p>
      <w:pPr>
        <w:spacing w:after="0" w:line="188"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w:t>
      </w:r>
      <w:r>
        <w:rPr>
          <w:rFonts w:ascii="Arial" w:cs="Arial" w:eastAsia="Arial" w:hAnsi="Arial"/>
          <w:sz w:val="16"/>
          <w:szCs w:val="16"/>
          <w:color w:val="auto"/>
        </w:rPr>
        <w:t>(“ASU 2018-13”)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eliminated certain disclosure requirements for fair value measurements for all entities and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some disclosure requirements and added enhanced disclosures for Level 3 inputs. This ASU was effective for the Company on January 1, 2020. The Company’s adoption of ASU 2018-13 resulted in new disclosures regarding the Company’s Level 3 fair value measurements, see Note 3.</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This ASU requires companies that lease assets to recognize on the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consolidated balance sheet. This ASU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consolidated financial statements but does expect that it will result in enhanced disclosures.</w:t>
      </w:r>
    </w:p>
    <w:p>
      <w:pPr>
        <w:spacing w:after="0" w:line="18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consolidated financial statements and disclosures.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15,912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15,912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$ 655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71,666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71,666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During the years ended December 31, 2019 and 2020, there were no transfers between Level 1, Level 2 and Level 3 of the fair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hierarchy.</w:t>
      </w:r>
    </w:p>
    <w:p>
      <w:pPr>
        <w:spacing w:after="0" w:line="211"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jc w:val="center"/>
              <w:ind w:left="62"/>
              <w:spacing w:after="0"/>
              <w:rPr>
                <w:sz w:val="20"/>
                <w:szCs w:val="20"/>
                <w:color w:val="auto"/>
              </w:rPr>
            </w:pPr>
            <w:r>
              <w:rPr>
                <w:rFonts w:ascii="Arial" w:cs="Arial" w:eastAsia="Arial" w:hAnsi="Arial"/>
                <w:sz w:val="14"/>
                <w:szCs w:val="14"/>
                <w:b w:val="1"/>
                <w:bCs w:val="1"/>
                <w:color w:val="auto"/>
                <w:w w:val="98"/>
              </w:rPr>
              <w:t>Fair Value</w:t>
            </w:r>
          </w:p>
        </w:tc>
        <w:tc>
          <w:tcPr>
            <w:tcW w:w="2740" w:type="dxa"/>
            <w:vAlign w:val="bottom"/>
            <w:vMerge w:val="restart"/>
          </w:tcPr>
          <w:p>
            <w:pPr>
              <w:jc w:val="center"/>
              <w:ind w:left="274"/>
              <w:spacing w:after="0"/>
              <w:rPr>
                <w:sz w:val="20"/>
                <w:szCs w:val="20"/>
                <w:color w:val="auto"/>
              </w:rPr>
            </w:pPr>
            <w:r>
              <w:rPr>
                <w:rFonts w:ascii="Arial" w:cs="Arial" w:eastAsia="Arial" w:hAnsi="Arial"/>
                <w:sz w:val="14"/>
                <w:szCs w:val="14"/>
                <w:b w:val="1"/>
                <w:bCs w:val="1"/>
                <w:color w:val="auto"/>
                <w:w w:val="91"/>
              </w:rPr>
              <w:t>Valuation Technique</w:t>
            </w:r>
          </w:p>
        </w:tc>
        <w:tc>
          <w:tcPr>
            <w:tcW w:w="248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3"/>
              </w:rPr>
              <w:t>Unobservable Input</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7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4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Hybrid between the</w:t>
            </w:r>
          </w:p>
        </w:tc>
        <w:tc>
          <w:tcPr>
            <w:tcW w:w="2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2"/>
              </w:rPr>
              <w:t>Time to exit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1 - 3 years</w:t>
            </w:r>
          </w:p>
        </w:tc>
        <w:tc>
          <w:tcPr>
            <w:tcW w:w="17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2480" w:type="dxa"/>
            <w:vAlign w:val="bottom"/>
          </w:tcPr>
          <w:p>
            <w:pPr>
              <w:jc w:val="center"/>
              <w:ind w:left="133"/>
              <w:spacing w:after="0" w:line="195" w:lineRule="exact"/>
              <w:rPr>
                <w:sz w:val="20"/>
                <w:szCs w:val="20"/>
                <w:color w:val="auto"/>
              </w:rPr>
            </w:pPr>
            <w:r>
              <w:rPr>
                <w:rFonts w:ascii="Arial" w:cs="Arial" w:eastAsia="Arial" w:hAnsi="Arial"/>
                <w:sz w:val="18"/>
                <w:szCs w:val="18"/>
                <w:color w:val="auto"/>
                <w:w w:val="94"/>
              </w:rPr>
              <w:t>Probability of exit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25% - 75%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22"/>
        </w:trPr>
        <w:tc>
          <w:tcPr>
            <w:tcW w:w="248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$320</w:t>
            </w: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4"/>
              </w:rPr>
              <w:t>probability weighted</w:t>
            </w:r>
          </w:p>
        </w:tc>
        <w:tc>
          <w:tcPr>
            <w:tcW w:w="2480" w:type="dxa"/>
            <w:vAlign w:val="bottom"/>
            <w:vMerge w:val="restart"/>
          </w:tcPr>
          <w:p>
            <w:pPr>
              <w:jc w:val="center"/>
              <w:ind w:left="133"/>
              <w:spacing w:after="0"/>
              <w:rPr>
                <w:sz w:val="20"/>
                <w:szCs w:val="20"/>
                <w:color w:val="auto"/>
              </w:rPr>
            </w:pPr>
            <w:r>
              <w:rPr>
                <w:rFonts w:ascii="Arial" w:cs="Arial" w:eastAsia="Arial" w:hAnsi="Arial"/>
                <w:sz w:val="18"/>
                <w:szCs w:val="18"/>
                <w:color w:val="auto"/>
                <w:w w:val="86"/>
              </w:rPr>
              <w:t>events</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2740" w:type="dxa"/>
            <w:vAlign w:val="bottom"/>
            <w:vMerge w:val="restart"/>
          </w:tcPr>
          <w:p>
            <w:pPr>
              <w:jc w:val="center"/>
              <w:ind w:left="274"/>
              <w:spacing w:after="0" w:line="182" w:lineRule="exact"/>
              <w:rPr>
                <w:sz w:val="20"/>
                <w:szCs w:val="20"/>
                <w:color w:val="auto"/>
              </w:rPr>
            </w:pPr>
            <w:r>
              <w:rPr>
                <w:rFonts w:ascii="Arial" w:cs="Arial" w:eastAsia="Arial" w:hAnsi="Arial"/>
                <w:sz w:val="18"/>
                <w:szCs w:val="18"/>
                <w:color w:val="auto"/>
                <w:w w:val="88"/>
              </w:rPr>
              <w:t>expected return and</w:t>
            </w:r>
          </w:p>
        </w:tc>
        <w:tc>
          <w:tcPr>
            <w:tcW w:w="2480" w:type="dxa"/>
            <w:vAlign w:val="bottom"/>
            <w:vMerge w:val="restart"/>
          </w:tcPr>
          <w:p>
            <w:pPr>
              <w:jc w:val="center"/>
              <w:ind w:left="133"/>
              <w:spacing w:after="0" w:line="182" w:lineRule="exact"/>
              <w:rPr>
                <w:sz w:val="20"/>
                <w:szCs w:val="20"/>
                <w:color w:val="auto"/>
              </w:rPr>
            </w:pPr>
            <w:r>
              <w:rPr>
                <w:rFonts w:ascii="Arial" w:cs="Arial" w:eastAsia="Arial" w:hAnsi="Arial"/>
                <w:sz w:val="18"/>
                <w:szCs w:val="18"/>
                <w:color w:val="auto"/>
                <w:w w:val="95"/>
              </w:rPr>
              <w:t>Discount for lack of</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20% - 35%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option pricing methods</w:t>
            </w:r>
          </w:p>
        </w:tc>
        <w:tc>
          <w:tcPr>
            <w:tcW w:w="2480" w:type="dxa"/>
            <w:vAlign w:val="bottom"/>
            <w:vMerge w:val="restart"/>
          </w:tcPr>
          <w:p>
            <w:pPr>
              <w:jc w:val="center"/>
              <w:ind w:left="153"/>
              <w:spacing w:after="0"/>
              <w:rPr>
                <w:sz w:val="20"/>
                <w:szCs w:val="20"/>
                <w:color w:val="auto"/>
              </w:rPr>
            </w:pPr>
            <w:r>
              <w:rPr>
                <w:rFonts w:ascii="Arial" w:cs="Arial" w:eastAsia="Arial" w:hAnsi="Arial"/>
                <w:sz w:val="18"/>
                <w:szCs w:val="18"/>
                <w:color w:val="auto"/>
                <w:w w:val="94"/>
              </w:rPr>
              <w:t>marketability</w:t>
            </w: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80" w:type="dxa"/>
            <w:vAlign w:val="bottom"/>
          </w:tcPr>
          <w:p>
            <w:pPr>
              <w:jc w:val="center"/>
              <w:ind w:left="133"/>
              <w:spacing w:after="0"/>
              <w:rPr>
                <w:sz w:val="20"/>
                <w:szCs w:val="20"/>
                <w:color w:val="auto"/>
              </w:rPr>
            </w:pPr>
            <w:r>
              <w:rPr>
                <w:rFonts w:ascii="Arial" w:cs="Arial" w:eastAsia="Arial" w:hAnsi="Arial"/>
                <w:sz w:val="18"/>
                <w:szCs w:val="18"/>
                <w:color w:val="auto"/>
                <w:w w:val="98"/>
              </w:rPr>
              <w:t>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66%</w:t>
            </w:r>
          </w:p>
        </w:tc>
        <w:tc>
          <w:tcPr>
            <w:tcW w:w="1740" w:type="dxa"/>
            <w:vAlign w:val="bottom"/>
          </w:tcPr>
          <w:p>
            <w:pPr>
              <w:jc w:val="center"/>
              <w:ind w:left="34"/>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$720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780" w:type="dxa"/>
            <w:vAlign w:val="bottom"/>
            <w:gridSpan w:val="5"/>
          </w:tcPr>
          <w:p>
            <w:pPr>
              <w:jc w:val="right"/>
              <w:ind w:right="180"/>
              <w:spacing w:after="0"/>
              <w:rPr>
                <w:sz w:val="20"/>
                <w:szCs w:val="20"/>
                <w:color w:val="auto"/>
              </w:rPr>
            </w:pPr>
            <w:r>
              <w:rPr>
                <w:rFonts w:ascii="Arial" w:cs="Arial" w:eastAsia="Arial" w:hAnsi="Arial"/>
                <w:sz w:val="18"/>
                <w:szCs w:val="18"/>
                <w:color w:val="auto"/>
              </w:rPr>
              <w:t>(65)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B preferred unit warrant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Issuance of Series E preferred unit warrant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at end of period</w:t>
            </w:r>
          </w:p>
        </w:tc>
        <w:tc>
          <w:tcPr>
            <w:tcW w:w="1540" w:type="dxa"/>
            <w:vAlign w:val="bottom"/>
            <w:gridSpan w:val="4"/>
            <w:shd w:val="clear" w:color="auto" w:fill="CCEEFF"/>
          </w:tcPr>
          <w:p>
            <w:pPr>
              <w:jc w:val="center"/>
              <w:ind w:left="109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655</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19"/>
                <w:szCs w:val="19"/>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Construction-in-progress consists of production equipment that will be used to scale-up the manufacturing of RaniPill capsules for clinical trials and that has been determined to have an alternative future use. Construction-in-progress is stated at cost and does not begin to depreciate until it is put into production.</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Depreciation expense for each of the years ended December 31, 2019 and 2020 was $0.6 million. As of December 31, 2019 and 2020, all of the Company’s property and equipment was located in the United States, with the exception of $3.2 million and $3.5 million, respectively, of construction-in-progress that is located in Germany at a third-party manufacturing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laboratory equipment costs</w:t>
            </w:r>
          </w:p>
        </w:tc>
        <w:tc>
          <w:tcPr>
            <w:tcW w:w="1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Payroll and related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Total accrued expenses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4"/>
              </w:rPr>
              <w:t>1,195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550</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2000" w:type="dxa"/>
            <w:vAlign w:val="bottom"/>
            <w:gridSpan w:val="2"/>
          </w:tcPr>
          <w:p>
            <w:pPr>
              <w:jc w:val="right"/>
              <w:ind w:right="1447"/>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November 2017, the Company entered into an evaluation agreement with Shire International GmbH (“Shire”), a subsidiary of Takeda Pharmaceutical Company Limited (“Takeda”) post acquisition of Shire by 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investors. Accordingly, $10.0 million of the transaction price was allocated to the issuance of 593,120 shares of Series D convertible preferred units at a fair value of $16.86 per unit and was recorded in members’ deficit.</w:t>
      </w:r>
    </w:p>
    <w:p>
      <w:pPr>
        <w:spacing w:after="0" w:line="170"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88"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For the year ended December 31, 2019 and 2020, the Company recognized contract revenue related to the Takeda agreement of $0.8 million and $0.5 million, respectively. As of December 31, 2019 and 2020, deferred revenue related to the remaining identified performance obligation for the Takeda agreement of $0.2 million and $2.7 million was recorded on the consolidated balance sheets. The Company expects the performance obligation to be completed by the end of 2021, and therefore all deferred revenue was recorded as a current liability. Upon completion of the Research and Development Services, the Company will provide Takeda with a final report summarizing the outcome of the in vivo testing services. Once this report has been made available, Takeda will have the right to enter into an exclusive negotiation with the Company, for a period of 120 days, for an exclusive licensing and commercialization arrangement.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In August 2019, the Company amended the Novartis Agreement to focus on one compound and extend the term of the right of first negotiation period to July 2020, and in June 2020, the Company amended the Novartis Agreement and extended the right of first negotiation period to June of 2021 and provided for additional sharing of clinical data between parties. Both amendments were entered into for administrative purposes, and the Company determined the amendments were not a modification of contract under the contracts with customers guidance.</w:t>
      </w:r>
    </w:p>
    <w:p>
      <w:pPr>
        <w:spacing w:after="0" w:line="15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For the year ended December 31, 2019, the Company recognized contract revenue related to the Novartis Agreement of $0.2 million. There was no revenue recognized during the year ended December 31,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3,000</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2,717</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2019 or 2020 associated with the Takeda agreement.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expensed all incremental costs of obtaining the Takeda and Novartis agreements, as such amounts were insignificant.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ICL is wholly-owned by the Company’s President, Chief Executive Officer and Chairman of the Board of Managers (“the Company’s CEO”) and his family. The Company’s Chief Scientific Officer and Manager is also the brother of the Company’s CEO. The Company’s CEO is also the father of the Company’s Vice President, Strategy.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Since January 2021, the Company has been operating on a month-to-month basis with ICL for such services under the legacy terms of this agreement. The Company or ICL may terminate the service agreement upon 60 days notice to the other party, except for occupancy which requires six months notice. The service agreement specifies the scope of services to be provided by ICL as well as the methods for determining the costs of services for the years ended December 31, 2019 and 2020.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under the service agreement, RMS bills ICL on the same cost basis described above for certain hours incurred by RMS employees performing services on behalf of ICL. For the year ended December 31, 2020, RMS charged ICL $0.4 million for services performed, and such amounts charged were recorded as a reduction to research and development expense in the consolidated statement of operations and comprehensive loss.</w:t>
      </w:r>
    </w:p>
    <w:p>
      <w:pPr>
        <w:spacing w:after="0" w:line="187"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consolidated statements of operations and comprehensive loss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4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7"/>
        </w:trPr>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20,437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0"/>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400" w:type="dxa"/>
            <w:vAlign w:val="bottom"/>
          </w:tcPr>
          <w:p>
            <w:pPr>
              <w:spacing w:after="0"/>
              <w:rPr>
                <w:sz w:val="24"/>
                <w:szCs w:val="24"/>
                <w:color w:val="auto"/>
              </w:rPr>
            </w:pPr>
          </w:p>
        </w:tc>
        <w:tc>
          <w:tcPr>
            <w:tcW w:w="1720" w:type="dxa"/>
            <w:vAlign w:val="bottom"/>
            <w:gridSpan w:val="2"/>
          </w:tcPr>
          <w:p>
            <w:pPr>
              <w:jc w:val="right"/>
              <w:ind w:right="81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2019 and 2020, the Company received $1.0 million and $0.2 million, respectively, in payments for interest and repayment of principal on the remaining notes receivable.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As of December 31, 2019 and 2020, $1.9 million and $1.7 million, respectively,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8).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intellectual property agreement will terminate upon sale, merger or liquidation of the Company and the exclusive license agreement will terminate on the date of the expiration or abandonment of the last-to-expire patent that is licensed to the Company. The Company may terminate the exclusive license agreement in its entirety or with respect to any licensed patent by giving prior written notice to ICL.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May 2013, in conjunction with the Series B convertible preferred unit (the “Series B” or “Series B units”) financing, the Company issued warrants to InCube Ventures II, LP (“ICV II”), an entity affiliated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ICL, to purchase 107,357 Series B units. The Series B warrants were exercisable for a period of five years from the grant date at an exercise price of</w:t>
      </w:r>
    </w:p>
    <w:p>
      <w:pPr>
        <w:spacing w:after="0" w:line="46"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At December 31, 2019, all of the Series B warrants were outstanding. In December 2020, ICV II elected to cashless exercise all of their Series B warrants and the Company issued 51,341 Series B units. There were no Series B warrants outstanding at December 31, 2020.</w:t>
      </w:r>
    </w:p>
    <w:p>
      <w:pPr>
        <w:spacing w:after="0" w:line="16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At December 31, 2019 and 2020, all of the 229,315 common warrants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November 2020, the Company sold a total of 9,609,491 units of its Series E units at a purchase price of $7.1471 per unit, for total net proceeds of $68.5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4120" w:type="dxa"/>
            <w:vAlign w:val="bottom"/>
          </w:tcPr>
          <w:p>
            <w:pPr>
              <w:spacing w:after="0"/>
              <w:rPr>
                <w:sz w:val="14"/>
                <w:szCs w:val="1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2,458,905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9,362</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18,937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2,458,905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2,505,000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2,504,099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21,605,000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17,084,696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115,505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130,852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17,084,696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tcPr>
          <w:p>
            <w:pPr>
              <w:spacing w:after="0"/>
              <w:rPr>
                <w:sz w:val="24"/>
                <w:szCs w:val="2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2,520,000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E units</w:t>
            </w:r>
          </w:p>
        </w:tc>
        <w:tc>
          <w:tcPr>
            <w:tcW w:w="4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80" w:hanging="319"/>
        <w:spacing w:after="0" w:line="27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$50.0 million and prior to $100.0 million in gross revenue on a cumulative basis, distributions are as follows:</w:t>
      </w:r>
    </w:p>
    <w:p>
      <w:pPr>
        <w:spacing w:after="0" w:line="264" w:lineRule="exact"/>
        <w:rPr>
          <w:sz w:val="20"/>
          <w:szCs w:val="20"/>
          <w:color w:val="auto"/>
        </w:rPr>
      </w:pPr>
    </w:p>
    <w:p>
      <w:pPr>
        <w:ind w:left="1420" w:right="700" w:hanging="319"/>
        <w:spacing w:after="0" w:line="308" w:lineRule="auto"/>
        <w:tabs>
          <w:tab w:leader="none" w:pos="142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60" w:hanging="319"/>
        <w:spacing w:after="0" w:line="277"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100" w:hanging="319"/>
        <w:spacing w:after="0" w:line="263"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December 31, 2020,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20" w:hanging="319"/>
        <w:spacing w:after="0" w:line="263"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60" w:hanging="319"/>
        <w:spacing w:after="0" w:line="25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2,458,905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C-1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2,504,099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3,149,577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E units</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Units reserved for Profits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6,616,350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6,926,358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Units reserved for Profits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2,233,650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3,923,642</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25,934,696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37,833,816</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and Profits Interests to be reserved under the Plan. At December 31, 2020, a total of 10,850,000 common units and Profits Interests are reserved under the Plan.</w:t>
      </w:r>
    </w:p>
    <w:p>
      <w:pPr>
        <w:spacing w:after="0" w:line="16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Profits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Profits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3"/>
            <w:vMerge w:val="continue"/>
          </w:tcPr>
          <w:p>
            <w:pPr>
              <w:spacing w:after="0"/>
              <w:rPr>
                <w:sz w:val="12"/>
                <w:szCs w:val="12"/>
                <w:color w:val="auto"/>
              </w:rPr>
            </w:pP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Available</w:t>
            </w: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Threshold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520" w:type="dxa"/>
            <w:vAlign w:val="bottom"/>
            <w:gridSpan w:val="3"/>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Per Unit</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2,233,650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6,616,350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Additional reserved</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2,000,000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182,942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(182,942)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Grants</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(492,950)</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492,950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3,923,642</w:t>
            </w:r>
          </w:p>
        </w:tc>
        <w:tc>
          <w:tcPr>
            <w:tcW w:w="3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Year Ended</w:t>
      </w:r>
    </w:p>
    <w:p>
      <w:pPr>
        <w:jc w:val="center"/>
        <w:ind w:left="4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258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2"/>
        </w:trPr>
        <w:tc>
          <w:tcPr>
            <w:tcW w:w="458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0"/>
                <w:szCs w:val="10"/>
                <w:color w:val="auto"/>
              </w:rPr>
            </w:pP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1 - 3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1.18%</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of December 31, 2020, there was $11.6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7) which is accounted for as an operating lease with an implied renewal option into 2025. Rent expense incurred with ICL was $1.1 million and $0.8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80" w:firstLine="881"/>
        <w:spacing w:after="0" w:line="287"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has opted not to drawn down this additional amount as of December 31, 2020,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8). The Company recorded the issuance-date fair value of the Series E warrants of $0.3 million as a warrant liability, and is amortizing the associated debt discount of $0.3 million as interest expense over the expected term of the Loan. In the year ended December 31, 2020, the Company recorded less than $0.1 million of related interest expense.</w:t>
      </w:r>
    </w:p>
    <w:p>
      <w:pPr>
        <w:spacing w:after="0" w:line="168"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equal to the sum of (i) the greater of (A) the Prime Rate and (B) three and one-quarters percent (3.25%), plus (ii) eight percent (8.00%),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operations, which may require prepayment of the outstanding Loan. Debt issuance costs of $0.5 million, including the estimated fair value of the Series E warrant of $0.3 million described above, are being accreted to interest expense over the life of the Loan. In addition to the final payment, the Company will pay an amount equal to 4.25% of the original commitment, this is being accrued over the life of the Loan through interest expense. Upon issuance, the Loan had an effective interest rate of 20.56% per year.</w:t>
      </w:r>
    </w:p>
    <w:p>
      <w:pPr>
        <w:spacing w:after="0" w:line="187"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w:t>
      </w:r>
    </w:p>
    <w:p>
      <w:pPr>
        <w:spacing w:after="0" w:line="14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December 31, 2020 and there were no events of default during the year ended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All or a portion of the PPP Loan may be forgiven by the U.S. Small Business Administration (“SBA”) upon the application and upon documentation of expenditures in accordance with the SBA requirements. Under the CARES Act and Payroll Protection Program Flexibility Act, loan forgiveness is available for the sum of documented payroll costs, covered mortgage interest, covered rent payments and covered utilities during the 24 week period beginning on the date of loan disbursement. For purposes of the PPP Loan, payroll costs exclude compensation of an individual employee in excess of $100,000, annualized and prorated for the covered period. Not more than 40% of the forgiven amount may be for non-payroll costs. Forgiveness is reduced if full-time headcount declines during the covered period as compared to specified reference periods, or if salaries and wages for employees with salaries of $100,000 or less annually are reduced by more than 25%, unless certain safe harbors are satisfied. In the event the PPP Loan, or any portion thereof, is forgiven pursuant to the PPP Loan, the amount forgiven is applied to outstanding principal and includes accrued interest.</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during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principal payments for the Company’s long term debt are as follows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Total principal payments</w:t>
            </w:r>
          </w:p>
        </w:tc>
        <w:tc>
          <w:tcPr>
            <w:tcW w:w="19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Add: amount representing interest</w:t>
            </w:r>
          </w:p>
        </w:tc>
        <w:tc>
          <w:tcPr>
            <w:tcW w:w="1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44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26,983,816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6,616,350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6,926,358</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24,037,718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34,258,418</w:t>
            </w:r>
          </w:p>
        </w:tc>
        <w:tc>
          <w:tcPr>
            <w:tcW w:w="8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tax expense consisted of the following for the years ended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effective tax rate for the years ended December 31, 2019 and 2020 is different from the federal statutory rate primarily due to the valuation allowance against deferred tax assets as a result of insufficient sources of income and pass-through income not subject to income tax. A reconciliation between the Company’s effective tax rate and the applicable U.S. federal statutory income tax rate is summarized as follows:</w:t>
      </w:r>
    </w:p>
    <w:p>
      <w:pPr>
        <w:spacing w:after="0" w:line="1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3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2020</w:t>
            </w:r>
          </w:p>
        </w:tc>
        <w:tc>
          <w:tcPr>
            <w:tcW w:w="260" w:type="dxa"/>
            <w:vAlign w:val="bottom"/>
          </w:tcPr>
          <w:p>
            <w:pPr>
              <w:spacing w:after="0"/>
              <w:rPr>
                <w:sz w:val="12"/>
                <w:szCs w:val="12"/>
                <w:color w:val="auto"/>
              </w:rPr>
            </w:pPr>
          </w:p>
        </w:tc>
      </w:tr>
      <w:tr>
        <w:trPr>
          <w:trHeight w:val="209"/>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7"/>
              </w:rPr>
              <w:t>21.0%</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Pass-through income not subject to tax</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(21.0)%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(21.9)%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Uncertain tax position</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43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Effective tax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Accruals</w:t>
            </w:r>
          </w:p>
        </w:tc>
        <w:tc>
          <w:tcPr>
            <w:tcW w:w="2240" w:type="dxa"/>
            <w:vAlign w:val="bottom"/>
            <w:gridSpan w:val="3"/>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880" w:type="dxa"/>
            <w:vAlign w:val="bottom"/>
          </w:tcPr>
          <w:p>
            <w:pPr>
              <w:spacing w:after="0"/>
              <w:rPr>
                <w:sz w:val="19"/>
                <w:szCs w:val="19"/>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88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Prepaid insurance</w:t>
            </w:r>
          </w:p>
        </w:tc>
        <w:tc>
          <w:tcPr>
            <w:tcW w:w="18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2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timing and amount of which are uncertain. Because of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$0.4 million for the year ended December 31, 2020, primarily due to the increase in the Company’s research and development tax credits.</w:t>
      </w:r>
    </w:p>
    <w:p>
      <w:pPr>
        <w:spacing w:after="0" w:line="187"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 of December 31, 2020, the Company had federal and California research tax credits of approximately $0.2 million and $0.3 million, respectively. The federal research credits begin to expire in 2040, and the California research tax credits do not expire and can be carried forward indefinitely.</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Pursuant of Internal Revenue Code (“IRC”) Sections 382 and 383, annual use of the Company’s research and development credit carryforwards may be limited in the event accumulative change in ownership of more than 50% occurs within a three-year period. As of December 31, 2020,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8"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is subject to U.S. federal and California income taxes and is not currently under examination by any federal or state taxing authorities. The federal and California returns for tax years 2016 through 2020 remain open to examination.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changes in the amount of the unrecognized tax benefits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Included in the balance of unrecognized tax benefits at December 31, 2020 is $0.1 million that if recognized would impact the Company’s income tax benefit and effective tax rate. The Company does not expect any significant increases or decreases in its unrecognized tax benefits within the next twelve months.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evaluated subsequent events through April 26, 2021, the date these consolidated financial statements were available to 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January 2021 the Company issued 884,276 units of Series E preferred units for gross proceeds of $6.3 million.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April 2021, Rani Therapeutic Holdings, Inc. (“Rani Holdings”) was incorporated and issued common stock to Rani LLC, making Rani Holdings a wholly owned subsidiary of the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178435</wp:posOffset>
            </wp:positionV>
            <wp:extent cx="831850" cy="420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1143635</wp:posOffset>
            </wp:positionV>
            <wp:extent cx="104584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85725</wp:posOffset>
            </wp:positionV>
            <wp:extent cx="10458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BofA Securities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Canaccord Genuity</w:t>
      </w:r>
    </w:p>
    <w:p>
      <w:pPr>
        <w:spacing w:after="0" w:line="211" w:lineRule="exact"/>
        <w:rPr>
          <w:sz w:val="20"/>
          <w:szCs w:val="20"/>
          <w:color w:val="auto"/>
        </w:rPr>
      </w:pPr>
    </w:p>
    <w:p>
      <w:pPr>
        <w:sectPr>
          <w:pgSz w:w="11900" w:h="16838" w:orient="portrait"/>
          <w:cols w:equalWidth="0" w:num="4">
            <w:col w:w="3080" w:space="720"/>
            <w:col w:w="1420" w:space="720"/>
            <w:col w:w="2220" w:space="720"/>
            <w:col w:w="2260"/>
          </w:cols>
          <w:pgMar w:left="320" w:top="459" w:right="439" w:bottom="1440" w:gutter="0" w:footer="0" w:header="0"/>
          <w:type w:val="continuous"/>
        </w:sectPr>
      </w:pP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BTIG</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245110</wp:posOffset>
            </wp:positionV>
            <wp:extent cx="6995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Inc.’s, or FINRA, filing fee and the Nasdaq Stock Market, or Nasdaq listing fee.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840"/>
        <w:spacing w:after="0"/>
        <w:rPr>
          <w:sz w:val="20"/>
          <w:szCs w:val="20"/>
          <w:color w:val="auto"/>
        </w:rPr>
      </w:pPr>
      <w:r>
        <w:rPr>
          <w:rFonts w:ascii="Arial" w:cs="Arial" w:eastAsia="Arial" w:hAnsi="Arial"/>
          <w:sz w:val="13"/>
          <w:szCs w:val="13"/>
          <w:b w:val="1"/>
          <w:bCs w:val="1"/>
          <w:color w:val="auto"/>
        </w:rPr>
        <w:t>Amount Paid or</w:t>
      </w:r>
    </w:p>
    <w:p>
      <w:pPr>
        <w:spacing w:after="0" w:line="15"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6343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965200</wp:posOffset>
            </wp:positionV>
            <wp:extent cx="6343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6343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6343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560" w:space="720"/>
            <w:col w:w="1840"/>
          </w:cols>
          <w:pgMar w:left="320" w:top="459" w:right="459" w:bottom="1440" w:gutter="0" w:footer="0" w:header="0"/>
          <w:type w:val="continuous"/>
        </w:sectPr>
      </w:pPr>
    </w:p>
    <w:p>
      <w:pPr>
        <w:spacing w:after="0" w:line="5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immediately following the closing of this offering provides for the indemnification of the registrant’s directors and officers to the fullest extent permitted under the DGCL. In addition, the amended and restated bylaws of the registrant to be in effect immediately prior to the closing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immediately following the closing of this offering provides that the registrant’s directors shall not be personally liable to it or its stockholders for monetary damages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2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right="580" w:firstLine="881"/>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211" w:lineRule="exact"/>
        <w:rPr>
          <w:sz w:val="20"/>
          <w:szCs w:val="20"/>
          <w:color w:val="auto"/>
        </w:rPr>
      </w:pPr>
    </w:p>
    <w:p>
      <w:pPr>
        <w:ind w:left="1420" w:right="740" w:hanging="427"/>
        <w:spacing w:after="0" w:line="277"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Between October 2020 and January 2021, we issued to accredited investors an aggregate of 10,493,767 units of our Series E convertible preferred units at $7.1471 per share, for aggregate gross proceeds of $75.0 million.</w:t>
      </w:r>
    </w:p>
    <w:p>
      <w:pPr>
        <w:spacing w:after="0" w:line="197" w:lineRule="exact"/>
        <w:rPr>
          <w:rFonts w:ascii="Arial" w:cs="Arial" w:eastAsia="Arial" w:hAnsi="Arial"/>
          <w:sz w:val="18"/>
          <w:szCs w:val="18"/>
          <w:color w:val="auto"/>
        </w:rPr>
      </w:pPr>
    </w:p>
    <w:p>
      <w:pPr>
        <w:jc w:val="both"/>
        <w:ind w:left="1420" w:right="200" w:hanging="427"/>
        <w:spacing w:after="0" w:line="263"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Between January 2018 and March 2021, we have granted certain of our employees, directors and executive officers Profits Interests covering an aggregate of 3,532,117 common units with participation thresholds ranging from $1.87 to $2.29 under our 2016 Equity incentive Plan.</w:t>
      </w:r>
    </w:p>
    <w:p>
      <w:pPr>
        <w:spacing w:after="0" w:line="210" w:lineRule="exact"/>
        <w:rPr>
          <w:rFonts w:ascii="Arial" w:cs="Arial" w:eastAsia="Arial" w:hAnsi="Arial"/>
          <w:sz w:val="18"/>
          <w:szCs w:val="18"/>
          <w:color w:val="auto"/>
        </w:rPr>
      </w:pPr>
    </w:p>
    <w:p>
      <w:pPr>
        <w:ind w:left="1420" w:right="300" w:hanging="427"/>
        <w:spacing w:after="0" w:line="277"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On April 19, 2021, we issued 1,000 shares of common stock at a purchase price of $0.01 per share for aggregate gross proceeds of $10.00 to Rani LLC.</w:t>
      </w:r>
    </w:p>
    <w:p>
      <w:pPr>
        <w:spacing w:after="0" w:line="170"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52" w:lineRule="exact"/>
        <w:rPr>
          <w:sz w:val="20"/>
          <w:szCs w:val="20"/>
          <w:color w:val="auto"/>
        </w:rPr>
      </w:pPr>
    </w:p>
    <w:p>
      <w:pPr>
        <w:ind w:left="1540" w:hanging="439"/>
        <w:spacing w:after="0"/>
        <w:tabs>
          <w:tab w:leader="none" w:pos="1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93" w:lineRule="exact"/>
        <w:rPr>
          <w:sz w:val="20"/>
          <w:szCs w:val="20"/>
          <w:color w:val="auto"/>
        </w:rPr>
      </w:pPr>
    </w:p>
    <w:p>
      <w:pPr>
        <w:ind w:left="1540" w:hanging="439"/>
        <w:spacing w:after="0"/>
        <w:tabs>
          <w:tab w:leader="none" w:pos="1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64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4"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hereby undertakes that:</w:t>
      </w:r>
    </w:p>
    <w:p>
      <w:pPr>
        <w:spacing w:after="0" w:line="252" w:lineRule="exact"/>
        <w:rPr>
          <w:sz w:val="20"/>
          <w:szCs w:val="20"/>
          <w:color w:val="auto"/>
        </w:rPr>
      </w:pPr>
    </w:p>
    <w:p>
      <w:pPr>
        <w:ind w:left="1420" w:right="40" w:hanging="427"/>
        <w:spacing w:after="0" w:line="259" w:lineRule="auto"/>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420" w:right="600" w:hanging="427"/>
        <w:spacing w:after="0" w:line="263" w:lineRule="auto"/>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ind w:left="37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60" w:type="dxa"/>
            <w:vAlign w:val="bottom"/>
          </w:tcPr>
          <w:p>
            <w:pPr>
              <w:ind w:left="80"/>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Certificate of Incorporation of Rani Therapeutics Holdings, Inc., as currently in effect.</w:t>
            </w:r>
          </w:p>
        </w:tc>
        <w:tc>
          <w:tcPr>
            <w:tcW w:w="0" w:type="dxa"/>
            <w:vAlign w:val="bottom"/>
          </w:tcPr>
          <w:p>
            <w:pPr>
              <w:spacing w:after="0"/>
              <w:rPr>
                <w:sz w:val="1"/>
                <w:szCs w:val="1"/>
                <w:color w:val="auto"/>
              </w:rPr>
            </w:pPr>
          </w:p>
        </w:tc>
      </w:tr>
      <w:tr>
        <w:trPr>
          <w:trHeight w:val="310"/>
        </w:trPr>
        <w:tc>
          <w:tcPr>
            <w:tcW w:w="560" w:type="dxa"/>
            <w:vAlign w:val="bottom"/>
          </w:tcPr>
          <w:p>
            <w:pPr>
              <w:ind w:left="80"/>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4"/>
              </w:rPr>
              <w:t>Form of Amended and Restated Certificate of Incorporation of Rani Therapeutics Holdings, Inc., to be in effect immediately following</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the closing of this offering.</w:t>
            </w:r>
          </w:p>
        </w:tc>
        <w:tc>
          <w:tcPr>
            <w:tcW w:w="0" w:type="dxa"/>
            <w:vAlign w:val="bottom"/>
          </w:tcPr>
          <w:p>
            <w:pPr>
              <w:spacing w:after="0"/>
              <w:rPr>
                <w:sz w:val="1"/>
                <w:szCs w:val="1"/>
                <w:color w:val="auto"/>
              </w:rPr>
            </w:pPr>
          </w:p>
        </w:tc>
      </w:tr>
      <w:tr>
        <w:trPr>
          <w:trHeight w:val="324"/>
        </w:trPr>
        <w:tc>
          <w:tcPr>
            <w:tcW w:w="560" w:type="dxa"/>
            <w:vAlign w:val="bottom"/>
          </w:tcPr>
          <w:p>
            <w:pPr>
              <w:ind w:left="80"/>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Bylaws of Rani Therapeutics Holdings, Inc., as currently in effect.</w:t>
            </w:r>
          </w:p>
        </w:tc>
        <w:tc>
          <w:tcPr>
            <w:tcW w:w="0" w:type="dxa"/>
            <w:vAlign w:val="bottom"/>
          </w:tcPr>
          <w:p>
            <w:pPr>
              <w:spacing w:after="0"/>
              <w:rPr>
                <w:sz w:val="1"/>
                <w:szCs w:val="1"/>
                <w:color w:val="auto"/>
              </w:rPr>
            </w:pPr>
          </w:p>
        </w:tc>
      </w:tr>
      <w:tr>
        <w:trPr>
          <w:trHeight w:val="310"/>
        </w:trPr>
        <w:tc>
          <w:tcPr>
            <w:tcW w:w="560" w:type="dxa"/>
            <w:vAlign w:val="bottom"/>
          </w:tcPr>
          <w:p>
            <w:pPr>
              <w:ind w:left="80"/>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6"/>
              </w:rPr>
              <w:t>Form of Amended and Restated Bylaws of Rani Therapeutics Holdings, Inc., to be in effect immediately prior to the closing of this</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560" w:type="dxa"/>
            <w:vAlign w:val="bottom"/>
          </w:tcPr>
          <w:p>
            <w:pPr>
              <w:ind w:left="80"/>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Specimen Class A common stock certificate of Rani Therapeutics Holdings, Inc.</w:t>
            </w:r>
          </w:p>
        </w:tc>
        <w:tc>
          <w:tcPr>
            <w:tcW w:w="0" w:type="dxa"/>
            <w:vAlign w:val="bottom"/>
          </w:tcPr>
          <w:p>
            <w:pPr>
              <w:spacing w:after="0"/>
              <w:rPr>
                <w:sz w:val="1"/>
                <w:szCs w:val="1"/>
                <w:color w:val="auto"/>
              </w:rPr>
            </w:pPr>
          </w:p>
        </w:tc>
      </w:tr>
      <w:tr>
        <w:trPr>
          <w:trHeight w:val="324"/>
        </w:trPr>
        <w:tc>
          <w:tcPr>
            <w:tcW w:w="560" w:type="dxa"/>
            <w:vAlign w:val="bottom"/>
          </w:tcPr>
          <w:p>
            <w:pPr>
              <w:ind w:left="80"/>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Tax Receivable Agreement, to be effective upon the closing of this offering.</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Exchange Agreement, to be effective upon the closing of this offering.</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Form of Registration Rights Agreement, to be effective upon the closing of this offering.</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2"/>
              </w:rPr>
              <w:t>Form of Fifth Amended and Restated Limited Liability Company Agreement of Rani Therapeutics, LLC, to be effective upon the closing</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of this offering.</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Form of Indemnification Agreement between Rani Therapeutics Holdings, Inc. and each of its directors and executive officers.</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Rani Therapeutics, LLC 2016 Equity Incentive Plan and forms of agreement thereunder.</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Rani Therapeutics Holdings, Inc. 2021 Equity Incentive Plan and forms of agreement thereunder.</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Rani Therapeutics Holdings, Inc. 2021 Employee Stock Purchase Plan.</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Exclusive License Agreement, by and between Rani Therapeutics, LLC and InCube Labs, LLC, dated June 14, 2012.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Intellectual Property Agreement, by and between Rani Therapeutics, LLC and InCube Labs, LLC, dated June 14, 2012.</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Acknowledgement and Amendment, by and between Rani Therapeutics, LLC and InCube Labs, LLC, dated June 13, 2013.</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Service Agreement, by and between Rani Therapeutics, LLC and InCube Labs, LLC, dated January 1, 2019.</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Amendment No. 1 to Service Agreement, by and between Rani Therapeutics, LLC and InCube Labs, LLC, dated January 1, 2020.</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Amendment No. 2 to Service Agreement, by and between Rani Therapeutics, LLC and InCube Labs, LLC, dated , 2021.</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9"/>
              </w:rPr>
              <w:t>Loan and Security Agreement, by and between Rani Therapeutics, LLC and Avenue Venture Opportunities Fund, L.P., dated</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September 15, 2020.</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5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3"/>
              </w:rPr>
              <w:t>Promissory Note, by and between Rani Therapeutics, LLC and Avenue Venture Opportunities Fund, L.P., dated September 15, 2020.</w:t>
            </w: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920" w:type="dxa"/>
            <w:vAlign w:val="bottom"/>
          </w:tcPr>
          <w:p>
            <w:pPr>
              <w:ind w:left="426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9880" w:type="dxa"/>
            <w:vAlign w:val="bottom"/>
            <w:vMerge w:val="restart"/>
          </w:tcPr>
          <w:p>
            <w:pPr>
              <w:ind w:left="4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9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w w:val="93"/>
              </w:rPr>
              <w:t>Supplement to the Loan and Security Agreement, by and between Rani Therapeutics, LLC and Avenue Venture Opportunities Fund,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L.P., dated September 15, 2020.</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Subsidiaries of Rani Therapeutics Holdings,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Independent Registered Public Accounting Firm, as to Rani Therapeutics Holdings, Inc.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Independent Registered Public Accounting Firm, as to Rani Therapeutic, LLC.</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23.3*</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10520" w:type="dxa"/>
            <w:vAlign w:val="bottom"/>
            <w:gridSpan w:val="2"/>
          </w:tcPr>
          <w:p>
            <w:pPr>
              <w:ind w:left="640"/>
              <w:spacing w:after="0"/>
              <w:rPr>
                <w:sz w:val="20"/>
                <w:szCs w:val="20"/>
                <w:color w:val="auto"/>
              </w:rPr>
            </w:pPr>
            <w:r>
              <w:rPr>
                <w:rFonts w:ascii="Arial" w:cs="Arial" w:eastAsia="Arial" w:hAnsi="Arial"/>
                <w:sz w:val="18"/>
                <w:szCs w:val="18"/>
                <w:color w:val="auto"/>
              </w:rPr>
              <w:t>Power of Attorney (reference is made to the signature page thereto).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9" w:lineRule="exact"/>
        <w:rPr>
          <w:sz w:val="20"/>
          <w:szCs w:val="20"/>
          <w:color w:val="auto"/>
        </w:rPr>
      </w:pPr>
    </w:p>
    <w:p>
      <w:pPr>
        <w:ind w:left="540" w:right="620" w:hanging="424"/>
        <w:spacing w:after="0" w:line="290" w:lineRule="auto"/>
        <w:tabs>
          <w:tab w:leader="none" w:pos="5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Pursuant to Item 601(b)(10) of Regulation S-K, portions of this exhibit have been omitted as the registrant has determined that the omitted information (1) is not material and (2) would likely cause competitive harm to the registrant if publicly disclosed.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r>
              <w:rPr>
                <w:rFonts w:ascii="Arial" w:cs="Arial" w:eastAsia="Arial" w:hAnsi="Arial"/>
                <w:sz w:val="18"/>
                <w:szCs w:val="18"/>
                <w:color w:val="auto"/>
                <w:w w:val="94"/>
              </w:rPr>
              <w:t>signed on its behalf by the undersigned, thereunto duly authorized, in the City of San Jose, State of California,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1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Mir Imran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Mir Imran, and Svai Sanford as his or her true and lawful attorneys-in-fact and agents, with full power of substitution and substitution, for him or her and in his or her name, place, and stead, in any and all capacities (including his or her capacity as a director and/or officer of Rani Therapeutics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4"/>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President, Chief Executive Officer and Chairman</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09"/>
        </w:trPr>
        <w:tc>
          <w:tcPr>
            <w:tcW w:w="4960" w:type="dxa"/>
            <w:vAlign w:val="bottom"/>
          </w:tcPr>
          <w:p>
            <w:pPr>
              <w:jc w:val="center"/>
              <w:spacing w:after="0"/>
              <w:rPr>
                <w:sz w:val="20"/>
                <w:szCs w:val="20"/>
                <w:color w:val="auto"/>
              </w:rPr>
            </w:pPr>
            <w:r>
              <w:rPr>
                <w:rFonts w:ascii="Arial" w:cs="Arial" w:eastAsia="Arial" w:hAnsi="Arial"/>
                <w:sz w:val="18"/>
                <w:szCs w:val="18"/>
                <w:color w:val="auto"/>
                <w:w w:val="99"/>
              </w:rPr>
              <w:t>Mir Imran</w:t>
            </w:r>
          </w:p>
        </w:tc>
        <w:tc>
          <w:tcPr>
            <w:tcW w:w="4180" w:type="dxa"/>
            <w:vAlign w:val="bottom"/>
            <w:gridSpan w:val="3"/>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Financial Officer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09"/>
        </w:trPr>
        <w:tc>
          <w:tcPr>
            <w:tcW w:w="4960" w:type="dxa"/>
            <w:vAlign w:val="bottom"/>
          </w:tcPr>
          <w:p>
            <w:pPr>
              <w:jc w:val="center"/>
              <w:spacing w:after="0"/>
              <w:rPr>
                <w:sz w:val="20"/>
                <w:szCs w:val="20"/>
                <w:color w:val="auto"/>
              </w:rPr>
            </w:pPr>
            <w:r>
              <w:rPr>
                <w:rFonts w:ascii="Arial" w:cs="Arial" w:eastAsia="Arial" w:hAnsi="Arial"/>
                <w:sz w:val="18"/>
                <w:szCs w:val="18"/>
                <w:color w:val="auto"/>
                <w:w w:val="89"/>
              </w:rPr>
              <w:t>Svai Sanford</w:t>
            </w:r>
          </w:p>
        </w:tc>
        <w:tc>
          <w:tcPr>
            <w:tcW w:w="4180" w:type="dxa"/>
            <w:vAlign w:val="bottom"/>
            <w:gridSpan w:val="3"/>
            <w:vMerge w:val="continue"/>
          </w:tcPr>
          <w:p>
            <w:pPr>
              <w:spacing w:after="0"/>
              <w:rPr>
                <w:sz w:val="18"/>
                <w:szCs w:val="18"/>
                <w:color w:val="auto"/>
              </w:rPr>
            </w:pPr>
          </w:p>
        </w:tc>
        <w:tc>
          <w:tcPr>
            <w:tcW w:w="1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Financial and Accounting Officer)</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Chief Scientific Officer and Director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6"/>
              </w:rPr>
              <w:t>Mir Hashim</w:t>
            </w:r>
          </w:p>
        </w:tc>
        <w:tc>
          <w:tcPr>
            <w:tcW w:w="418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Dennis Ausiello</w:t>
            </w:r>
          </w:p>
        </w:tc>
        <w:tc>
          <w:tcPr>
            <w:tcW w:w="418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9"/>
              </w:rPr>
              <w:t>Jean-Luc Butel</w:t>
            </w:r>
          </w:p>
        </w:tc>
        <w:tc>
          <w:tcPr>
            <w:tcW w:w="418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Laureen DeBuono</w:t>
            </w:r>
          </w:p>
        </w:tc>
        <w:tc>
          <w:tcPr>
            <w:tcW w:w="418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Andrew Farquharson</w:t>
            </w:r>
          </w:p>
        </w:tc>
        <w:tc>
          <w:tcPr>
            <w:tcW w:w="418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4960" w:type="dxa"/>
            <w:vAlign w:val="bottom"/>
            <w:tcBorders>
              <w:bottom w:val="single" w:sz="8" w:color="auto"/>
            </w:tcBorders>
          </w:tcPr>
          <w:p>
            <w:pPr>
              <w:spacing w:after="0"/>
              <w:rPr>
                <w:sz w:val="24"/>
                <w:szCs w:val="24"/>
                <w:color w:val="auto"/>
              </w:rPr>
            </w:pPr>
          </w:p>
        </w:tc>
        <w:tc>
          <w:tcPr>
            <w:tcW w:w="418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Maulik Nanavaty</w:t>
            </w:r>
          </w:p>
        </w:tc>
        <w:tc>
          <w:tcPr>
            <w:tcW w:w="4180" w:type="dxa"/>
            <w:vAlign w:val="bottom"/>
            <w:gridSpan w:val="3"/>
            <w:vMerge w:val="continue"/>
          </w:tcPr>
          <w:p>
            <w:pPr>
              <w:spacing w:after="0"/>
              <w:rPr>
                <w:sz w:val="19"/>
                <w:szCs w:val="19"/>
                <w:color w:val="auto"/>
              </w:rPr>
            </w:pPr>
          </w:p>
        </w:tc>
        <w:tc>
          <w:tcPr>
            <w:tcW w:w="1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Arial" w:cs="Arial" w:eastAsia="Arial" w:hAnsi="Arial"/>
                <w:sz w:val="18"/>
                <w:szCs w:val="18"/>
                <w:color w:val="auto"/>
              </w:rPr>
              <w:t>II-6</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The undersigned, a natural person (the “</w:t>
      </w:r>
      <w:r>
        <w:rPr>
          <w:rFonts w:ascii="Arial" w:cs="Arial" w:eastAsia="Arial" w:hAnsi="Arial"/>
          <w:sz w:val="16"/>
          <w:szCs w:val="16"/>
          <w:b w:val="1"/>
          <w:bCs w:val="1"/>
          <w:i w:val="1"/>
          <w:iCs w:val="1"/>
          <w:color w:val="auto"/>
        </w:rPr>
        <w:t>Sole Incorporator</w:t>
      </w:r>
      <w:r>
        <w:rPr>
          <w:rFonts w:ascii="Arial" w:cs="Arial" w:eastAsia="Arial" w:hAnsi="Arial"/>
          <w:sz w:val="16"/>
          <w:szCs w:val="16"/>
          <w:color w:val="auto"/>
        </w:rPr>
        <w:t>”), for the purpose of organizing a corporation to conduct the business and promote the purposes hereinafter stated, under the provisions and subject to the requirements of the laws of the State of Delaware hereby certifies that: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Rani Therapeutics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registered office of the corporation in the State of Delaware is 1209 Orange Street – Corporation Trust Center, City of Wilmington, County of New Castle, 19801 and the name of the registered agent of the corporation in the State of Delaware at such address is The Corporation Trust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Delaware General Corporation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9"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corporation is authorized to issue only one class of stock, to be designated Common Stock. The total number of shares of Common Stock presently authorized is 1,000, each having a par value of $0.0001.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A. Management by Board of Directors</w:t>
      </w:r>
      <w:r>
        <w:rPr>
          <w:rFonts w:ascii="Arial" w:cs="Arial" w:eastAsia="Arial" w:hAnsi="Arial"/>
          <w:sz w:val="18"/>
          <w:szCs w:val="18"/>
          <w:color w:val="auto"/>
        </w:rPr>
        <w:t>. The management of the business and the conduct of the affairs of the corporation will be vested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The number of directors which will constitute the whole Board of Directors will be fixed by the Board of Directors in the manner provided in the Bylaws. Unless and except to the extent that the bylaws of the corporation so require the election of directors of the corporation need not be by written ballot.</w:t>
      </w:r>
    </w:p>
    <w:p>
      <w:pPr>
        <w:spacing w:after="0" w:line="180"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b w:val="1"/>
          <w:bCs w:val="1"/>
          <w:color w:val="auto"/>
        </w:rPr>
        <w:t>B. No Cumulative Voting</w:t>
      </w:r>
      <w:r>
        <w:rPr>
          <w:rFonts w:ascii="Arial" w:cs="Arial" w:eastAsia="Arial" w:hAnsi="Arial"/>
          <w:sz w:val="18"/>
          <w:szCs w:val="18"/>
          <w:color w:val="auto"/>
        </w:rPr>
        <w:t>. No person entitled to vote at an election for directors may cumulate votes to which such person is entitled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will be entitled to so cumulate such stockholder’s votes unless (1) the names of such candidate or candidates have been placed in nomination prior to the voting and (2) the stockholder has given notice at the meeting,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81" w:name="page282"/>
    <w:bookmarkEnd w:id="281"/>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80"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C. Removal</w:t>
      </w:r>
      <w:r>
        <w:rPr>
          <w:rFonts w:ascii="Arial" w:cs="Arial" w:eastAsia="Arial" w:hAnsi="Arial"/>
          <w:sz w:val="18"/>
          <w:szCs w:val="18"/>
          <w:color w:val="auto"/>
        </w:rPr>
        <w:t>. Subject to any limitations imposed by applicable law, the Board of Directors or any director may be removed from office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with or without cause, by the affirmative vote of the holders of a majority of the voting power of all then-outstanding shares of capital stock of the corporation entitled to vote generally at an election of directors.</w:t>
      </w:r>
    </w:p>
    <w:p>
      <w:pPr>
        <w:spacing w:after="0" w:line="176"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D. Empowerment Regarding Bylaws</w:t>
      </w:r>
      <w:r>
        <w:rPr>
          <w:rFonts w:ascii="Arial" w:cs="Arial" w:eastAsia="Arial" w:hAnsi="Arial"/>
          <w:sz w:val="17"/>
          <w:szCs w:val="17"/>
          <w:color w:val="auto"/>
        </w:rPr>
        <w:t>. The Board of Directors is expressly empowered to adopt, amend or repeal the Bylaws of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stockholders will also have power to adopt, amend or repeal the Bylaws of the corporation; provided, however, that, in addition to any vote of the holders of any class or series of stock of the corporation required by law or by this Certificate of Incorporation, such action by stockholders will require the affirmative vote of the holders of at least a majority of the voting power of all of the then-outstanding shares of the capital stock of the corporation entitled to vote generally in the election of directors, voting together as a single class.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A. Liability of Directors Limited</w:t>
      </w:r>
      <w:r>
        <w:rPr>
          <w:rFonts w:ascii="Arial" w:cs="Arial" w:eastAsia="Arial" w:hAnsi="Arial"/>
          <w:sz w:val="18"/>
          <w:szCs w:val="18"/>
          <w:color w:val="auto"/>
        </w:rPr>
        <w:t>. The liability of the directors for monetary damages for breach of fiduciary duty as a director is eliminated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fullest extent under applicable law.</w:t>
      </w:r>
    </w:p>
    <w:p>
      <w:pPr>
        <w:spacing w:after="0" w:line="162" w:lineRule="exact"/>
        <w:rPr>
          <w:sz w:val="20"/>
          <w:szCs w:val="20"/>
          <w:color w:val="auto"/>
        </w:rPr>
      </w:pPr>
    </w:p>
    <w:p>
      <w:pPr>
        <w:ind w:right="80" w:firstLine="440"/>
        <w:spacing w:after="0" w:line="294" w:lineRule="auto"/>
        <w:rPr>
          <w:sz w:val="20"/>
          <w:szCs w:val="20"/>
          <w:color w:val="auto"/>
        </w:rPr>
      </w:pPr>
      <w:r>
        <w:rPr>
          <w:rFonts w:ascii="Arial" w:cs="Arial" w:eastAsia="Arial" w:hAnsi="Arial"/>
          <w:sz w:val="16"/>
          <w:szCs w:val="16"/>
          <w:b w:val="1"/>
          <w:bCs w:val="1"/>
          <w:color w:val="auto"/>
        </w:rPr>
        <w:t>B. Indemnification Authorized</w:t>
      </w:r>
      <w:r>
        <w:rPr>
          <w:rFonts w:ascii="Arial" w:cs="Arial" w:eastAsia="Arial" w:hAnsi="Arial"/>
          <w:sz w:val="16"/>
          <w:szCs w:val="16"/>
          <w:color w:val="auto"/>
        </w:rPr>
        <w:t>. To the fullest extent permitted by applicable law, the corporation is authorized to provide indemnification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(and advancement of expenses to) directors, officers and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corporation will be eliminated or limited to the fullest extent permitted by applicable law as so amended.</w:t>
      </w:r>
    </w:p>
    <w:p>
      <w:pPr>
        <w:spacing w:after="0" w:line="160"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C. Limitation on Repeal of Article VI</w:t>
      </w:r>
      <w:r>
        <w:rPr>
          <w:rFonts w:ascii="Arial" w:cs="Arial" w:eastAsia="Arial" w:hAnsi="Arial"/>
          <w:sz w:val="18"/>
          <w:szCs w:val="18"/>
          <w:color w:val="auto"/>
        </w:rPr>
        <w:t>. Any repeal or modification of this Article VI is only prospective and does not affect the rights or</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protections or increase the liability of any officer or director under this Article VI in effect at the time of the alleged occurrence of any act or omission to act giving rise to liability or indemnification.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The corporation reserves the right to amend, alter, change or repeal any provision contained in this Certificate of Incorporation, in the manner now or hereafter prescribed by statute, and all rights conferred upon the stockholders herein are granted subject to this reservation.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the mailing address of the Sole Incorporator is: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2051 Ringwood Ave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San Jose, California 95131</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82" w:name="page283"/>
    <w:bookmarkEnd w:id="28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IX.</w:t>
      </w:r>
    </w:p>
    <w:p>
      <w:pPr>
        <w:spacing w:after="0" w:line="229"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in the State of Delaware will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or otherwise related to the Company’s internal affairs,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IX is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IX (including, without limitation, each portion of any sentence of this Article IX containing any such provision held to be invalid, illegal or unenforceable that is not itself held to be invalid, illegal or unenforceable) and the application of such provision to other persons or entities and circumstances will not in any way be affected or impaired thereby.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[Remainder of this page intentionally left blank]</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0" w:right="519" w:bottom="1440" w:gutter="0" w:footer="0" w:header="0"/>
        </w:sectPr>
      </w:pPr>
    </w:p>
    <w:bookmarkStart w:id="283" w:name="page284"/>
    <w:bookmarkEnd w:id="2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has been subscribed as of April 6, 2021 by the undersigned who affirms that the statements made herein are true and correct.</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Svai Sanford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Sole Incorporator</w:t>
      </w:r>
    </w:p>
    <w:p>
      <w:pPr>
        <w:sectPr>
          <w:pgSz w:w="11900" w:h="16838" w:orient="portrait"/>
          <w:cols w:equalWidth="0" w:num="1">
            <w:col w:w="10140"/>
          </w:cols>
          <w:pgMar w:left="880" w:top="274" w:right="87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RANI THERAPEUTICS HOLDINGS, INC.</w:t>
      </w:r>
    </w:p>
    <w:p>
      <w:pPr>
        <w:spacing w:after="0" w:line="200" w:lineRule="exact"/>
        <w:rPr>
          <w:sz w:val="20"/>
          <w:szCs w:val="20"/>
          <w:color w:val="auto"/>
        </w:rPr>
      </w:pPr>
    </w:p>
    <w:p>
      <w:pPr>
        <w:spacing w:after="0" w:line="24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285" w:name="page286"/>
    <w:bookmarkEnd w:id="28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OFFICES</w:t>
      </w:r>
    </w:p>
    <w:p>
      <w:pPr>
        <w:spacing w:after="0" w:line="225" w:lineRule="exact"/>
        <w:rPr>
          <w:sz w:val="20"/>
          <w:szCs w:val="20"/>
          <w:color w:val="auto"/>
        </w:rPr>
      </w:pPr>
    </w:p>
    <w:p>
      <w:pPr>
        <w:jc w:val="both"/>
        <w:ind w:left="4" w:right="40" w:firstLine="440"/>
        <w:spacing w:after="0" w:line="266" w:lineRule="auto"/>
        <w:rPr>
          <w:sz w:val="20"/>
          <w:szCs w:val="20"/>
          <w:color w:val="auto"/>
        </w:rPr>
      </w:pPr>
      <w:r>
        <w:rPr>
          <w:rFonts w:ascii="Arial" w:cs="Arial" w:eastAsia="Arial" w:hAnsi="Arial"/>
          <w:sz w:val="18"/>
          <w:szCs w:val="18"/>
          <w:b w:val="1"/>
          <w:bCs w:val="1"/>
          <w:color w:val="auto"/>
        </w:rPr>
        <w:t>Section 1. Registered Office</w:t>
      </w:r>
      <w:r>
        <w:rPr>
          <w:rFonts w:ascii="Arial" w:cs="Arial" w:eastAsia="Arial" w:hAnsi="Arial"/>
          <w:sz w:val="18"/>
          <w:szCs w:val="18"/>
          <w:color w:val="auto"/>
        </w:rPr>
        <w:t>. The registered office of the corporation in the State of Delaware is 1209 Orange Street – Corporation Trust Center,</w:t>
      </w:r>
      <w:r>
        <w:rPr>
          <w:rFonts w:ascii="Arial" w:cs="Arial" w:eastAsia="Arial" w:hAnsi="Arial"/>
          <w:sz w:val="18"/>
          <w:szCs w:val="18"/>
          <w:b w:val="1"/>
          <w:bCs w:val="1"/>
          <w:color w:val="auto"/>
        </w:rPr>
        <w:t xml:space="preserve"> </w:t>
      </w:r>
      <w:r>
        <w:rPr>
          <w:rFonts w:ascii="Arial" w:cs="Arial" w:eastAsia="Arial" w:hAnsi="Arial"/>
          <w:sz w:val="18"/>
          <w:szCs w:val="18"/>
          <w:color w:val="auto"/>
        </w:rPr>
        <w:t>City of Wilmington, County of New Castle, 19801 or in such other location as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may from time to time determine or the business of the corporation may require.</w:t>
      </w:r>
    </w:p>
    <w:p>
      <w:pPr>
        <w:spacing w:after="0" w:line="176"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b w:val="1"/>
          <w:bCs w:val="1"/>
          <w:color w:val="auto"/>
        </w:rPr>
        <w:t>Section 2. Other Offices</w:t>
      </w:r>
      <w:r>
        <w:rPr>
          <w:rFonts w:ascii="Arial" w:cs="Arial" w:eastAsia="Arial" w:hAnsi="Arial"/>
          <w:sz w:val="18"/>
          <w:szCs w:val="18"/>
          <w:color w:val="auto"/>
        </w:rPr>
        <w:t>. The corporation will also have and maintain an office or principal place of business at such place as may be fixed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and may also have offices at such other places, both within and without the State of Delaware, as the Board of Directors may from time to time determine or the business of the corporation may require.</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CORPORATE SEAL</w:t>
      </w:r>
    </w:p>
    <w:p>
      <w:pPr>
        <w:spacing w:after="0" w:line="225"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Section 3. Corporate Seal</w:t>
      </w:r>
      <w:r>
        <w:rPr>
          <w:rFonts w:ascii="Arial" w:cs="Arial" w:eastAsia="Arial" w:hAnsi="Arial"/>
          <w:sz w:val="18"/>
          <w:szCs w:val="18"/>
          <w:color w:val="auto"/>
        </w:rPr>
        <w:t>. The Board of Directors may adopt a corporate seal. Said seal may be used by causing it or a facsimile thereof to be</w:t>
      </w:r>
      <w:r>
        <w:rPr>
          <w:rFonts w:ascii="Arial" w:cs="Arial" w:eastAsia="Arial" w:hAnsi="Arial"/>
          <w:sz w:val="18"/>
          <w:szCs w:val="18"/>
          <w:b w:val="1"/>
          <w:bCs w:val="1"/>
          <w:color w:val="auto"/>
        </w:rPr>
        <w:t xml:space="preserve"> </w:t>
      </w:r>
      <w:r>
        <w:rPr>
          <w:rFonts w:ascii="Arial" w:cs="Arial" w:eastAsia="Arial" w:hAnsi="Arial"/>
          <w:sz w:val="18"/>
          <w:szCs w:val="18"/>
          <w:color w:val="auto"/>
        </w:rPr>
        <w:t>impressed or affixed or reproduced or otherwise.</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STOCKHOLDERS’ MEETINGS</w:t>
      </w:r>
    </w:p>
    <w:p>
      <w:pPr>
        <w:spacing w:after="0" w:line="225" w:lineRule="exact"/>
        <w:rPr>
          <w:sz w:val="20"/>
          <w:szCs w:val="20"/>
          <w:color w:val="auto"/>
        </w:rPr>
      </w:pPr>
    </w:p>
    <w:p>
      <w:pPr>
        <w:ind w:left="4" w:right="360" w:firstLine="440"/>
        <w:spacing w:after="0" w:line="261" w:lineRule="auto"/>
        <w:rPr>
          <w:sz w:val="20"/>
          <w:szCs w:val="20"/>
          <w:color w:val="auto"/>
        </w:rPr>
      </w:pPr>
      <w:r>
        <w:rPr>
          <w:rFonts w:ascii="Arial" w:cs="Arial" w:eastAsia="Arial" w:hAnsi="Arial"/>
          <w:sz w:val="18"/>
          <w:szCs w:val="18"/>
          <w:b w:val="1"/>
          <w:bCs w:val="1"/>
          <w:color w:val="auto"/>
        </w:rPr>
        <w:t>Section 4. Place of Meetings</w:t>
      </w:r>
      <w:r>
        <w:rPr>
          <w:rFonts w:ascii="Arial" w:cs="Arial" w:eastAsia="Arial" w:hAnsi="Arial"/>
          <w:sz w:val="18"/>
          <w:szCs w:val="18"/>
          <w:color w:val="auto"/>
        </w:rPr>
        <w:t>. Meetings of the stockholders of the corporation may be held at such place, either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as may be determined from time to time by the Board of Directors. The Board of Directors may, in its sole discretion, determine that the meeting will not be held at any place, but may instead be held solely by means of remote communication as provided under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5. Annual Meeting</w:t>
      </w:r>
      <w:r>
        <w:rPr>
          <w:rFonts w:ascii="Arial" w:cs="Arial" w:eastAsia="Arial" w:hAnsi="Arial"/>
          <w:sz w:val="18"/>
          <w:szCs w:val="18"/>
          <w:color w:val="auto"/>
        </w:rPr>
        <w:t>.</w:t>
      </w:r>
    </w:p>
    <w:p>
      <w:pPr>
        <w:spacing w:after="0" w:line="121" w:lineRule="exact"/>
        <w:rPr>
          <w:sz w:val="20"/>
          <w:szCs w:val="20"/>
          <w:color w:val="auto"/>
        </w:rPr>
      </w:pPr>
    </w:p>
    <w:p>
      <w:pPr>
        <w:ind w:left="4" w:right="160" w:firstLine="987"/>
        <w:spacing w:after="0" w:line="293" w:lineRule="auto"/>
        <w:tabs>
          <w:tab w:leader="none" w:pos="1250" w:val="left"/>
        </w:tabs>
        <w:numPr>
          <w:ilvl w:val="1"/>
          <w:numId w:val="161"/>
        </w:numPr>
        <w:rPr>
          <w:rFonts w:ascii="Arial" w:cs="Arial" w:eastAsia="Arial" w:hAnsi="Arial"/>
          <w:sz w:val="16"/>
          <w:szCs w:val="16"/>
          <w:b w:val="1"/>
          <w:bCs w:val="1"/>
          <w:color w:val="auto"/>
        </w:rPr>
      </w:pPr>
      <w:r>
        <w:rPr>
          <w:rFonts w:ascii="Arial" w:cs="Arial" w:eastAsia="Arial" w:hAnsi="Arial"/>
          <w:sz w:val="16"/>
          <w:szCs w:val="16"/>
          <w:color w:val="auto"/>
        </w:rPr>
        <w:t>The annual meeting of the stockholders of the corporation, for the purpose of election of directors and for such other business as may lawfully come before it, will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spacing w:after="0" w:line="164" w:lineRule="exact"/>
        <w:rPr>
          <w:rFonts w:ascii="Arial" w:cs="Arial" w:eastAsia="Arial" w:hAnsi="Arial"/>
          <w:sz w:val="16"/>
          <w:szCs w:val="16"/>
          <w:b w:val="1"/>
          <w:bCs w:val="1"/>
          <w:color w:val="auto"/>
        </w:rPr>
      </w:pPr>
    </w:p>
    <w:p>
      <w:pPr>
        <w:ind w:left="4" w:right="100" w:firstLine="987"/>
        <w:spacing w:after="0" w:line="291" w:lineRule="auto"/>
        <w:tabs>
          <w:tab w:leader="none" w:pos="1260" w:val="left"/>
        </w:tabs>
        <w:numPr>
          <w:ilvl w:val="1"/>
          <w:numId w:val="161"/>
        </w:numPr>
        <w:rPr>
          <w:rFonts w:ascii="Arial" w:cs="Arial" w:eastAsia="Arial" w:hAnsi="Arial"/>
          <w:sz w:val="16"/>
          <w:szCs w:val="16"/>
          <w:b w:val="1"/>
          <w:bCs w:val="1"/>
          <w:color w:val="auto"/>
        </w:rPr>
      </w:pPr>
      <w:r>
        <w:rPr>
          <w:rFonts w:ascii="Arial" w:cs="Arial" w:eastAsia="Arial" w:hAnsi="Arial"/>
          <w:sz w:val="16"/>
          <w:szCs w:val="16"/>
          <w:color w:val="auto"/>
        </w:rPr>
        <w:t>At an annual meeting of the stockholders, only such business will be conducted as has been properly brought before the meeting. For nominations or other business to be properly brought before an annual meeting by a stockholder pursuant to clause (iii) of paragraph (a) of this Section,</w:t>
      </w:r>
    </w:p>
    <w:p>
      <w:pPr>
        <w:ind w:left="4" w:right="20" w:hanging="4"/>
        <w:spacing w:after="0" w:line="253" w:lineRule="auto"/>
        <w:tabs>
          <w:tab w:leader="none" w:pos="21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stockholder must have given timely notice thereof in writing to the Secretary of the corporation, (ii) such other business must be a proper matter for stockholder action under the DGCL and applicable law, (iii) if the stockholder, or the beneficial owner on whose behalf any such proposal or nomination is made, has provided the corporation with a Solicitation Notice (as defined in this paragraph), such stockholder or beneficial owner must, in the case of a proposal, have delivered a proxy statement and form of proxy to</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286" w:name="page287"/>
    <w:bookmarkEnd w:id="28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will be delivered to the Secretary at the principal executive offices of the corporation not later than the close of business on the 90</w:t>
      </w:r>
      <w:r>
        <w:rPr>
          <w:rFonts w:ascii="Arial" w:cs="Arial" w:eastAsia="Arial" w:hAnsi="Arial"/>
          <w:sz w:val="13"/>
          <w:szCs w:val="13"/>
          <w:color w:val="auto"/>
        </w:rPr>
        <w:t>th</w:t>
      </w:r>
      <w:r>
        <w:rPr>
          <w:rFonts w:ascii="Arial" w:cs="Arial" w:eastAsia="Arial" w:hAnsi="Arial"/>
          <w:sz w:val="16"/>
          <w:szCs w:val="16"/>
          <w:color w:val="auto"/>
        </w:rPr>
        <w:t xml:space="preserve"> day nor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first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or delayed by more than 30 days after the anniversary of the preceding year’s annual meeting, notice by the stockholder to be timely must be so delivered not earlier than the close of business on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In no event will the public announcement of an adjournment of an annual meeting commence a new time period for the giving of a stockholder’s notice as described above. Such stockholder’s notice will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Arial" w:cs="Arial" w:eastAsia="Arial" w:hAnsi="Arial"/>
          <w:sz w:val="16"/>
          <w:szCs w:val="16"/>
          <w:b w:val="1"/>
          <w:bCs w:val="1"/>
          <w:i w:val="1"/>
          <w:iCs w:val="1"/>
          <w:color w:val="auto"/>
        </w:rPr>
        <w:t>1934 Act</w:t>
      </w:r>
      <w:r>
        <w:rPr>
          <w:rFonts w:ascii="Arial" w:cs="Arial" w:eastAsia="Arial" w:hAnsi="Arial"/>
          <w:sz w:val="16"/>
          <w:szCs w:val="16"/>
          <w:color w:val="auto"/>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Arial" w:cs="Arial" w:eastAsia="Arial" w:hAnsi="Arial"/>
          <w:sz w:val="16"/>
          <w:szCs w:val="16"/>
          <w:b w:val="1"/>
          <w:bCs w:val="1"/>
          <w:i w:val="1"/>
          <w:iCs w:val="1"/>
          <w:color w:val="auto"/>
        </w:rPr>
        <w:t>Solicitation Notice</w:t>
      </w:r>
      <w:r>
        <w:rPr>
          <w:rFonts w:ascii="Arial" w:cs="Arial" w:eastAsia="Arial" w:hAnsi="Arial"/>
          <w:sz w:val="16"/>
          <w:szCs w:val="16"/>
          <w:color w:val="auto"/>
        </w:rPr>
        <w:t>”).</w:t>
      </w:r>
    </w:p>
    <w:p>
      <w:pPr>
        <w:spacing w:after="0" w:line="391" w:lineRule="exact"/>
        <w:rPr>
          <w:sz w:val="20"/>
          <w:szCs w:val="20"/>
          <w:color w:val="auto"/>
        </w:rPr>
      </w:pPr>
    </w:p>
    <w:p>
      <w:pPr>
        <w:ind w:right="120" w:firstLine="987"/>
        <w:spacing w:after="0" w:line="273" w:lineRule="auto"/>
        <w:tabs>
          <w:tab w:leader="none" w:pos="1236" w:val="left"/>
        </w:tabs>
        <w:numPr>
          <w:ilvl w:val="0"/>
          <w:numId w:val="163"/>
        </w:numPr>
        <w:rPr>
          <w:rFonts w:ascii="Arial" w:cs="Arial" w:eastAsia="Arial" w:hAnsi="Arial"/>
          <w:sz w:val="17"/>
          <w:szCs w:val="17"/>
          <w:b w:val="1"/>
          <w:bCs w:val="1"/>
          <w:color w:val="auto"/>
        </w:rPr>
      </w:pPr>
      <w:r>
        <w:rPr>
          <w:rFonts w:ascii="Arial" w:cs="Arial" w:eastAsia="Arial" w:hAnsi="Arial"/>
          <w:sz w:val="17"/>
          <w:szCs w:val="17"/>
          <w:color w:val="auto"/>
        </w:rPr>
        <w:t>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100 days prior to the first anniversary of the preceding year’s annual meeting, a stockholder’s notice required by this Section will also be considered timely, but only with respect to nominees for any new positions created by such increase, if it is delivered to the Secretary at the principal executive offices of the corporation not later than the close of business on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such public announcement is first made by the corporation.</w:t>
      </w:r>
    </w:p>
    <w:p>
      <w:pPr>
        <w:spacing w:after="0" w:line="177" w:lineRule="exact"/>
        <w:rPr>
          <w:rFonts w:ascii="Arial" w:cs="Arial" w:eastAsia="Arial" w:hAnsi="Arial"/>
          <w:sz w:val="17"/>
          <w:szCs w:val="17"/>
          <w:b w:val="1"/>
          <w:bCs w:val="1"/>
          <w:color w:val="auto"/>
        </w:rPr>
      </w:pPr>
    </w:p>
    <w:p>
      <w:pPr>
        <w:ind w:right="160" w:firstLine="987"/>
        <w:spacing w:after="0" w:line="263" w:lineRule="auto"/>
        <w:tabs>
          <w:tab w:leader="none" w:pos="1256"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Only such persons who are nominated in accordance with the procedures set forth in this Section (or elected or appointed pursuant to Article IV of these Bylaws) will be eligible to serve as directors and only such business will be conducted at a meeting of stockholders as has been brought before the meeting in accordance with the procedures set forth in this Section. Except as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7" w:name="page288"/>
    <w:bookmarkEnd w:id="28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otherwise provided by law, the chair of the meeting will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will not be presented for stockholder action at the meeting and will be disregarded.</w:t>
      </w:r>
    </w:p>
    <w:p>
      <w:pPr>
        <w:spacing w:after="0" w:line="187" w:lineRule="exact"/>
        <w:rPr>
          <w:sz w:val="20"/>
          <w:szCs w:val="20"/>
          <w:color w:val="auto"/>
        </w:rPr>
      </w:pPr>
    </w:p>
    <w:p>
      <w:pPr>
        <w:jc w:val="both"/>
        <w:ind w:right="140" w:firstLine="987"/>
        <w:spacing w:after="0" w:line="259" w:lineRule="auto"/>
        <w:tabs>
          <w:tab w:leader="none" w:pos="1236"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is deemed to affect any rights of stockholders to request inclusion of proposals in the corporation proxy statement pursuant to Rule 14a-8 under the 1934 Act.</w:t>
      </w:r>
    </w:p>
    <w:p>
      <w:pPr>
        <w:spacing w:after="0" w:line="186" w:lineRule="exact"/>
        <w:rPr>
          <w:rFonts w:ascii="Arial" w:cs="Arial" w:eastAsia="Arial" w:hAnsi="Arial"/>
          <w:sz w:val="18"/>
          <w:szCs w:val="18"/>
          <w:b w:val="1"/>
          <w:bCs w:val="1"/>
          <w:color w:val="auto"/>
        </w:rPr>
      </w:pPr>
    </w:p>
    <w:p>
      <w:pPr>
        <w:ind w:right="80" w:firstLine="987"/>
        <w:spacing w:after="0" w:line="263" w:lineRule="auto"/>
        <w:tabs>
          <w:tab w:leader="none" w:pos="1216"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For purposes of this Section, “public announcement” means disclosure in a press release reported by the Dow Jones News Service, Associated Press or comparable national news service or in a document publicly filed by the corporation with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pursuant to Section 13, 14 or 15(d) of the 1934 Act.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6. Special Meetings</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59" w:lineRule="auto"/>
        <w:tabs>
          <w:tab w:leader="none" w:pos="1246" w:val="left"/>
        </w:tabs>
        <w:numPr>
          <w:ilvl w:val="0"/>
          <w:numId w:val="165"/>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of the corporation may be called, for any purpose or purposes, by (i) the Chair of the Board of Directors, (ii) the Chief Executive Officer, (iii) the Board of Directors pursuant to a resolution adopted by directors representing a quorum of the directors then serving on the Board of Directors or (iv) by the holders of shares entitled to cast not less than 20% of the votes at the meeting, and will be held at such place, on such date, and at such time as the Board of Directors will fix.</w:t>
      </w:r>
    </w:p>
    <w:p>
      <w:pPr>
        <w:spacing w:after="0" w:line="186" w:lineRule="exact"/>
        <w:rPr>
          <w:rFonts w:ascii="Arial" w:cs="Arial" w:eastAsia="Arial" w:hAnsi="Arial"/>
          <w:sz w:val="18"/>
          <w:szCs w:val="18"/>
          <w:b w:val="1"/>
          <w:bCs w:val="1"/>
          <w:color w:val="auto"/>
        </w:rPr>
      </w:pPr>
    </w:p>
    <w:p>
      <w:pPr>
        <w:ind w:firstLine="987"/>
        <w:spacing w:after="0" w:line="271" w:lineRule="auto"/>
        <w:tabs>
          <w:tab w:leader="none" w:pos="1256" w:val="left"/>
        </w:tabs>
        <w:numPr>
          <w:ilvl w:val="0"/>
          <w:numId w:val="165"/>
        </w:numPr>
        <w:rPr>
          <w:rFonts w:ascii="Arial" w:cs="Arial" w:eastAsia="Arial" w:hAnsi="Arial"/>
          <w:sz w:val="17"/>
          <w:szCs w:val="17"/>
          <w:b w:val="1"/>
          <w:bCs w:val="1"/>
          <w:color w:val="auto"/>
        </w:rPr>
      </w:pPr>
      <w:r>
        <w:rPr>
          <w:rFonts w:ascii="Arial" w:cs="Arial" w:eastAsia="Arial" w:hAnsi="Arial"/>
          <w:sz w:val="17"/>
          <w:szCs w:val="17"/>
          <w:color w:val="auto"/>
        </w:rPr>
        <w:t>If a special meeting is properly called by any person or persons other than the Board of Directors, the request must be in writing, specifying the general nature of the business proposed to be transacted, and must be delivered personally or sent by certified or registered mail, return receipt requested, or by telegraphic or other facsimile transmission to the Chair of the Board of Directors, the Chief Executive Officer, or the Secretary of the corporation. No business may be transacted at such special meeting otherwise than specified in such notice. The Board of Directors will determine the time and place of such special meeting, which will be held not less than 35 nor more than 120 days after the date of the receipt of the request. Upon determination of the time and place of the meeting, the officer receiving the request will cause notice to be given to the stockholders entitled to vote, in accordance with the provisions of Section 7 of these Bylaws. Nothing contained in this paragraph (b) is to be construed as limiting, fixing, or affecting the time when a meeting of stockholders called by action of the Board of Directors may be held.</w:t>
      </w:r>
    </w:p>
    <w:p>
      <w:pPr>
        <w:spacing w:after="0" w:line="174"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Section 7. Notice of Meetings</w:t>
      </w:r>
      <w:r>
        <w:rPr>
          <w:rFonts w:ascii="Arial" w:cs="Arial" w:eastAsia="Arial" w:hAnsi="Arial"/>
          <w:sz w:val="17"/>
          <w:szCs w:val="17"/>
          <w:color w:val="auto"/>
        </w:rPr>
        <w:t>. Except as otherwise provided by law, notice, given in writing or by electronic transmission, of each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will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will be bound by the proceedings of any such meeting in all respects as if due notice thereof had been given.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88" w:name="page289"/>
    <w:bookmarkEnd w:id="288"/>
    <w:p>
      <w:pPr>
        <w:ind w:firstLine="440"/>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 Quorum</w:t>
      </w:r>
      <w:r>
        <w:rPr>
          <w:rFonts w:ascii="Arial" w:cs="Arial" w:eastAsia="Arial" w:hAnsi="Arial"/>
          <w:sz w:val="16"/>
          <w:szCs w:val="16"/>
          <w:color w:val="auto"/>
        </w:rPr>
        <w:t>. At all meetings of stockholders, except as otherwise provided by statute, the Certificate of Incorporation or these Bylaws,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presence, in person, by remote communication, if applicable, or by proxy duly authorized, of the holders of a majority of the outstanding shares of stock entitled to vote will constitute a quorum for the transaction of business. In the absence of a quorum, any meeting of stockholders may be adjourned, from time to time, either by the chair of the meeting or by vote of the holders of a majority of the shares represented thereat, but no other business will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the Certificate of Incorporation or these Bylaws, in all matters other than the election of directors, the affirmative vote of a majority of shares present in person, by remote communication, if applicable, or represented by proxy duly authorized at the meeting and entitled to vote generally on the subject matter will be the act of the stockholders. Except as otherwise provided by statute, the Certificate of Incorporation or these Bylaws, directors will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as otherwise provided by statute, the Certificate of Incorporation or these Bylaws, a majority of the outstanding shares of such class or classes or series, present in person, by remote communication, if applicable, or represented by proxy duly authorized, will constitute a quorum entitled to take action with respect to that vote on that matter. Except as otherwise provided by statute, the Certificate of Incorporation or these Bylaws, the affirmative vote of the majority (plurality, in the case of the election of directors) of shares of such class or classes or series present in person, by remote communication, if applicable, or represented by proxy at the meeting will be the act of such class or classes or series.</w:t>
      </w:r>
    </w:p>
    <w:p>
      <w:pPr>
        <w:spacing w:after="0" w:line="16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b w:val="1"/>
          <w:bCs w:val="1"/>
          <w:color w:val="auto"/>
        </w:rPr>
        <w:t>Section 9. Adjournment and Notice of Adjourned Meetings</w:t>
      </w:r>
      <w:r>
        <w:rPr>
          <w:rFonts w:ascii="Arial" w:cs="Arial" w:eastAsia="Arial" w:hAnsi="Arial"/>
          <w:sz w:val="17"/>
          <w:szCs w:val="17"/>
          <w:color w:val="auto"/>
        </w:rPr>
        <w:t>. Any meeting of stockholders, whether annual or special, may be adjourned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either by the chair of the meeting or by the vote of a majority of the shares present in person, by remote communication, if applicable, or represented by proxy. When a meeting is adjourned to another time or place, if any, notice need not be given of the adjourned meeting if the time and place, if any, thereof are announced at the meeting at which the adjournment is taken. At the adjourned meeting, the corporation may transact any business that might have been transacted at the original meeting pursuant to the Certificate of Incorporation, these Bylaws or applicable law. If the adjournment is for more than 30 days or if after the adjournment a new record date is fixed for the adjourned meeting, a notice of the adjourned meeting will be given to each stockholder of record entitled to vote at the meeting.</w:t>
      </w:r>
    </w:p>
    <w:p>
      <w:pPr>
        <w:spacing w:after="0" w:line="172" w:lineRule="exact"/>
        <w:rPr>
          <w:sz w:val="20"/>
          <w:szCs w:val="20"/>
          <w:color w:val="auto"/>
        </w:rPr>
      </w:pPr>
    </w:p>
    <w:p>
      <w:pPr>
        <w:ind w:right="100" w:firstLine="440"/>
        <w:spacing w:after="0" w:line="256" w:lineRule="auto"/>
        <w:rPr>
          <w:sz w:val="20"/>
          <w:szCs w:val="20"/>
          <w:color w:val="auto"/>
        </w:rPr>
      </w:pPr>
      <w:r>
        <w:rPr>
          <w:rFonts w:ascii="Arial" w:cs="Arial" w:eastAsia="Arial" w:hAnsi="Arial"/>
          <w:sz w:val="18"/>
          <w:szCs w:val="18"/>
          <w:b w:val="1"/>
          <w:bCs w:val="1"/>
          <w:color w:val="auto"/>
        </w:rPr>
        <w:t>Section 10. Voting Rights</w:t>
      </w:r>
      <w:r>
        <w:rPr>
          <w:rFonts w:ascii="Arial" w:cs="Arial" w:eastAsia="Arial" w:hAnsi="Arial"/>
          <w:sz w:val="18"/>
          <w:szCs w:val="18"/>
          <w:color w:val="auto"/>
        </w:rPr>
        <w:t>. For the purpose of determining those stockholders entitled to vote at any meeting of the stockholders,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law, only persons in whose names shares stand on the stock records of the corporation on the record date, as provided in Section 12 of these Bylaws, will be entitled to vote at any meeting of stockholders. Every person entitled to vote or execute consents will have the right to do so either in person, by remote communication, if applicable, or by an agent or agents authorized by a proxy granted in accordance with Delaware law. An agent so appointed need not be a stockholder. No proxy will be voted after three years from its date of creation unless the proxy provides for a longer period.</w:t>
      </w:r>
    </w:p>
    <w:p>
      <w:pPr>
        <w:spacing w:after="0" w:line="187"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Section 11. Joint Owners of Stock</w:t>
      </w:r>
      <w:r>
        <w:rPr>
          <w:rFonts w:ascii="Arial" w:cs="Arial" w:eastAsia="Arial" w:hAnsi="Arial"/>
          <w:sz w:val="18"/>
          <w:szCs w:val="18"/>
          <w:color w:val="auto"/>
        </w:rPr>
        <w:t>. If shares or other securities having voting power stand of record in the names of two or more persons,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fiduciaries, members of a partnership, joint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89" w:name="page290"/>
    <w:bookmarkEnd w:id="289"/>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 it is so provided, their acts with respect to voting (including giving consent pursuant to Section 13) will have the following effect:</w:t>
      </w:r>
    </w:p>
    <w:p>
      <w:pPr>
        <w:spacing w:after="0" w:line="2" w:lineRule="exact"/>
        <w:rPr>
          <w:sz w:val="20"/>
          <w:szCs w:val="20"/>
          <w:color w:val="auto"/>
        </w:rPr>
      </w:pPr>
    </w:p>
    <w:p>
      <w:pPr>
        <w:ind w:left="4" w:right="20" w:hanging="4"/>
        <w:spacing w:after="0" w:line="295" w:lineRule="auto"/>
        <w:tabs>
          <w:tab w:leader="none" w:pos="249"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only one votes, his or her act binds all; (b) if more than one votes and the vote is not evenly split,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(c) will be a majority or even-split in interest.</w:t>
      </w:r>
    </w:p>
    <w:p>
      <w:pPr>
        <w:spacing w:after="0" w:line="157" w:lineRule="exact"/>
        <w:rPr>
          <w:sz w:val="20"/>
          <w:szCs w:val="20"/>
          <w:color w:val="auto"/>
        </w:rPr>
      </w:pPr>
    </w:p>
    <w:p>
      <w:pPr>
        <w:ind w:left="4" w:right="60" w:firstLine="440"/>
        <w:spacing w:after="0" w:line="292" w:lineRule="auto"/>
        <w:rPr>
          <w:sz w:val="20"/>
          <w:szCs w:val="20"/>
          <w:color w:val="auto"/>
        </w:rPr>
      </w:pPr>
      <w:r>
        <w:rPr>
          <w:rFonts w:ascii="Arial" w:cs="Arial" w:eastAsia="Arial" w:hAnsi="Arial"/>
          <w:sz w:val="16"/>
          <w:szCs w:val="16"/>
          <w:b w:val="1"/>
          <w:bCs w:val="1"/>
          <w:color w:val="auto"/>
        </w:rPr>
        <w:t>Section 12. List of Stockholders</w:t>
      </w:r>
      <w:r>
        <w:rPr>
          <w:rFonts w:ascii="Arial" w:cs="Arial" w:eastAsia="Arial" w:hAnsi="Arial"/>
          <w:sz w:val="16"/>
          <w:szCs w:val="16"/>
          <w:color w:val="auto"/>
        </w:rPr>
        <w:t>. The Secretary will prepare and make, at least 10 days before every meeting of stockholders, a complete list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stockholders entitled to vote at said meeting, arranged in alphabetical order, showing the address of each stockholder and the number of shares registered in the name of each stockholder. Such list will be open to the examination of any stockholder, for any purpose germane to the meeting, on a reasonably accessible electronic network, provided that the information required to gain access to such list is provided with the notice of the meeting, or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will be open to examination of any stockholder during the time of the meeting as provided by law.</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13. Action Without Meeting</w:t>
      </w:r>
      <w:r>
        <w:rPr>
          <w:rFonts w:ascii="Arial" w:cs="Arial" w:eastAsia="Arial" w:hAnsi="Arial"/>
          <w:sz w:val="18"/>
          <w:szCs w:val="18"/>
          <w:color w:val="auto"/>
        </w:rPr>
        <w:t>.</w:t>
      </w:r>
    </w:p>
    <w:p>
      <w:pPr>
        <w:spacing w:after="0" w:line="121" w:lineRule="exact"/>
        <w:rPr>
          <w:sz w:val="20"/>
          <w:szCs w:val="20"/>
          <w:color w:val="auto"/>
        </w:rPr>
      </w:pPr>
    </w:p>
    <w:p>
      <w:pPr>
        <w:ind w:left="4" w:right="200" w:firstLine="987"/>
        <w:spacing w:after="0" w:line="257" w:lineRule="auto"/>
        <w:tabs>
          <w:tab w:leader="none" w:pos="125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Unless otherwise provided in the Certificate of Incorporation, any action required by statute to be taken at any annual or special meeting of the stockholders, or any action that may be taken at any annual or special meeting of the stockholders, may be taken without a meeting, without prior notice and without a vote, if a consent or consents setting forth the action so taken, will be signed by the holders of outstanding stock having not less than the minimum number of votes that would be necessary to authorize or take such action at a meeting at which all shares entitled to vote thereon were present and voted.</w:t>
      </w:r>
    </w:p>
    <w:p>
      <w:pPr>
        <w:spacing w:after="0" w:line="187" w:lineRule="exact"/>
        <w:rPr>
          <w:rFonts w:ascii="Arial" w:cs="Arial" w:eastAsia="Arial" w:hAnsi="Arial"/>
          <w:sz w:val="18"/>
          <w:szCs w:val="18"/>
          <w:b w:val="1"/>
          <w:bCs w:val="1"/>
          <w:color w:val="auto"/>
        </w:rPr>
      </w:pPr>
    </w:p>
    <w:p>
      <w:pPr>
        <w:ind w:left="4" w:right="20" w:firstLine="987"/>
        <w:spacing w:after="0" w:line="257" w:lineRule="auto"/>
        <w:tabs>
          <w:tab w:leader="none" w:pos="126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A consent must be set forth in writing or in an electronic transmission. Every consent will bear the date of signature of each stockholder who signs the consent, and no consent will be effective to take the corporate action referred to therein unless, within 60 days of the earliest dated consent delivered to the corporation in the manner herein required, consents signed by a sufficient number of stockholders to take action are delivered to the corporation in the manner required by the DGCL. All references to a consent in this Section mean a consent permitted by Section 228 of the DGCL.</w:t>
      </w:r>
    </w:p>
    <w:p>
      <w:pPr>
        <w:spacing w:after="0" w:line="187" w:lineRule="exact"/>
        <w:rPr>
          <w:rFonts w:ascii="Arial" w:cs="Arial" w:eastAsia="Arial" w:hAnsi="Arial"/>
          <w:sz w:val="18"/>
          <w:szCs w:val="18"/>
          <w:b w:val="1"/>
          <w:bCs w:val="1"/>
          <w:color w:val="auto"/>
        </w:rPr>
      </w:pPr>
    </w:p>
    <w:p>
      <w:pPr>
        <w:ind w:left="4" w:right="80" w:firstLine="987"/>
        <w:spacing w:after="0" w:line="254" w:lineRule="auto"/>
        <w:tabs>
          <w:tab w:leader="none" w:pos="1240" w:val="left"/>
        </w:tabs>
        <w:numPr>
          <w:ilvl w:val="0"/>
          <w:numId w:val="167"/>
        </w:numPr>
        <w:rPr>
          <w:rFonts w:ascii="Arial" w:cs="Arial" w:eastAsia="Arial" w:hAnsi="Arial"/>
          <w:sz w:val="18"/>
          <w:szCs w:val="18"/>
          <w:b w:val="1"/>
          <w:bCs w:val="1"/>
          <w:color w:val="auto"/>
        </w:rPr>
      </w:pPr>
      <w:r>
        <w:rPr>
          <w:rFonts w:ascii="Arial" w:cs="Arial" w:eastAsia="Arial" w:hAnsi="Arial"/>
          <w:sz w:val="18"/>
          <w:szCs w:val="18"/>
          <w:color w:val="auto"/>
        </w:rPr>
        <w:t>Prompt notice of the taking of the corporate action without a meeting by less than unanimous consent will be given to those stockholders who have not consented and who, if the action had been taken at a meeting, would have been entitled to notice of the meeting if the record date for such meeting had been the date that consents signed by a sufficient number of stockholders to take action were delivered to the corporation as provided in Section 228(c) of the DGCL. If the action to which the stockholders consented is such as would have required the filing of a certificate under any section of the DGCL if such action had been voted on by stockholders at a meeting thereof, then the certificate filed under such section must state, in lieu of any statement required by such section concerning any vote of stockholders, that consent has been given in accordance with Section 228 of the DGCL.</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90" w:name="page291"/>
    <w:bookmarkEnd w:id="290"/>
    <w:p>
      <w:pPr>
        <w:ind w:firstLine="987"/>
        <w:spacing w:after="0" w:line="287" w:lineRule="auto"/>
        <w:tabs>
          <w:tab w:leader="none" w:pos="1256" w:val="left"/>
        </w:tabs>
        <w:numPr>
          <w:ilvl w:val="0"/>
          <w:numId w:val="16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consent permitted by this Section shall be delivered: (i) to the principal place of business of the corporation; (ii) to an officer or agent of the corporation having custody of the book in which proceedings of meetings of stockholders are recorded; (iii) to the registered office of the corporation in the State of Delaware by hand or by certified or registered mail, return receipt requested; (iv) subject to the next sentence, in accordance with Section 116 of the DGCL to an information processing system, if any, designated by the corporation for receiving such consents; or (v) when delivered in such other manner that complies with the DGCL. In the case of delivery pursuant to the foregoing clause (iv), such consent must set forth or be delivered with information that enables the corporation to determine the date of delivery of such consent and the identity of the person giving such consent, and, if such consent is given by a person authorized to act for a stockholder or member as proxy, such consent must comply with the applicable provisions of Section 212(c)(2) &amp; (3) of the DGCL.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A consent may be documented and signed in accordance with Section 116 of the DGCL, and when so documented or signed shall be deemed to be in writing for purposes of the DGCL; provided that if such consent is delivered pursuant to clause (i), (ii) or (iii) of subsection (d)(1) of Section 228 of the DGCL, such consent must be reproduced and delivered in paper form.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14. Organization</w:t>
      </w:r>
      <w:r>
        <w:rPr>
          <w:rFonts w:ascii="Arial" w:cs="Arial" w:eastAsia="Arial" w:hAnsi="Arial"/>
          <w:sz w:val="18"/>
          <w:szCs w:val="18"/>
          <w:color w:val="auto"/>
        </w:rPr>
        <w:t>.</w:t>
      </w:r>
    </w:p>
    <w:p>
      <w:pPr>
        <w:spacing w:after="0" w:line="121" w:lineRule="exact"/>
        <w:rPr>
          <w:sz w:val="20"/>
          <w:szCs w:val="20"/>
          <w:color w:val="auto"/>
        </w:rPr>
      </w:pPr>
    </w:p>
    <w:p>
      <w:pPr>
        <w:ind w:right="60" w:firstLine="987"/>
        <w:spacing w:after="0" w:line="259" w:lineRule="auto"/>
        <w:tabs>
          <w:tab w:leader="none" w:pos="1246"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At every meeting of stockholders, the Chair of the Board of Directors, or, if a Chair has not been appointed or is absent, the Chief Executive Officer, or, if the Chief Executive Officer is absent, a chair of the meeting chosen by a majority in interest of the stockholders entitled to vote, present in person or by proxy, will act as chair. The Secretary, or, in his or her absence, an Assistant Secretary directed to do so by the Chief Executive Officer, will act as secretary of the meeting.</w:t>
      </w:r>
    </w:p>
    <w:p>
      <w:pPr>
        <w:spacing w:after="0" w:line="186" w:lineRule="exact"/>
        <w:rPr>
          <w:rFonts w:ascii="Arial" w:cs="Arial" w:eastAsia="Arial" w:hAnsi="Arial"/>
          <w:sz w:val="18"/>
          <w:szCs w:val="18"/>
          <w:b w:val="1"/>
          <w:bCs w:val="1"/>
          <w:color w:val="auto"/>
        </w:rPr>
      </w:pPr>
    </w:p>
    <w:p>
      <w:pPr>
        <w:ind w:right="40" w:firstLine="987"/>
        <w:spacing w:after="0" w:line="288" w:lineRule="auto"/>
        <w:tabs>
          <w:tab w:leader="none" w:pos="1256" w:val="left"/>
        </w:tabs>
        <w:numPr>
          <w:ilvl w:val="0"/>
          <w:numId w:val="169"/>
        </w:numPr>
        <w:rPr>
          <w:rFonts w:ascii="Arial" w:cs="Arial" w:eastAsia="Arial" w:hAnsi="Arial"/>
          <w:sz w:val="16"/>
          <w:szCs w:val="16"/>
          <w:b w:val="1"/>
          <w:bCs w:val="1"/>
          <w:color w:val="auto"/>
        </w:rPr>
      </w:pPr>
      <w:r>
        <w:rPr>
          <w:rFonts w:ascii="Arial" w:cs="Arial" w:eastAsia="Arial" w:hAnsi="Arial"/>
          <w:sz w:val="16"/>
          <w:szCs w:val="16"/>
          <w:color w:val="auto"/>
        </w:rPr>
        <w:t>The Board of Directors is entitled to make such rules or regulations for the conduct of meetings of stockholders as it deems necessary, appropriate or convenient. Subject to such rules and regulations of the Board of Directors, if any, the chair of the meeting has the right and authority to prescribe such rules, regulations and procedures and to do all such acts as, in the judgment of such chair,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 record of the corporation and their duly authorized and constituted proxies and such other persons as the chair permits,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will be announced at the meeting. Unless and to the extent determined by the Board of Directors or the chair of the meeting, meetings of stockholders will not be required to be held in accordance with rules of parliamentary procedure.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ind w:right="360" w:firstLine="440"/>
        <w:spacing w:after="0" w:line="266" w:lineRule="auto"/>
        <w:rPr>
          <w:sz w:val="20"/>
          <w:szCs w:val="20"/>
          <w:color w:val="auto"/>
        </w:rPr>
      </w:pPr>
      <w:r>
        <w:rPr>
          <w:rFonts w:ascii="Arial" w:cs="Arial" w:eastAsia="Arial" w:hAnsi="Arial"/>
          <w:sz w:val="18"/>
          <w:szCs w:val="18"/>
          <w:b w:val="1"/>
          <w:bCs w:val="1"/>
          <w:color w:val="auto"/>
        </w:rPr>
        <w:t>Section 15. Number and Term of Office</w:t>
      </w:r>
      <w:r>
        <w:rPr>
          <w:rFonts w:ascii="Arial" w:cs="Arial" w:eastAsia="Arial" w:hAnsi="Arial"/>
          <w:sz w:val="18"/>
          <w:szCs w:val="18"/>
          <w:color w:val="auto"/>
        </w:rPr>
        <w:t>. The authorized number of directors of the corporation will be fixed by the Board of Directors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Directors need not be stockholders unless so required by the Certificate of Incorporation. If for any cause, the directors have not been elected at an annual meeting, they may be elected as soon thereafter as convenient.</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Section 16. Powers</w:t>
      </w:r>
      <w:r>
        <w:rPr>
          <w:rFonts w:ascii="Arial" w:cs="Arial" w:eastAsia="Arial" w:hAnsi="Arial"/>
          <w:sz w:val="18"/>
          <w:szCs w:val="18"/>
          <w:color w:val="auto"/>
        </w:rPr>
        <w:t>. The business and affairs of the corporation will be managed by or under the direction of the Board of Directors,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provided by statute or by the Certificate of Incorporation.</w:t>
      </w:r>
    </w:p>
    <w:p>
      <w:pPr>
        <w:spacing w:after="0" w:line="162" w:lineRule="exact"/>
        <w:rPr>
          <w:sz w:val="20"/>
          <w:szCs w:val="20"/>
          <w:color w:val="auto"/>
        </w:rPr>
      </w:pPr>
    </w:p>
    <w:p>
      <w:pPr>
        <w:ind w:right="260" w:firstLine="440"/>
        <w:spacing w:after="0" w:line="261" w:lineRule="auto"/>
        <w:rPr>
          <w:sz w:val="20"/>
          <w:szCs w:val="20"/>
          <w:color w:val="auto"/>
        </w:rPr>
      </w:pPr>
      <w:r>
        <w:rPr>
          <w:rFonts w:ascii="Arial" w:cs="Arial" w:eastAsia="Arial" w:hAnsi="Arial"/>
          <w:sz w:val="18"/>
          <w:szCs w:val="18"/>
          <w:b w:val="1"/>
          <w:bCs w:val="1"/>
          <w:color w:val="auto"/>
        </w:rPr>
        <w:t>Section 17. Term of Directors</w:t>
      </w:r>
      <w:r>
        <w:rPr>
          <w:rFonts w:ascii="Arial" w:cs="Arial" w:eastAsia="Arial" w:hAnsi="Arial"/>
          <w:sz w:val="18"/>
          <w:szCs w:val="18"/>
          <w:color w:val="auto"/>
        </w:rPr>
        <w:t>. Subject to the rights of the holders of any series of Preferred Stock to elect additional directors under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directors will be elected at each annual meeting of stockholders to serve until his or her successor is duly elected and qualified or until his or her death, resignation or removal. No decrease in the number of directors constituting the Board of Directors will shorten the term of any incumbent director.</w:t>
      </w:r>
    </w:p>
    <w:p>
      <w:pPr>
        <w:spacing w:after="0" w:line="180" w:lineRule="exact"/>
        <w:rPr>
          <w:sz w:val="20"/>
          <w:szCs w:val="20"/>
          <w:color w:val="auto"/>
        </w:rPr>
      </w:pPr>
    </w:p>
    <w:p>
      <w:pPr>
        <w:ind w:right="80" w:firstLine="440"/>
        <w:spacing w:after="0" w:line="288" w:lineRule="auto"/>
        <w:rPr>
          <w:sz w:val="20"/>
          <w:szCs w:val="20"/>
          <w:color w:val="auto"/>
        </w:rPr>
      </w:pPr>
      <w:r>
        <w:rPr>
          <w:rFonts w:ascii="Arial" w:cs="Arial" w:eastAsia="Arial" w:hAnsi="Arial"/>
          <w:sz w:val="16"/>
          <w:szCs w:val="16"/>
          <w:b w:val="1"/>
          <w:bCs w:val="1"/>
          <w:color w:val="auto"/>
        </w:rPr>
        <w:t>Section 18. Vacancies</w:t>
      </w:r>
      <w:r>
        <w:rPr>
          <w:rFonts w:ascii="Arial" w:cs="Arial" w:eastAsia="Arial" w:hAnsi="Arial"/>
          <w:sz w:val="16"/>
          <w:szCs w:val="16"/>
          <w:color w:val="auto"/>
        </w:rPr>
        <w:t>. Unless otherwise provided in the Certificate of Incorporation, and subject to the rights of the holders of any series of</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any vacancies on the Board of Directors resulting from death, resignation, disqualification, removal or other causes and any newly created directorships resulting from any increase in the number of directors will, unless the Board of Directors determines by resolution that any such vacancies or newly created directorships will be filled by stockholders, be filled only by the affirmative vote of a majority of the directors then in office, even though less than a quorum of the Board of Directors, or by a sole remaining director; provided, however, that whenever the holders of any class or classes of stock or series thereof are entitled to elect one or more directors by the provisions of the Certificate of Incorporation, vacancies and newly created directorships of such class or classes or series will, unless the Board of Directors determines by resolution that any such vacancies or newly created directorships must be filled by stockholders, be filled by a majority of the directors elected by such class or classes or series thereof then in office, or by a sole remaining director so elected. Any director elected in accordance with the preceding sentence will hold office for the remainder of the full term of the director for which the vacancy was created or occurred and until such director’s successor has been elected and qualified. A vacancy in the Board of Directors will be deemed to exist under this Bylaw in the case of the death, removal or resignation of any director.</w:t>
      </w:r>
    </w:p>
    <w:p>
      <w:pPr>
        <w:spacing w:after="0" w:line="163"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Section 19. Resignation</w:t>
      </w:r>
      <w:r>
        <w:rPr>
          <w:rFonts w:ascii="Arial" w:cs="Arial" w:eastAsia="Arial" w:hAnsi="Arial"/>
          <w:sz w:val="16"/>
          <w:szCs w:val="16"/>
          <w:color w:val="auto"/>
        </w:rPr>
        <w:t>. Any director may resign at any time by delivering his or her notice in writing or by electronic transmission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Secretary, such resignation to specify whether it will be effective at a particular time, upon receipt by the Secretary or at the pleasure of the Board of Directors. If no such specification is made, it will be deemed effective at the pleasure of the Board of Directors. When one or more directors resigns from the Board of Directors, effective at a future date, a majority of the directors then in office, including those who have so resigned, will have power to fill such vacancy or vacancies, the vote thereon to take effect when such resignation or resignations become effective, and each director so chosen will hold office for the unexpired portion of the term of the director whose place is vacated and until his or her successor has been duly elected and qualified.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92" w:name="page293"/>
    <w:bookmarkEnd w:id="292"/>
    <w:p>
      <w:pPr>
        <w:jc w:val="both"/>
        <w:ind w:right="2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 Removal</w:t>
      </w:r>
      <w:r>
        <w:rPr>
          <w:rFonts w:ascii="Arial" w:cs="Arial" w:eastAsia="Arial" w:hAnsi="Arial"/>
          <w:sz w:val="16"/>
          <w:szCs w:val="16"/>
          <w:color w:val="auto"/>
        </w:rPr>
        <w:t>. Subject to any limitations imposed by applicable law and unless otherwise provided in the Certificate of Incorporation,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or any director may be removed from office at any time, with or without cause, by the affirmative vote of the holders of a majority of the voting power of all then-outstanding shares of capital stock of the corporation entitled to vote generally at an election of directors.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21. Meetings</w:t>
      </w:r>
    </w:p>
    <w:p>
      <w:pPr>
        <w:spacing w:after="0" w:line="117" w:lineRule="exact"/>
        <w:rPr>
          <w:sz w:val="20"/>
          <w:szCs w:val="20"/>
          <w:color w:val="auto"/>
        </w:rPr>
      </w:pPr>
    </w:p>
    <w:p>
      <w:pPr>
        <w:ind w:right="120" w:firstLine="987"/>
        <w:spacing w:after="0" w:line="303" w:lineRule="auto"/>
        <w:tabs>
          <w:tab w:leader="none" w:pos="124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Regular Meetings</w:t>
      </w:r>
      <w:r>
        <w:rPr>
          <w:rFonts w:ascii="Arial" w:cs="Arial" w:eastAsia="Arial" w:hAnsi="Arial"/>
          <w:sz w:val="16"/>
          <w:szCs w:val="16"/>
          <w:color w:val="auto"/>
        </w:rPr>
        <w:t>. Unless otherwise restricted by the Certificate of Incorporation, regular meetings of the Board of Directors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held at any time or date and at any place within or without the State of Delaware that has been designated by the Board of Directors and publicized among all directors, either orally or in writing, including a voice-messaging system or other system designated to record and communicate messages, facsimile, or by electronic mail or other electronic means. No further notice will be required for a regular meeting of the Board of Directors.</w:t>
      </w:r>
    </w:p>
    <w:p>
      <w:pPr>
        <w:spacing w:after="0" w:line="150" w:lineRule="exact"/>
        <w:rPr>
          <w:rFonts w:ascii="Arial" w:cs="Arial" w:eastAsia="Arial" w:hAnsi="Arial"/>
          <w:sz w:val="16"/>
          <w:szCs w:val="16"/>
          <w:b w:val="1"/>
          <w:bCs w:val="1"/>
          <w:color w:val="auto"/>
        </w:rPr>
      </w:pPr>
    </w:p>
    <w:p>
      <w:pPr>
        <w:jc w:val="both"/>
        <w:ind w:right="140" w:firstLine="987"/>
        <w:spacing w:after="0" w:line="266" w:lineRule="auto"/>
        <w:tabs>
          <w:tab w:leader="none" w:pos="1256"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Special Meetings</w:t>
      </w:r>
      <w:r>
        <w:rPr>
          <w:rFonts w:ascii="Arial" w:cs="Arial" w:eastAsia="Arial" w:hAnsi="Arial"/>
          <w:sz w:val="18"/>
          <w:szCs w:val="18"/>
          <w:color w:val="auto"/>
        </w:rPr>
        <w:t>. Unless otherwise restricted by the Certificate of Incorporation, special meetings of the Board of Directors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held at any time and place within or without the State of Delaware whenever called by the Chair of the Board of Directors, the Chief Executive Officer (if a director), the President (if a director) or any director.</w:t>
      </w:r>
    </w:p>
    <w:p>
      <w:pPr>
        <w:spacing w:after="0" w:line="175" w:lineRule="exact"/>
        <w:rPr>
          <w:rFonts w:ascii="Arial" w:cs="Arial" w:eastAsia="Arial" w:hAnsi="Arial"/>
          <w:sz w:val="18"/>
          <w:szCs w:val="18"/>
          <w:b w:val="1"/>
          <w:bCs w:val="1"/>
          <w:color w:val="auto"/>
        </w:rPr>
      </w:pPr>
    </w:p>
    <w:p>
      <w:pPr>
        <w:ind w:right="360" w:firstLine="987"/>
        <w:spacing w:after="0" w:line="314" w:lineRule="auto"/>
        <w:tabs>
          <w:tab w:leader="none" w:pos="1236"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Meetings by Electronic Communications Equipment</w:t>
      </w:r>
      <w:r>
        <w:rPr>
          <w:rFonts w:ascii="Arial" w:cs="Arial" w:eastAsia="Arial" w:hAnsi="Arial"/>
          <w:sz w:val="16"/>
          <w:szCs w:val="16"/>
          <w:color w:val="auto"/>
        </w:rPr>
        <w:t>. Any member of the Board of Directors, or of any committee thereof, may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a meeting by means of conference telephone or other communications equipment by means of which all persons participating in the meeting can hear each other, and participation in a meeting by such means constitutes presence in person at such meeting.</w:t>
      </w:r>
    </w:p>
    <w:p>
      <w:pPr>
        <w:spacing w:after="0" w:line="141" w:lineRule="exact"/>
        <w:rPr>
          <w:rFonts w:ascii="Arial" w:cs="Arial" w:eastAsia="Arial" w:hAnsi="Arial"/>
          <w:sz w:val="16"/>
          <w:szCs w:val="16"/>
          <w:b w:val="1"/>
          <w:bCs w:val="1"/>
          <w:color w:val="auto"/>
        </w:rPr>
      </w:pPr>
    </w:p>
    <w:p>
      <w:pPr>
        <w:ind w:firstLine="987"/>
        <w:spacing w:after="0" w:line="255" w:lineRule="auto"/>
        <w:tabs>
          <w:tab w:leader="none" w:pos="1256"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Special Meetings</w:t>
      </w:r>
      <w:r>
        <w:rPr>
          <w:rFonts w:ascii="Arial" w:cs="Arial" w:eastAsia="Arial" w:hAnsi="Arial"/>
          <w:sz w:val="18"/>
          <w:szCs w:val="18"/>
          <w:color w:val="auto"/>
        </w:rPr>
        <w:t>. Notice of the time and place of all special meetings of the Board of Directors will be orally or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will be sent by first class mail, postage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88" w:lineRule="exact"/>
        <w:rPr>
          <w:rFonts w:ascii="Arial" w:cs="Arial" w:eastAsia="Arial" w:hAnsi="Arial"/>
          <w:sz w:val="18"/>
          <w:szCs w:val="18"/>
          <w:b w:val="1"/>
          <w:bCs w:val="1"/>
          <w:color w:val="auto"/>
        </w:rPr>
      </w:pPr>
    </w:p>
    <w:p>
      <w:pPr>
        <w:ind w:right="160" w:firstLine="987"/>
        <w:spacing w:after="0" w:line="281" w:lineRule="auto"/>
        <w:tabs>
          <w:tab w:leader="none" w:pos="1236"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t>Waiver of Notice</w:t>
      </w:r>
      <w:r>
        <w:rPr>
          <w:rFonts w:ascii="Arial" w:cs="Arial" w:eastAsia="Arial" w:hAnsi="Arial"/>
          <w:sz w:val="17"/>
          <w:szCs w:val="17"/>
          <w:color w:val="auto"/>
        </w:rPr>
        <w:t>. The transaction of all business at any meeting of the Board of Directors, or any committee thereof, however called</w:t>
      </w:r>
      <w:r>
        <w:rPr>
          <w:rFonts w:ascii="Arial" w:cs="Arial" w:eastAsia="Arial" w:hAnsi="Arial"/>
          <w:sz w:val="17"/>
          <w:szCs w:val="17"/>
          <w:b w:val="1"/>
          <w:bCs w:val="1"/>
          <w:color w:val="auto"/>
        </w:rPr>
        <w:t xml:space="preserve"> </w:t>
      </w:r>
      <w:r>
        <w:rPr>
          <w:rFonts w:ascii="Arial" w:cs="Arial" w:eastAsia="Arial" w:hAnsi="Arial"/>
          <w:sz w:val="17"/>
          <w:szCs w:val="17"/>
          <w:color w:val="auto"/>
        </w:rPr>
        <w:t>or noticed, or wherever held, will be as valid as though had at a meeting duly held after regular call and notice, if a quorum be present and if, either before or after the meeting, each of the directors not present who did not receive notice signs a written waiver of notice or waives notice by electronic transmission. All such waivers will be filed with the corporate records or made a part of the minutes of the meeting.</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22. Quorum and Voting</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59" w:lineRule="auto"/>
        <w:tabs>
          <w:tab w:leader="none" w:pos="1246" w:val="left"/>
        </w:tabs>
        <w:numPr>
          <w:ilvl w:val="0"/>
          <w:numId w:val="171"/>
        </w:numPr>
        <w:rPr>
          <w:rFonts w:ascii="Arial" w:cs="Arial" w:eastAsia="Arial" w:hAnsi="Arial"/>
          <w:sz w:val="18"/>
          <w:szCs w:val="18"/>
          <w:b w:val="1"/>
          <w:bCs w:val="1"/>
          <w:color w:val="auto"/>
        </w:rPr>
      </w:pPr>
      <w:r>
        <w:rPr>
          <w:rFonts w:ascii="Arial" w:cs="Arial" w:eastAsia="Arial" w:hAnsi="Arial"/>
          <w:sz w:val="18"/>
          <w:szCs w:val="18"/>
          <w:color w:val="auto"/>
        </w:rPr>
        <w:t xml:space="preserve">Unless the Certificate of Incorporation requires a greater number, a quorum of the Board of Directors will consist of a majority of the total number of directors then serving;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number will never be less than 1/3 of the total number of directors authorized except that when one director is authorized, then one director will constitute a quorum. At any meeting, whether a quorum be present or otherwise, a majority of the directors present may adjourn from time to time until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93" w:name="page294"/>
    <w:bookmarkEnd w:id="293"/>
    <w:p>
      <w:pPr>
        <w:jc w:val="both"/>
        <w:ind w:left="4"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fixed for the next regular meeting of the Board of Directors, without notice other than by announcement at the meeting. If the Certificate of Incorporation provides that one or more directors will have more or less than one vote per director on any matter, every reference in this Section to a majority or other proportion of the directors will refer to a majority or other proportion of the votes of the directors.</w:t>
      </w:r>
    </w:p>
    <w:p>
      <w:pPr>
        <w:spacing w:after="0" w:line="165" w:lineRule="exact"/>
        <w:rPr>
          <w:sz w:val="20"/>
          <w:szCs w:val="20"/>
          <w:color w:val="auto"/>
        </w:rPr>
      </w:pPr>
    </w:p>
    <w:p>
      <w:pPr>
        <w:ind w:left="4" w:right="500" w:firstLine="987"/>
        <w:spacing w:after="0" w:line="342" w:lineRule="auto"/>
        <w:tabs>
          <w:tab w:leader="none" w:pos="1260" w:val="left"/>
        </w:tabs>
        <w:numPr>
          <w:ilvl w:val="0"/>
          <w:numId w:val="172"/>
        </w:numPr>
        <w:rPr>
          <w:rFonts w:ascii="Arial" w:cs="Arial" w:eastAsia="Arial" w:hAnsi="Arial"/>
          <w:sz w:val="16"/>
          <w:szCs w:val="16"/>
          <w:b w:val="1"/>
          <w:bCs w:val="1"/>
          <w:color w:val="auto"/>
        </w:rPr>
      </w:pPr>
      <w:r>
        <w:rPr>
          <w:rFonts w:ascii="Arial" w:cs="Arial" w:eastAsia="Arial" w:hAnsi="Arial"/>
          <w:sz w:val="16"/>
          <w:szCs w:val="16"/>
          <w:color w:val="auto"/>
        </w:rPr>
        <w:t>At each meeting of the Board of Directors at which a quorum is present, all questions and business will be determined by the affirmative vote of a majority of the directors present, unless a different vote be required by law, the Certificate of Incorporation or these Bylaws.</w:t>
      </w:r>
    </w:p>
    <w:p>
      <w:pPr>
        <w:spacing w:after="0" w:line="120"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Section 23. Action Without Meeting</w:t>
      </w:r>
      <w:r>
        <w:rPr>
          <w:rFonts w:ascii="Arial" w:cs="Arial" w:eastAsia="Arial" w:hAnsi="Arial"/>
          <w:sz w:val="18"/>
          <w:szCs w:val="18"/>
          <w:color w:val="auto"/>
        </w:rPr>
        <w:t>. 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of Directors or of any committee thereof may be taken without a meeting, if all members of the Board of Directors or committee, as the case may be, consent in writing or by electronic transmission, and such writing or writings or transmission or transmissions are filed with the minutes of proceedings of the Board of Directors or committee. A consent may be documented, signed and delivered in any manner permitted by Section 116 of the DGCL. Such filing will be in paper form if the minutes are maintained in paper form and will be in electronic form if the minutes are maintained in electronic form.</w:t>
      </w:r>
    </w:p>
    <w:p>
      <w:pPr>
        <w:spacing w:after="0" w:line="187" w:lineRule="exact"/>
        <w:rPr>
          <w:sz w:val="20"/>
          <w:szCs w:val="20"/>
          <w:color w:val="auto"/>
        </w:rPr>
      </w:pPr>
    </w:p>
    <w:p>
      <w:pPr>
        <w:ind w:left="4" w:right="360" w:firstLine="440"/>
        <w:spacing w:after="0" w:line="258" w:lineRule="auto"/>
        <w:rPr>
          <w:sz w:val="20"/>
          <w:szCs w:val="20"/>
          <w:color w:val="auto"/>
        </w:rPr>
      </w:pPr>
      <w:r>
        <w:rPr>
          <w:rFonts w:ascii="Arial" w:cs="Arial" w:eastAsia="Arial" w:hAnsi="Arial"/>
          <w:sz w:val="18"/>
          <w:szCs w:val="18"/>
          <w:b w:val="1"/>
          <w:bCs w:val="1"/>
          <w:color w:val="auto"/>
        </w:rPr>
        <w:t>Section 24. Fees and Compensation</w:t>
      </w:r>
      <w:r>
        <w:rPr>
          <w:rFonts w:ascii="Arial" w:cs="Arial" w:eastAsia="Arial" w:hAnsi="Arial"/>
          <w:sz w:val="18"/>
          <w:szCs w:val="18"/>
          <w:color w:val="auto"/>
        </w:rPr>
        <w:t>. Directors will be entitled to such compensation for their services as may be approved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is to be construed to preclude any director from serving the corporation in any other capacity as an officer, agent, employee, or otherwise and receiving compensation therefor.</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Section 25. Committees</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87" w:lineRule="auto"/>
        <w:tabs>
          <w:tab w:leader="none" w:pos="1250" w:val="left"/>
        </w:tabs>
        <w:numPr>
          <w:ilvl w:val="1"/>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Executive Committee</w:t>
      </w:r>
      <w:r>
        <w:rPr>
          <w:rFonts w:ascii="Arial" w:cs="Arial" w:eastAsia="Arial" w:hAnsi="Arial"/>
          <w:sz w:val="16"/>
          <w:szCs w:val="16"/>
          <w:color w:val="auto"/>
        </w:rPr>
        <w:t>. The Board of Directors may appoint an Executive Committee to consist of one or more members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of Directors. The Executive Committee, to the extent permitted by law and provided in the resolution of the Board of Directors, will have and may exercise all the powers and authority of the Board of Directors in the management of the business and affairs of the corporation, and may authorize the seal of the corporation to be affixed to all papers that may require it; but no such committee will have the power or authority in reference to</w:t>
      </w:r>
    </w:p>
    <w:p>
      <w:pPr>
        <w:spacing w:after="0" w:line="2" w:lineRule="exact"/>
        <w:rPr>
          <w:rFonts w:ascii="Arial" w:cs="Arial" w:eastAsia="Arial" w:hAnsi="Arial"/>
          <w:sz w:val="16"/>
          <w:szCs w:val="16"/>
          <w:b w:val="1"/>
          <w:bCs w:val="1"/>
          <w:color w:val="auto"/>
        </w:rPr>
      </w:pPr>
    </w:p>
    <w:p>
      <w:pPr>
        <w:ind w:left="4" w:right="160" w:hanging="4"/>
        <w:spacing w:after="0" w:line="260" w:lineRule="auto"/>
        <w:tabs>
          <w:tab w:leader="none" w:pos="21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approving or adopting, or recommending to the stockholders, any action or matter expressly required by the DGCL to be submitted to stockholders for approval, or (ii) adopting, amending or repealing any bylaw of the corporation.</w:t>
      </w:r>
    </w:p>
    <w:p>
      <w:pPr>
        <w:spacing w:after="0" w:line="181" w:lineRule="exact"/>
        <w:rPr>
          <w:rFonts w:ascii="Arial" w:cs="Arial" w:eastAsia="Arial" w:hAnsi="Arial"/>
          <w:sz w:val="18"/>
          <w:szCs w:val="18"/>
          <w:color w:val="auto"/>
        </w:rPr>
      </w:pPr>
    </w:p>
    <w:p>
      <w:pPr>
        <w:ind w:left="4" w:right="60" w:firstLine="987"/>
        <w:spacing w:after="0" w:line="261" w:lineRule="auto"/>
        <w:tabs>
          <w:tab w:leader="none" w:pos="1260" w:val="left"/>
        </w:tabs>
        <w:numPr>
          <w:ilvl w:val="1"/>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Committees</w:t>
      </w:r>
      <w:r>
        <w:rPr>
          <w:rFonts w:ascii="Arial" w:cs="Arial" w:eastAsia="Arial" w:hAnsi="Arial"/>
          <w:sz w:val="18"/>
          <w:szCs w:val="18"/>
          <w:color w:val="auto"/>
        </w:rPr>
        <w:t>. The Board of Directors may, from time to time, appoint such other committees as may be permitted by law. Such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committees appointed by the Board of Directors will consist of one or more members of the Board of Directors and will have such powers and perform such duties as may be prescribed by the resolution or resolutions creating such committees, but in no event will any such committee have the powers denied to the Executive Committee in these Bylaws.</w:t>
      </w:r>
    </w:p>
    <w:p>
      <w:pPr>
        <w:spacing w:after="0" w:line="179" w:lineRule="exact"/>
        <w:rPr>
          <w:rFonts w:ascii="Arial" w:cs="Arial" w:eastAsia="Arial" w:hAnsi="Arial"/>
          <w:sz w:val="18"/>
          <w:szCs w:val="18"/>
          <w:b w:val="1"/>
          <w:bCs w:val="1"/>
          <w:color w:val="auto"/>
        </w:rPr>
      </w:pPr>
    </w:p>
    <w:p>
      <w:pPr>
        <w:ind w:left="4" w:right="60" w:firstLine="987"/>
        <w:spacing w:after="0" w:line="274" w:lineRule="auto"/>
        <w:tabs>
          <w:tab w:leader="none" w:pos="1240" w:val="left"/>
        </w:tabs>
        <w:numPr>
          <w:ilvl w:val="1"/>
          <w:numId w:val="174"/>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The Board of Directors, subject to any requirements of any outstanding series of Preferred Stock and the provisions of</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(a) or (b) of this Section may at any time increase or decrease the number of members of a committee or terminate the existence of a committee. The membership of a committee member will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4"/>
          </w:cols>
          <w:pgMar w:left="436" w:top="274" w:right="499" w:bottom="1440" w:gutter="0" w:footer="0" w:header="0"/>
        </w:sectPr>
      </w:pPr>
    </w:p>
    <w:bookmarkStart w:id="294" w:name="page295"/>
    <w:bookmarkEnd w:id="29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3" w:lineRule="exact"/>
        <w:rPr>
          <w:sz w:val="20"/>
          <w:szCs w:val="20"/>
          <w:color w:val="auto"/>
        </w:rPr>
      </w:pPr>
    </w:p>
    <w:p>
      <w:pPr>
        <w:ind w:right="80" w:firstLine="987"/>
        <w:spacing w:after="0" w:line="288" w:lineRule="auto"/>
        <w:tabs>
          <w:tab w:leader="none" w:pos="1256"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r>
        <w:rPr>
          <w:rFonts w:ascii="Arial" w:cs="Arial" w:eastAsia="Arial" w:hAnsi="Arial"/>
          <w:sz w:val="16"/>
          <w:szCs w:val="16"/>
          <w:color w:val="auto"/>
        </w:rPr>
        <w:t>. Unless the Board of Directors otherwise provide, regular meetings of the Executive Committee or any other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pursuant to this Section will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that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will constitute a quorum for the transaction of business, and the act of a majority of those present at any meeting at which a quorum is present will be the act of such committee.</w:t>
      </w:r>
    </w:p>
    <w:p>
      <w:pPr>
        <w:spacing w:after="0" w:line="16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Section 26. Duties of Chair of the Board of Directors</w:t>
      </w:r>
      <w:r>
        <w:rPr>
          <w:rFonts w:ascii="Arial" w:cs="Arial" w:eastAsia="Arial" w:hAnsi="Arial"/>
          <w:sz w:val="18"/>
          <w:szCs w:val="18"/>
          <w:color w:val="auto"/>
        </w:rPr>
        <w:t>. The Chair of the Board of Directors, when present, will preside at all meetings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and the Board of Directors. The Chair of the Board of Directors will perform other duties commonly incident to the office and will also perform such other duties and have such other powers as the Board of Directors designates from time to time. If there is no Chief Executive Officer and no President, then the Chair of the Board of Directors will also serve as the Chief Executive Officer of the corporation and will have the powers and duties prescribed in Section 29(b).</w:t>
      </w:r>
    </w:p>
    <w:p>
      <w:pPr>
        <w:spacing w:after="0" w:line="183"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Section 27. Organization</w:t>
      </w:r>
      <w:r>
        <w:rPr>
          <w:rFonts w:ascii="Arial" w:cs="Arial" w:eastAsia="Arial" w:hAnsi="Arial"/>
          <w:sz w:val="17"/>
          <w:szCs w:val="17"/>
          <w:color w:val="auto"/>
        </w:rPr>
        <w:t>. At every meeting of the directors, the Chair of the Board of Directors, or, if a Chair has not been appointed or is</w:t>
      </w:r>
      <w:r>
        <w:rPr>
          <w:rFonts w:ascii="Arial" w:cs="Arial" w:eastAsia="Arial" w:hAnsi="Arial"/>
          <w:sz w:val="17"/>
          <w:szCs w:val="17"/>
          <w:b w:val="1"/>
          <w:bCs w:val="1"/>
          <w:color w:val="auto"/>
        </w:rPr>
        <w:t xml:space="preserve"> </w:t>
      </w:r>
      <w:r>
        <w:rPr>
          <w:rFonts w:ascii="Arial" w:cs="Arial" w:eastAsia="Arial" w:hAnsi="Arial"/>
          <w:sz w:val="17"/>
          <w:szCs w:val="17"/>
          <w:color w:val="auto"/>
        </w:rPr>
        <w:t>absent, the Chief Executive Officer (if a director), or if the Chief Executive Officer is not a director or is absent, the President (if a director), or if the President is not a director or is absent, the most senior Vice President (if a director) or, in the absence of any such person, a chair of the meeting chosen by a majority of the directors present, will preside over the meeting. The Secretary, or in his or her absence, any Assistant Secretary directed to do so by the Chief Executive Officer or President, will act as secretary of the meeting.</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Section 28. Officers Designated</w:t>
      </w:r>
      <w:r>
        <w:rPr>
          <w:rFonts w:ascii="Arial" w:cs="Arial" w:eastAsia="Arial" w:hAnsi="Arial"/>
          <w:sz w:val="17"/>
          <w:szCs w:val="17"/>
          <w:color w:val="auto"/>
        </w:rPr>
        <w:t>. The officers of the corporation will include, if and when designated by the Board of Directors,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President, one or more Vice Presidents, the Secretary, the Chief Financial Officer, the Treasurer and the Controller, all of whom will be elected or appointed from time to time by the Board of Directors. The Board of Directors may also appoint one or more Assistant Secretaries, Assistant Treasurers, Assistant Controllers and such other officers and agents with such powers and duties as it deems necessary. The Board of Directors may assign such additional titles to one or more of the officers as it deems appropriate. Any one person may hold any number of offices of the corporation at any one time unless specifically prohibited therefrom by law. The salaries and other compensation of the officers of the corporation will be fixed by or in the manner designated by the Board of Directors.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95" w:name="page296"/>
    <w:bookmarkEnd w:id="29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Tenure and Duties of Officers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1" w:lineRule="auto"/>
        <w:tabs>
          <w:tab w:leader="none" w:pos="124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All officers will hold office at the pleasure of the Board of Directors and until their successors have been duly elected or</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and qualified, unless sooner removed. Any officer elected or appointed by the Board of Directors may be removed at any time by the Board of Directors. If the office of any officer becomes vacant for any reason, the vacancy may be filled by the Board of Directors, or by the Chief Executive Officer or other officer if so authorized by the Board of Directors.</w:t>
      </w:r>
    </w:p>
    <w:p>
      <w:pPr>
        <w:spacing w:after="0" w:line="179" w:lineRule="exact"/>
        <w:rPr>
          <w:rFonts w:ascii="Arial" w:cs="Arial" w:eastAsia="Arial" w:hAnsi="Arial"/>
          <w:sz w:val="18"/>
          <w:szCs w:val="18"/>
          <w:b w:val="1"/>
          <w:bCs w:val="1"/>
          <w:color w:val="auto"/>
        </w:rPr>
      </w:pPr>
    </w:p>
    <w:p>
      <w:pPr>
        <w:ind w:right="60" w:firstLine="987"/>
        <w:spacing w:after="0" w:line="277" w:lineRule="auto"/>
        <w:tabs>
          <w:tab w:leader="none" w:pos="1256" w:val="left"/>
        </w:tabs>
        <w:numPr>
          <w:ilvl w:val="0"/>
          <w:numId w:val="176"/>
        </w:numPr>
        <w:rPr>
          <w:rFonts w:ascii="Arial" w:cs="Arial" w:eastAsia="Arial" w:hAnsi="Arial"/>
          <w:sz w:val="17"/>
          <w:szCs w:val="17"/>
          <w:b w:val="1"/>
          <w:bCs w:val="1"/>
          <w:color w:val="auto"/>
        </w:rPr>
      </w:pPr>
      <w:r>
        <w:rPr>
          <w:rFonts w:ascii="Arial" w:cs="Arial" w:eastAsia="Arial" w:hAnsi="Arial"/>
          <w:sz w:val="17"/>
          <w:szCs w:val="17"/>
          <w:b w:val="1"/>
          <w:bCs w:val="1"/>
          <w:color w:val="auto"/>
        </w:rPr>
        <w:t>Duties of Chief Executive Officer</w:t>
      </w:r>
      <w:r>
        <w:rPr>
          <w:rFonts w:ascii="Arial" w:cs="Arial" w:eastAsia="Arial" w:hAnsi="Arial"/>
          <w:sz w:val="17"/>
          <w:szCs w:val="17"/>
          <w:color w:val="auto"/>
        </w:rPr>
        <w:t>. The Chief Executive Officer will preside at all meetings of the stockholders and (if a director) at</w:t>
      </w:r>
      <w:r>
        <w:rPr>
          <w:rFonts w:ascii="Arial" w:cs="Arial" w:eastAsia="Arial" w:hAnsi="Arial"/>
          <w:sz w:val="17"/>
          <w:szCs w:val="17"/>
          <w:b w:val="1"/>
          <w:bCs w:val="1"/>
          <w:color w:val="auto"/>
        </w:rPr>
        <w:t xml:space="preserve"> </w:t>
      </w:r>
      <w:r>
        <w:rPr>
          <w:rFonts w:ascii="Arial" w:cs="Arial" w:eastAsia="Arial" w:hAnsi="Arial"/>
          <w:sz w:val="17"/>
          <w:szCs w:val="17"/>
          <w:color w:val="auto"/>
        </w:rPr>
        <w:t>all meetings of the Board of Directors, unless the Chair of the Board of Directors has been appointed and is present. The Chief Executive Officer will be the chief executive officer of the corporation and will, subject to the control of the Board of Directors, have general supervision, direction and control of the business and officers of the corporation. The Chief Executive Officer will perform other duties commonly incident to the office and will also perform such other duties and have such other powers as the Board of Directors designates from time to time.</w:t>
      </w:r>
    </w:p>
    <w:p>
      <w:pPr>
        <w:spacing w:after="0" w:line="167" w:lineRule="exact"/>
        <w:rPr>
          <w:rFonts w:ascii="Arial" w:cs="Arial" w:eastAsia="Arial" w:hAnsi="Arial"/>
          <w:sz w:val="17"/>
          <w:szCs w:val="17"/>
          <w:b w:val="1"/>
          <w:bCs w:val="1"/>
          <w:color w:val="auto"/>
        </w:rPr>
      </w:pPr>
    </w:p>
    <w:p>
      <w:pPr>
        <w:ind w:right="40" w:firstLine="987"/>
        <w:spacing w:after="0" w:line="255" w:lineRule="auto"/>
        <w:tabs>
          <w:tab w:leader="none" w:pos="123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President</w:t>
      </w:r>
      <w:r>
        <w:rPr>
          <w:rFonts w:ascii="Arial" w:cs="Arial" w:eastAsia="Arial" w:hAnsi="Arial"/>
          <w:sz w:val="18"/>
          <w:szCs w:val="18"/>
          <w:color w:val="auto"/>
        </w:rPr>
        <w:t>. In the absence or disability of the Chief Executive Officer or if the office of Chief Executive Officer is vacant,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will preside at all meetings of the stockholders and (if a director) at all meetings of the Board of Directors, unless the Chair of the Board of Directors has been appointed and is present. If the office of Chief Executive Officer is vacant, the President will be the chief executive officer of the corporation (including for purposes of any reference to Chief Executive Officer in these Bylaws) and will, subject to the control of the Board of Directors, have general supervision, direction and control of the business and officers of the corporation. The President will perform other duties commonly incident to the office and will also perform such other duties and have such other powers as the Board of Directors designates from time to time.</w:t>
      </w:r>
    </w:p>
    <w:p>
      <w:pPr>
        <w:spacing w:after="0" w:line="188" w:lineRule="exact"/>
        <w:rPr>
          <w:rFonts w:ascii="Arial" w:cs="Arial" w:eastAsia="Arial" w:hAnsi="Arial"/>
          <w:sz w:val="18"/>
          <w:szCs w:val="18"/>
          <w:b w:val="1"/>
          <w:bCs w:val="1"/>
          <w:color w:val="auto"/>
        </w:rPr>
      </w:pPr>
    </w:p>
    <w:p>
      <w:pPr>
        <w:ind w:right="120" w:firstLine="987"/>
        <w:spacing w:after="0" w:line="314" w:lineRule="auto"/>
        <w:tabs>
          <w:tab w:leader="none" w:pos="1256"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Vice Presidents</w:t>
      </w:r>
      <w:r>
        <w:rPr>
          <w:rFonts w:ascii="Arial" w:cs="Arial" w:eastAsia="Arial" w:hAnsi="Arial"/>
          <w:sz w:val="16"/>
          <w:szCs w:val="16"/>
          <w:color w:val="auto"/>
        </w:rPr>
        <w:t>. The Vice Presidents may assume and perform the duties of the President in the absence or disability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or whenever the office of President is vacant. The Vice Presidents will perform other duties commonly incident to their office and will also perform such other duties and have such other powers as the Board of Directors or the President designates from time to time.</w:t>
      </w:r>
    </w:p>
    <w:p>
      <w:pPr>
        <w:spacing w:after="0" w:line="141" w:lineRule="exact"/>
        <w:rPr>
          <w:rFonts w:ascii="Arial" w:cs="Arial" w:eastAsia="Arial" w:hAnsi="Arial"/>
          <w:sz w:val="16"/>
          <w:szCs w:val="16"/>
          <w:b w:val="1"/>
          <w:bCs w:val="1"/>
          <w:color w:val="auto"/>
        </w:rPr>
      </w:pPr>
    </w:p>
    <w:p>
      <w:pPr>
        <w:ind w:firstLine="987"/>
        <w:spacing w:after="0" w:line="292" w:lineRule="auto"/>
        <w:tabs>
          <w:tab w:leader="none" w:pos="1236"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Secretary</w:t>
      </w:r>
      <w:r>
        <w:rPr>
          <w:rFonts w:ascii="Arial" w:cs="Arial" w:eastAsia="Arial" w:hAnsi="Arial"/>
          <w:sz w:val="16"/>
          <w:szCs w:val="16"/>
          <w:color w:val="auto"/>
        </w:rPr>
        <w:t>. The Secretary will attend all meetings of the stockholders and of the Board of Directors and will record all acts</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proceedings thereof in the minute book of the corporation. The Secretary will give notice in conformity with these Bylaws of all meetings of the stockholders and of all meetings of the Board of Directors and any committee thereof requiring notice. The Secretary will perform all other duties provided for in these Bylaws and other duties commonly incident to the office and will also perform such other duties and have such other powers as the Board of Directors will designate from time to time. The Chief Executive Officer may direct any Assistant Secretary to assume and perform the duties of the Secretary in the absence or disability of the Secretary, and each Assistant Secretary will perform other duties commonly incident to the office and will also perform such other duties and have such other powers as the Board of Directors or the Chief Executive Officer designates from time to time.</w:t>
      </w:r>
    </w:p>
    <w:p>
      <w:pPr>
        <w:spacing w:after="0" w:line="161" w:lineRule="exact"/>
        <w:rPr>
          <w:rFonts w:ascii="Arial" w:cs="Arial" w:eastAsia="Arial" w:hAnsi="Arial"/>
          <w:sz w:val="16"/>
          <w:szCs w:val="16"/>
          <w:b w:val="1"/>
          <w:bCs w:val="1"/>
          <w:color w:val="auto"/>
        </w:rPr>
      </w:pPr>
    </w:p>
    <w:p>
      <w:pPr>
        <w:jc w:val="both"/>
        <w:ind w:right="40" w:firstLine="987"/>
        <w:spacing w:after="0" w:line="347" w:lineRule="auto"/>
        <w:tabs>
          <w:tab w:leader="none" w:pos="1216"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Chief Financial Officer</w:t>
      </w:r>
      <w:r>
        <w:rPr>
          <w:rFonts w:ascii="Arial" w:cs="Arial" w:eastAsia="Arial" w:hAnsi="Arial"/>
          <w:sz w:val="16"/>
          <w:szCs w:val="16"/>
          <w:color w:val="auto"/>
        </w:rPr>
        <w:t>. The Chief Financial Officer will keep or cause to be kept the books of account of the corporation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a thorough and proper manner and will render statements of the financial affairs of the corporation in such form and as often as required by the Board of</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296" w:name="page297"/>
    <w:bookmarkEnd w:id="296"/>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or the Chief Executive Officer. The Chief Financial Officer, subject to the order of the Board of Directors, will have the custody of all funds and securities of the corporation. The Chief Financial Officer will perform other duties commonly incident to his or her office and will also perform such other duties and have such other powers as the Board of Directors or the Chief Executive Officer designate from time to time. The Chief Executive Officer may direct the Treasurer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will perform other duties commonly incident to the office and will also perform such other duties and have such other powers as the Board of Directors or the Chief Executive Officer designates from time to time.</w:t>
      </w:r>
    </w:p>
    <w:p>
      <w:pPr>
        <w:spacing w:after="0" w:line="173"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Section 30. Delegation of Authority</w:t>
      </w:r>
      <w:r>
        <w:rPr>
          <w:rFonts w:ascii="Arial" w:cs="Arial" w:eastAsia="Arial" w:hAnsi="Arial"/>
          <w:sz w:val="18"/>
          <w:szCs w:val="18"/>
          <w:color w:val="auto"/>
        </w:rPr>
        <w:t>. The Board of Directors may from time to time delegate the powers or duties of any officer to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agent, notwithstanding any provision hereof.</w:t>
      </w:r>
    </w:p>
    <w:p>
      <w:pPr>
        <w:spacing w:after="0" w:line="162" w:lineRule="exact"/>
        <w:rPr>
          <w:sz w:val="20"/>
          <w:szCs w:val="20"/>
          <w:color w:val="auto"/>
        </w:rPr>
      </w:pPr>
    </w:p>
    <w:p>
      <w:pPr>
        <w:ind w:right="80" w:firstLine="440"/>
        <w:spacing w:after="0" w:line="277" w:lineRule="auto"/>
        <w:rPr>
          <w:sz w:val="20"/>
          <w:szCs w:val="20"/>
          <w:color w:val="auto"/>
        </w:rPr>
      </w:pPr>
      <w:r>
        <w:rPr>
          <w:rFonts w:ascii="Arial" w:cs="Arial" w:eastAsia="Arial" w:hAnsi="Arial"/>
          <w:sz w:val="17"/>
          <w:szCs w:val="17"/>
          <w:b w:val="1"/>
          <w:bCs w:val="1"/>
          <w:color w:val="auto"/>
        </w:rPr>
        <w:t>Section 31. Resignations</w:t>
      </w:r>
      <w:r>
        <w:rPr>
          <w:rFonts w:ascii="Arial" w:cs="Arial" w:eastAsia="Arial" w:hAnsi="Arial"/>
          <w:sz w:val="17"/>
          <w:szCs w:val="17"/>
          <w:color w:val="auto"/>
        </w:rPr>
        <w:t>. Any officer may resign at any time by giving notice in writing or by electronic transmission notice to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or to the Chief Executive Officer or to the President or to the Secretary. Any such resignation will be effective when received by the person or persons to whom such notice is given, unless a later time is specified therein, in which event the resignation will become effective at such later time. Unless otherwise specified in such notice, the acceptance of any such resignation will not be necessary to make it effective. Any resignation will be without prejudice to the rights, if any, of the corporation under any contract with the resigning officer.</w:t>
      </w:r>
    </w:p>
    <w:p>
      <w:pPr>
        <w:spacing w:after="0" w:line="16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Section 32. Removal</w:t>
      </w:r>
      <w:r>
        <w:rPr>
          <w:rFonts w:ascii="Arial" w:cs="Arial" w:eastAsia="Arial" w:hAnsi="Arial"/>
          <w:sz w:val="18"/>
          <w:szCs w:val="18"/>
          <w:color w:val="auto"/>
        </w:rPr>
        <w:t>. Any officer may be removed from office at any time, either with or without cause, by the affirmative vote of a majority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directors in office at the time, or by the unanimous written or electronic consent of the directors in office at the time, or by any committee or superior officers upon whom such power of removal may have been conferred by the Board of Directors.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EXECUTION OF CORPORATE INSTRUMENTS AND VOTING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SECURITIES OWNED BY THE CORPORATION</w:t>
      </w:r>
    </w:p>
    <w:p>
      <w:pPr>
        <w:spacing w:after="0" w:line="207"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Section 33. Execution of Corporate Instruments</w:t>
      </w:r>
      <w:r>
        <w:rPr>
          <w:rFonts w:ascii="Arial" w:cs="Arial" w:eastAsia="Arial" w:hAnsi="Arial"/>
          <w:sz w:val="16"/>
          <w:szCs w:val="16"/>
          <w:color w:val="auto"/>
        </w:rPr>
        <w:t>. The Board of Directors may, in its discretion, determine the method and designate the</w:t>
      </w:r>
      <w:r>
        <w:rPr>
          <w:rFonts w:ascii="Arial" w:cs="Arial" w:eastAsia="Arial" w:hAnsi="Arial"/>
          <w:sz w:val="16"/>
          <w:szCs w:val="16"/>
          <w:b w:val="1"/>
          <w:bCs w:val="1"/>
          <w:color w:val="auto"/>
        </w:rPr>
        <w:t xml:space="preserve"> </w:t>
      </w:r>
      <w:r>
        <w:rPr>
          <w:rFonts w:ascii="Arial" w:cs="Arial" w:eastAsia="Arial" w:hAnsi="Arial"/>
          <w:sz w:val="16"/>
          <w:szCs w:val="16"/>
          <w:color w:val="auto"/>
        </w:rPr>
        <w:t>signatory officer or officers, or other person or persons, to execute on behalf of the corporation any corporate instrument or document, or to sign on behalf of the corporation the corporate name, or to enter into contracts on behalf of the corporation, except as otherwise provided by law or these Bylaws, and such execution or signature will be binding upon the corporation. All checks and drafts drawn on banks or other depositaries of funds to the credit of the corporation or on special accounts of the corporation will be signed by such person or persons as the Board of Directors authorizes so to do. Unless authorized or ratified by the Board of Directors or within the agency power of an officer, no officer, agent or employee will have any power or authority to bind the corporation by any contract or engagement or to pledge its credit or to render it liable for any purpose or for any amount.</w:t>
      </w:r>
    </w:p>
    <w:p>
      <w:pPr>
        <w:spacing w:after="0" w:line="161"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Section 34. Voting of Securities Owned by the Corporation</w:t>
      </w:r>
      <w:r>
        <w:rPr>
          <w:rFonts w:ascii="Arial" w:cs="Arial" w:eastAsia="Arial" w:hAnsi="Arial"/>
          <w:sz w:val="18"/>
          <w:szCs w:val="18"/>
          <w:color w:val="auto"/>
        </w:rPr>
        <w:t>. All stock and other securities of other corporations owned or held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for itself, or for other parties in any capacity, will be voted, and all proxies with respect thereto will be executed, by the person authorized so to do by resolution of the Board of Directors, or, in the absence of such authorization, by the Chair of the Board of Directors, the Chief Executive Officer, the President, or any Vice President.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STOCK</w:t>
      </w:r>
    </w:p>
    <w:p>
      <w:pPr>
        <w:spacing w:after="0" w:line="225"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Section 35. Form and Execution of Certificates</w:t>
      </w:r>
      <w:r>
        <w:rPr>
          <w:rFonts w:ascii="Arial" w:cs="Arial" w:eastAsia="Arial" w:hAnsi="Arial"/>
          <w:sz w:val="16"/>
          <w:szCs w:val="16"/>
          <w:color w:val="auto"/>
        </w:rPr>
        <w:t>. The shares of the corporation will be represented by certificates, or will be uncertificated.</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for the shares of stock, if any, of the corporation will be in such form as is consistent with the Certificate of Incorporation and applicable law. Every holder of shares of stock in the corporation represented by certificate will be entitled to have a certificate signed by or in the name of the corporation by any two authorized officers of the corporation, including but not limited to the Chief Executive Officer, the President, the Chief Financial Officer, any Vice President, the Treasurer or Assistant Treasurer or the Secretary or Assistant Secretary, certifying the number of shares owned by him or her in the corporation. Any or all of the signatures on the certificate may be facsimiles. In case any officer, transfer agent, or registrar who has signed or whose facsimile signature has been placed upon a certificate has ceased to be such officer, transfer agent, or registrar before such certificate is issued, it may be issued with the same effect as if he or she were such officer, transfer agent, or registrar at the date of issue.</w:t>
      </w:r>
    </w:p>
    <w:p>
      <w:pPr>
        <w:spacing w:after="0" w:line="159"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Section 36. Lost Certificates</w:t>
      </w:r>
      <w:r>
        <w:rPr>
          <w:rFonts w:ascii="Arial" w:cs="Arial" w:eastAsia="Arial" w:hAnsi="Arial"/>
          <w:sz w:val="17"/>
          <w:szCs w:val="17"/>
          <w:color w:val="auto"/>
        </w:rPr>
        <w:t>. A new certificate or certificates will be issued in place of any certificate or certificates theretofore issued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requires or to give the corporation a surety bond in such form and amount as it may direct as indemnity against any claim that may be made against the corporation with respect to the certificate alleged to have been lost, stolen, or destroyed.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37. Restrictions on Transfer</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79" w:lineRule="auto"/>
        <w:tabs>
          <w:tab w:leader="none" w:pos="1246"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The corporation will have power to enter into and perform any agreement with any number of stockholders of any one or more classes of stock of the corporation to restrict the sale, transfer, assignment, pledge, or other disposal of or encumbering of any of the shares of stock of the corporation or any right or interest therein, whether voluntarily or by operation of law, or by gift or otherwise (each, a “</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of shares of stock of the corporation of any one or more classes owned by such stockholders in any manner not prohibited by the DGCL.</w:t>
      </w:r>
    </w:p>
    <w:p>
      <w:pPr>
        <w:spacing w:after="0" w:line="171" w:lineRule="exact"/>
        <w:rPr>
          <w:rFonts w:ascii="Arial" w:cs="Arial" w:eastAsia="Arial" w:hAnsi="Arial"/>
          <w:sz w:val="17"/>
          <w:szCs w:val="17"/>
          <w:b w:val="1"/>
          <w:bCs w:val="1"/>
          <w:color w:val="auto"/>
        </w:rPr>
      </w:pPr>
    </w:p>
    <w:p>
      <w:pPr>
        <w:ind w:right="300" w:firstLine="987"/>
        <w:spacing w:after="0" w:line="263" w:lineRule="auto"/>
        <w:tabs>
          <w:tab w:leader="none" w:pos="1256"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Transfers of record of shares of stock of the corporation will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83" w:lineRule="exact"/>
        <w:rPr>
          <w:rFonts w:ascii="Arial" w:cs="Arial" w:eastAsia="Arial" w:hAnsi="Arial"/>
          <w:sz w:val="18"/>
          <w:szCs w:val="18"/>
          <w:b w:val="1"/>
          <w:bCs w:val="1"/>
          <w:color w:val="auto"/>
        </w:rPr>
      </w:pPr>
    </w:p>
    <w:p>
      <w:pPr>
        <w:ind w:right="60" w:firstLine="987"/>
        <w:spacing w:after="0" w:line="277" w:lineRule="auto"/>
        <w:tabs>
          <w:tab w:leader="none" w:pos="1236"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At the option of the corporation, the stockholder will be obligated to pay to the corporation a reasonable transfer fee related to the costs and time of the corporation and its legal and other advisors related to any proposed Transfer.</w:t>
      </w:r>
    </w:p>
    <w:p>
      <w:pPr>
        <w:spacing w:after="0" w:line="170" w:lineRule="exact"/>
        <w:rPr>
          <w:rFonts w:ascii="Arial" w:cs="Arial" w:eastAsia="Arial" w:hAnsi="Arial"/>
          <w:sz w:val="18"/>
          <w:szCs w:val="18"/>
          <w:b w:val="1"/>
          <w:bCs w:val="1"/>
          <w:color w:val="auto"/>
        </w:rPr>
      </w:pPr>
    </w:p>
    <w:p>
      <w:pPr>
        <w:ind w:right="440" w:firstLine="987"/>
        <w:spacing w:after="0" w:line="263" w:lineRule="auto"/>
        <w:tabs>
          <w:tab w:leader="none" w:pos="1256"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If the stockholder desires to sell or otherwise Transfer any of his or her shares of stock, then the stockholder will first give written notice thereof to the corporation. The notice will name the proposed transferee and state the number of shares to be transferred, the proposed consideration, and all other terms and conditions of the proposed Transfer.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298" w:name="page299"/>
    <w:bookmarkEnd w:id="2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38. Fixing Record Dates</w:t>
      </w:r>
      <w:r>
        <w:rPr>
          <w:rFonts w:ascii="Arial" w:cs="Arial" w:eastAsia="Arial" w:hAnsi="Arial"/>
          <w:sz w:val="18"/>
          <w:szCs w:val="18"/>
          <w:color w:val="auto"/>
        </w:rPr>
        <w:t>.</w:t>
      </w:r>
    </w:p>
    <w:p>
      <w:pPr>
        <w:spacing w:after="0" w:line="121" w:lineRule="exact"/>
        <w:rPr>
          <w:sz w:val="20"/>
          <w:szCs w:val="20"/>
          <w:color w:val="auto"/>
        </w:rPr>
      </w:pPr>
    </w:p>
    <w:p>
      <w:pPr>
        <w:ind w:right="40" w:firstLine="987"/>
        <w:spacing w:after="0" w:line="271" w:lineRule="auto"/>
        <w:tabs>
          <w:tab w:leader="none" w:pos="1246"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 xml:space="preserve">In order that the corporation may determine the stockholders entitled to notice of or to vote at any meeting of stockholders or any adjournment thereof, the Board of Directors may fix, in advance, a record date, which record date will not precede the date upon which the resolution fixing the record date is adopted by the Board of Directors, and which record date will, subject to applicable law, not be more than 60 nor less than 10 days before the date of such meeting. If no record date is fixed by the Board of Directors, the record date for determining stockholders entitled to notice of or to vote at a meeting of stockholders will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will apply to any adjournment of the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Board of Directors may fix a new record date for the adjourned meeting.</w:t>
      </w:r>
    </w:p>
    <w:p>
      <w:pPr>
        <w:spacing w:after="0" w:line="178" w:lineRule="exact"/>
        <w:rPr>
          <w:rFonts w:ascii="Arial" w:cs="Arial" w:eastAsia="Arial" w:hAnsi="Arial"/>
          <w:sz w:val="17"/>
          <w:szCs w:val="17"/>
          <w:b w:val="1"/>
          <w:bCs w:val="1"/>
          <w:color w:val="auto"/>
        </w:rPr>
      </w:pPr>
    </w:p>
    <w:p>
      <w:pPr>
        <w:ind w:firstLine="987"/>
        <w:spacing w:after="0" w:line="269" w:lineRule="auto"/>
        <w:tabs>
          <w:tab w:leader="none" w:pos="1256"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In order that the corporation may determine the stockholders entitled to consent to corporate action without a meeting in accordance with Section 228 of the DGCL, the Board of Directors may fix a record date, which record date will not precede the date upon which the resolution fixing the record date is adopted by the Board of Directors, and which date will not be more than 10 days after the date upon which the resolution fixing the record date is adopted by the Board of Directors. Any stockholder of record seeking to have the stockholders authorize or take corporate action without a meeting in accordance with Section 228 of the DGCL will, by written notice to the Secretary, request the Board of Directors to fix a record date. The Board of Directors will promptly, but in all events within 10 days after the date on which such a request is received, adopt a resolution fixing the record date. If no record date has been fixed by the Board of Directors within 10 days of the date on which such a request is received, the record date for determining stockholders entitled to consent to corporate action without a meeting, when no prior action by the Board of Directors is required by applicable law, will be the first date on which a signed consent setting forth the action taken or proposed to be taken is delivered to the corporation in accordance with the DGCL. If no record date has been fixed by the Board of Directors and prior action by the Board of Directors is required by law, the record date for determining stockholders entitled to consent to corporate action without a meeting will be at the close of business on the day on which the Board of Directors adopts the resolution taking such prior action.</w:t>
      </w:r>
    </w:p>
    <w:p>
      <w:pPr>
        <w:spacing w:after="0" w:line="178" w:lineRule="exact"/>
        <w:rPr>
          <w:rFonts w:ascii="Arial" w:cs="Arial" w:eastAsia="Arial" w:hAnsi="Arial"/>
          <w:sz w:val="17"/>
          <w:szCs w:val="17"/>
          <w:b w:val="1"/>
          <w:bCs w:val="1"/>
          <w:color w:val="auto"/>
        </w:rPr>
      </w:pPr>
    </w:p>
    <w:p>
      <w:pPr>
        <w:ind w:firstLine="987"/>
        <w:spacing w:after="0" w:line="255" w:lineRule="auto"/>
        <w:tabs>
          <w:tab w:leader="none" w:pos="1236"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will not precede the date upon which the resolution fixing the record date is adopted, and which record date will be not more than 60 days prior to such action. If no record date is fixed, the record date for determining stockholders for any such purpose will be at the close of business on the day on which the Board of Directors adopts the resolution relating thereto.</w:t>
      </w:r>
    </w:p>
    <w:p>
      <w:pPr>
        <w:spacing w:after="0" w:line="188"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Section 39. Registered Stockholders</w:t>
      </w:r>
      <w:r>
        <w:rPr>
          <w:rFonts w:ascii="Arial" w:cs="Arial" w:eastAsia="Arial" w:hAnsi="Arial"/>
          <w:sz w:val="16"/>
          <w:szCs w:val="16"/>
          <w:color w:val="auto"/>
        </w:rPr>
        <w:t>. The corporation is entitled to recognize the exclusive right of a person registered on its books as the owner</w:t>
      </w:r>
      <w:r>
        <w:rPr>
          <w:rFonts w:ascii="Arial" w:cs="Arial" w:eastAsia="Arial" w:hAnsi="Arial"/>
          <w:sz w:val="16"/>
          <w:szCs w:val="16"/>
          <w:b w:val="1"/>
          <w:bCs w:val="1"/>
          <w:color w:val="auto"/>
        </w:rPr>
        <w:t xml:space="preserve"> </w:t>
      </w:r>
      <w:r>
        <w:rPr>
          <w:rFonts w:ascii="Arial" w:cs="Arial" w:eastAsia="Arial" w:hAnsi="Arial"/>
          <w:sz w:val="16"/>
          <w:szCs w:val="16"/>
          <w:color w:val="auto"/>
        </w:rPr>
        <w:t>of shares to receive dividends, and to vote as such owner, and is not bound to recognize any equitable or other claim to or interest in such share or shares on the part of any other person whether or not it has express or other notice thereof, except as otherwise provided by the laws of Delaware.</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SECURITIES OF THE CORPORATION</w:t>
      </w:r>
    </w:p>
    <w:p>
      <w:pPr>
        <w:spacing w:after="0" w:line="22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b w:val="1"/>
          <w:bCs w:val="1"/>
          <w:color w:val="auto"/>
        </w:rPr>
        <w:t>Section 40. Execution of Other Securities</w:t>
      </w:r>
      <w:r>
        <w:rPr>
          <w:rFonts w:ascii="Arial" w:cs="Arial" w:eastAsia="Arial" w:hAnsi="Arial"/>
          <w:sz w:val="16"/>
          <w:szCs w:val="16"/>
          <w:color w:val="auto"/>
        </w:rPr>
        <w:t>. All bonds, debentures and other corporate securities of the corporation, other than stock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(covered in Section 35 of these Bylaws), may be signed by the Chair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where any such bond, debenture or other corporate security is authenticated by the manual signature, or where permissible facsimile signature, of a trustee under an indenture pursuant to which such bond, debenture or other corporate security is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will be signed by the Treasurer or an Assistant Treasurer of the corporation or such other person as may be authorized by the Board of Directors, or bear imprinted thereon the facsimile signature of such person. In case any officer who has signed or attested any bond, debenture or other corporate security, or whose facsimile signature appears thereon or on any such interest coupon, has ceased to be such officer before the bond, debenture or other corporate security so signed or attested has been delivered, such bond, debenture or other corporate security nevertheless may be adopted by the corporation and issued and delivered as though the person who signed the same or whose facsimile signature has been used thereon had not ceased to be such officer of the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Section 41. Declaration of Dividends</w:t>
      </w:r>
      <w:r>
        <w:rPr>
          <w:rFonts w:ascii="Arial" w:cs="Arial" w:eastAsia="Arial" w:hAnsi="Arial"/>
          <w:sz w:val="17"/>
          <w:szCs w:val="17"/>
          <w:color w:val="auto"/>
        </w:rPr>
        <w:t>. Dividends upon the capital stock of the corporation, subject to the provisions of the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applicable law, if any, may be declared by the Board of Directors pursuant to law at any regular or special meeting. Dividends may be paid in cash, in property, or in shares of the capital stock, subject to the provisions of the Certificate of Incorporation and applicable law.</w:t>
      </w:r>
    </w:p>
    <w:p>
      <w:pPr>
        <w:spacing w:after="0" w:line="15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Section 42. Dividend Reserve</w:t>
      </w:r>
      <w:r>
        <w:rPr>
          <w:rFonts w:ascii="Arial" w:cs="Arial" w:eastAsia="Arial" w:hAnsi="Arial"/>
          <w:sz w:val="16"/>
          <w:szCs w:val="16"/>
          <w:color w:val="auto"/>
        </w:rPr>
        <w:t>. Before payment of any dividend, there may be set aside out of any funds of the corporation available for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thinks conducive to the interests of the corporation, and the Board of Directors may modify or abolish any such reserve in the manner in which it was created.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43. Fiscal Year</w:t>
      </w:r>
      <w:r>
        <w:rPr>
          <w:rFonts w:ascii="Arial" w:cs="Arial" w:eastAsia="Arial" w:hAnsi="Arial"/>
          <w:sz w:val="18"/>
          <w:szCs w:val="18"/>
          <w:color w:val="auto"/>
        </w:rPr>
        <w:t>. The fiscal year of the corporation will be fixed by resolution of the Board of Directors.</w:t>
      </w:r>
    </w:p>
    <w:p>
      <w:pPr>
        <w:spacing w:after="0" w:line="16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300" w:name="page301"/>
    <w:bookmarkEnd w:id="3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44. Indemnification of Directors, Executive Officers, Other Officers, Employees and Other Agents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46"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Executive Officers</w:t>
      </w:r>
      <w:r>
        <w:rPr>
          <w:rFonts w:ascii="Arial" w:cs="Arial" w:eastAsia="Arial" w:hAnsi="Arial"/>
          <w:sz w:val="18"/>
          <w:szCs w:val="18"/>
          <w:color w:val="auto"/>
        </w:rPr>
        <w:t>. The corporation will indemnify its directors and executive officers (for the purposes of this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officers” has the meaning defined in Rule 3b-7 promulgated under the 1934 Act) to the fullest extent not prohibited by the DGCL or any other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corporation may modify the extent of such indemnification by individual contracts with its directors and executive officers;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corporation will not be required to indemnify any director or executive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paragraph (d) of this Section.</w:t>
      </w:r>
    </w:p>
    <w:p>
      <w:pPr>
        <w:spacing w:after="0" w:line="191" w:lineRule="exact"/>
        <w:rPr>
          <w:rFonts w:ascii="Arial" w:cs="Arial" w:eastAsia="Arial" w:hAnsi="Arial"/>
          <w:sz w:val="18"/>
          <w:szCs w:val="18"/>
          <w:b w:val="1"/>
          <w:bCs w:val="1"/>
          <w:color w:val="auto"/>
        </w:rPr>
      </w:pPr>
    </w:p>
    <w:p>
      <w:pPr>
        <w:ind w:right="60" w:firstLine="987"/>
        <w:spacing w:after="0" w:line="314" w:lineRule="auto"/>
        <w:tabs>
          <w:tab w:leader="none" w:pos="1256"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Other Officers, Employees and Other Agents</w:t>
      </w:r>
      <w:r>
        <w:rPr>
          <w:rFonts w:ascii="Arial" w:cs="Arial" w:eastAsia="Arial" w:hAnsi="Arial"/>
          <w:sz w:val="16"/>
          <w:szCs w:val="16"/>
          <w:color w:val="auto"/>
        </w:rPr>
        <w:t>. The corporation will have power to indemnify its other officers, employees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as set forth in the DGCL or any other applicable law. The Board of Directors will have the power to delegate the determination of whether indemnification will be given to any such person except executive officers to such officers or other persons as the Board of Directors determines.</w:t>
      </w:r>
    </w:p>
    <w:p>
      <w:pPr>
        <w:spacing w:after="0" w:line="141" w:lineRule="exact"/>
        <w:rPr>
          <w:rFonts w:ascii="Arial" w:cs="Arial" w:eastAsia="Arial" w:hAnsi="Arial"/>
          <w:sz w:val="16"/>
          <w:szCs w:val="16"/>
          <w:b w:val="1"/>
          <w:bCs w:val="1"/>
          <w:color w:val="auto"/>
        </w:rPr>
      </w:pPr>
    </w:p>
    <w:p>
      <w:pPr>
        <w:ind w:right="80" w:firstLine="987"/>
        <w:spacing w:after="0" w:line="253" w:lineRule="auto"/>
        <w:tabs>
          <w:tab w:leader="none" w:pos="1236"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corporation will advance to any person who was or is a party or is threatened to be made a party to any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pending or completed action, suit or proceeding, whether civil, criminal, administrative or investigative, by reason of the fact that such person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DGCL requires, an advancement of expenses incurred by a director or officer in his or her capacity as a director or officer (and not in any other capacity in which service was or is rendered by such indemnitee, including, without limitation, service to an employee benefit plan) will be made only upon delivery to the corporation of an undertaking, by or on behalf of such indemnitee, to repay all amounts so advanced if it is ultimately determined by final judicial decision from which there is no further right to appeal that such indemnitee is not entitled to be indemnified for such expenses under this Section or otherwise.</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Notwithstanding the foregoing, unless otherwise determined pursuant to paragraph (e) of this Section, no advance will be made by the corporation to an executive officer of the corporation (except by reason of the fact that such executive officer is or was a director of the corporation, in which event this paragraph will not apply) in any action, suit or proceeding, whether civil, criminal, administrative or investigative, if a determination is reasonably and promptly made (i) by a majority vote of a quorum consisting of directors who were not parties to the proceeding, even if not a quorum, or (ii) by a committee of such directors designated by a majority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301" w:name="page302"/>
    <w:bookmarkEnd w:id="301"/>
    <w:p>
      <w:pPr>
        <w:ind w:left="-20" w:firstLine="987"/>
        <w:spacing w:after="0" w:line="285" w:lineRule="auto"/>
        <w:tabs>
          <w:tab w:leader="none" w:pos="1236"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Arial" w:cs="Arial" w:eastAsia="Arial" w:hAnsi="Arial"/>
          <w:sz w:val="16"/>
          <w:szCs w:val="16"/>
          <w:color w:val="auto"/>
        </w:rPr>
        <w:t>. Without the necessity of entering into an express contract, all rights to indemnification and advances to directors and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this Section will be deemed to be contractual rights and be effective to the same extent and as if provided for in a contract between the corporation and the director or executive officer. Any right to indemnification or advances granted by this Section to a director or executive officer will be enforceable by or on behalf of the person holding such right in any court of competent jurisdiction if (i) the claim for indemnification or advances is denied, in whole or in part, or (ii) no disposition of such claim is made within 90 days of request therefor. The claimant in such enforcement action, if successful in whole or in part, will be entitled to be paid also the expense of prosecuting the claim. In connection with any claim for indemnification, the corporation will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will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will be a defense to the action or create a presumption that claimant has not met the applicable standard of conduct.</w:t>
      </w:r>
    </w:p>
    <w:p>
      <w:pPr>
        <w:spacing w:after="0" w:line="173" w:lineRule="exact"/>
        <w:rPr>
          <w:rFonts w:ascii="Arial" w:cs="Arial" w:eastAsia="Arial" w:hAnsi="Arial"/>
          <w:sz w:val="16"/>
          <w:szCs w:val="16"/>
          <w:b w:val="1"/>
          <w:bCs w:val="1"/>
          <w:color w:val="auto"/>
        </w:rPr>
      </w:pPr>
    </w:p>
    <w:p>
      <w:pPr>
        <w:ind w:left="-20" w:right="300" w:firstLine="987"/>
        <w:spacing w:after="0" w:line="277" w:lineRule="auto"/>
        <w:tabs>
          <w:tab w:leader="none" w:pos="1216"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Rights</w:t>
      </w:r>
      <w:r>
        <w:rPr>
          <w:rFonts w:ascii="Arial" w:cs="Arial" w:eastAsia="Arial" w:hAnsi="Arial"/>
          <w:sz w:val="17"/>
          <w:szCs w:val="17"/>
          <w:color w:val="auto"/>
        </w:rPr>
        <w:t>. The rights conferred on any person by this Section are not exclusive of any other right that such person</w:t>
      </w:r>
      <w:r>
        <w:rPr>
          <w:rFonts w:ascii="Arial" w:cs="Arial" w:eastAsia="Arial" w:hAnsi="Arial"/>
          <w:sz w:val="17"/>
          <w:szCs w:val="17"/>
          <w:b w:val="1"/>
          <w:bCs w:val="1"/>
          <w:color w:val="auto"/>
        </w:rPr>
        <w:t xml:space="preserve"> </w:t>
      </w:r>
      <w:r>
        <w:rPr>
          <w:rFonts w:ascii="Arial" w:cs="Arial" w:eastAsia="Arial" w:hAnsi="Arial"/>
          <w:sz w:val="17"/>
          <w:szCs w:val="17"/>
          <w:color w:val="auto"/>
        </w:rPr>
        <w:t>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any other applicable law.</w:t>
      </w:r>
    </w:p>
    <w:p>
      <w:pPr>
        <w:spacing w:after="0" w:line="167" w:lineRule="exact"/>
        <w:rPr>
          <w:rFonts w:ascii="Arial" w:cs="Arial" w:eastAsia="Arial" w:hAnsi="Arial"/>
          <w:sz w:val="17"/>
          <w:szCs w:val="17"/>
          <w:b w:val="1"/>
          <w:bCs w:val="1"/>
          <w:color w:val="auto"/>
        </w:rPr>
      </w:pPr>
    </w:p>
    <w:p>
      <w:pPr>
        <w:ind w:left="-20" w:right="160" w:firstLine="987"/>
        <w:spacing w:after="0" w:line="282" w:lineRule="auto"/>
        <w:tabs>
          <w:tab w:leader="none" w:pos="1196"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Survival of Rights</w:t>
      </w:r>
      <w:r>
        <w:rPr>
          <w:rFonts w:ascii="Arial" w:cs="Arial" w:eastAsia="Arial" w:hAnsi="Arial"/>
          <w:sz w:val="18"/>
          <w:szCs w:val="18"/>
          <w:color w:val="auto"/>
        </w:rPr>
        <w:t>. The rights conferred on any person by this Section will continue as to a person who has ceased to be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will inure to the benefit of the heirs, executors and administrators of such a person.</w:t>
      </w:r>
    </w:p>
    <w:p>
      <w:pPr>
        <w:spacing w:after="0" w:line="161" w:lineRule="exact"/>
        <w:rPr>
          <w:rFonts w:ascii="Arial" w:cs="Arial" w:eastAsia="Arial" w:hAnsi="Arial"/>
          <w:sz w:val="18"/>
          <w:szCs w:val="18"/>
          <w:b w:val="1"/>
          <w:bCs w:val="1"/>
          <w:color w:val="auto"/>
        </w:rPr>
      </w:pPr>
    </w:p>
    <w:p>
      <w:pPr>
        <w:ind w:left="-20" w:right="200" w:firstLine="987"/>
        <w:spacing w:after="0" w:line="312" w:lineRule="auto"/>
        <w:tabs>
          <w:tab w:leader="none" w:pos="1226"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r>
        <w:rPr>
          <w:rFonts w:ascii="Arial" w:cs="Arial" w:eastAsia="Arial" w:hAnsi="Arial"/>
          <w:sz w:val="17"/>
          <w:szCs w:val="17"/>
          <w:color w:val="auto"/>
        </w:rPr>
        <w:t>. To the fullest extent permitted by the DGCL, or any other applicable law, the corporation, upon approval by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may purchase insurance on behalf of any person required or permitted to be indemnified pursuant to this Section.</w:t>
      </w:r>
    </w:p>
    <w:p>
      <w:pPr>
        <w:spacing w:after="0" w:line="139" w:lineRule="exact"/>
        <w:rPr>
          <w:rFonts w:ascii="Arial" w:cs="Arial" w:eastAsia="Arial" w:hAnsi="Arial"/>
          <w:sz w:val="17"/>
          <w:szCs w:val="17"/>
          <w:b w:val="1"/>
          <w:bCs w:val="1"/>
          <w:color w:val="auto"/>
        </w:rPr>
      </w:pPr>
    </w:p>
    <w:p>
      <w:pPr>
        <w:ind w:left="-20" w:right="160" w:firstLine="987"/>
        <w:spacing w:after="0" w:line="347" w:lineRule="auto"/>
        <w:tabs>
          <w:tab w:leader="none" w:pos="1236"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w:t>
      </w:r>
      <w:r>
        <w:rPr>
          <w:rFonts w:ascii="Arial" w:cs="Arial" w:eastAsia="Arial" w:hAnsi="Arial"/>
          <w:sz w:val="16"/>
          <w:szCs w:val="16"/>
          <w:color w:val="auto"/>
        </w:rPr>
        <w:t>. Any repeal or modification of this Section is only prospective and does not affect the rights under this Bylaw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of the alleged occurrence of any action or omission to act that is the cause of any proceeding against any agent of the corporation.</w:t>
      </w:r>
    </w:p>
    <w:p>
      <w:pPr>
        <w:spacing w:after="0" w:line="115" w:lineRule="exact"/>
        <w:rPr>
          <w:rFonts w:ascii="Arial" w:cs="Arial" w:eastAsia="Arial" w:hAnsi="Arial"/>
          <w:sz w:val="16"/>
          <w:szCs w:val="16"/>
          <w:b w:val="1"/>
          <w:bCs w:val="1"/>
          <w:color w:val="auto"/>
        </w:rPr>
      </w:pPr>
    </w:p>
    <w:p>
      <w:pPr>
        <w:ind w:left="-20" w:right="100" w:firstLine="987"/>
        <w:spacing w:after="0" w:line="281" w:lineRule="auto"/>
        <w:tabs>
          <w:tab w:leader="none" w:pos="1186" w:val="left"/>
        </w:tabs>
        <w:numPr>
          <w:ilvl w:val="0"/>
          <w:numId w:val="180"/>
        </w:numPr>
        <w:rPr>
          <w:rFonts w:ascii="Arial" w:cs="Arial" w:eastAsia="Arial" w:hAnsi="Arial"/>
          <w:sz w:val="17"/>
          <w:szCs w:val="17"/>
          <w:b w:val="1"/>
          <w:bCs w:val="1"/>
          <w:color w:val="auto"/>
        </w:rPr>
      </w:pPr>
      <w:r>
        <w:rPr>
          <w:rFonts w:ascii="Arial" w:cs="Arial" w:eastAsia="Arial" w:hAnsi="Arial"/>
          <w:sz w:val="17"/>
          <w:szCs w:val="17"/>
          <w:b w:val="1"/>
          <w:bCs w:val="1"/>
          <w:color w:val="auto"/>
        </w:rPr>
        <w:t>Saving Clause</w:t>
      </w:r>
      <w:r>
        <w:rPr>
          <w:rFonts w:ascii="Arial" w:cs="Arial" w:eastAsia="Arial" w:hAnsi="Arial"/>
          <w:sz w:val="17"/>
          <w:szCs w:val="17"/>
          <w:color w:val="auto"/>
        </w:rPr>
        <w:t>. If this Section or any portion hereof is invalidated on any ground by any court of competent jurisdiction, then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will nevertheless indemnify each director and executive officer to the full extent not prohibited by any applicable portion of this Bylaw that has not been invalidated, or by any other applicable law. If this Section is invalid due to the application of the indemnification provisions of another jurisdiction, then the corporation will indemnify each director and executive officer to the full extent under applicable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0" w:right="459" w:bottom="1440" w:gutter="0" w:footer="0" w:header="0"/>
        </w:sectPr>
      </w:pPr>
    </w:p>
    <w:bookmarkStart w:id="302" w:name="page303"/>
    <w:bookmarkEnd w:id="302"/>
    <w:p>
      <w:pPr>
        <w:ind w:left="1220" w:hanging="233"/>
        <w:spacing w:after="0"/>
        <w:tabs>
          <w:tab w:leader="none" w:pos="122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Definitions</w:t>
      </w:r>
      <w:r>
        <w:rPr>
          <w:rFonts w:ascii="Arial" w:cs="Arial" w:eastAsia="Arial" w:hAnsi="Arial"/>
          <w:sz w:val="18"/>
          <w:szCs w:val="18"/>
          <w:color w:val="auto"/>
        </w:rPr>
        <w:t>. For the purposes of this Section, the following definitions apply:</w:t>
      </w:r>
    </w:p>
    <w:p>
      <w:pPr>
        <w:spacing w:after="0" w:line="121" w:lineRule="exact"/>
        <w:rPr>
          <w:rFonts w:ascii="Arial" w:cs="Arial" w:eastAsia="Arial" w:hAnsi="Arial"/>
          <w:sz w:val="18"/>
          <w:szCs w:val="18"/>
          <w:b w:val="1"/>
          <w:bCs w:val="1"/>
          <w:color w:val="auto"/>
        </w:rPr>
      </w:pPr>
    </w:p>
    <w:p>
      <w:pPr>
        <w:ind w:right="180" w:firstLine="1428"/>
        <w:spacing w:after="0" w:line="263" w:lineRule="auto"/>
        <w:tabs>
          <w:tab w:leader="none" w:pos="1687"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The term “proceeding” is to be broadly construed and includes,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83" w:lineRule="exact"/>
        <w:rPr>
          <w:rFonts w:ascii="Arial" w:cs="Arial" w:eastAsia="Arial" w:hAnsi="Arial"/>
          <w:sz w:val="18"/>
          <w:szCs w:val="18"/>
          <w:b w:val="1"/>
          <w:bCs w:val="1"/>
          <w:color w:val="auto"/>
        </w:rPr>
      </w:pPr>
    </w:p>
    <w:p>
      <w:pPr>
        <w:ind w:right="120" w:firstLine="1428"/>
        <w:spacing w:after="0" w:line="342" w:lineRule="auto"/>
        <w:tabs>
          <w:tab w:leader="none" w:pos="1687" w:val="left"/>
        </w:tabs>
        <w:numPr>
          <w:ilvl w:val="1"/>
          <w:numId w:val="181"/>
        </w:numPr>
        <w:rPr>
          <w:rFonts w:ascii="Arial" w:cs="Arial" w:eastAsia="Arial" w:hAnsi="Arial"/>
          <w:sz w:val="16"/>
          <w:szCs w:val="16"/>
          <w:b w:val="1"/>
          <w:bCs w:val="1"/>
          <w:color w:val="auto"/>
        </w:rPr>
      </w:pPr>
      <w:r>
        <w:rPr>
          <w:rFonts w:ascii="Arial" w:cs="Arial" w:eastAsia="Arial" w:hAnsi="Arial"/>
          <w:sz w:val="16"/>
          <w:szCs w:val="16"/>
          <w:color w:val="auto"/>
        </w:rPr>
        <w:t>The term “expenses” is to be broadly construed and includes, without limitation, court costs, attorneys’ fees, witness fees, fines, amounts paid in settlement or judgment and any other costs and expenses of any nature or kind incurred in connection with any proceeding.</w:t>
      </w:r>
    </w:p>
    <w:p>
      <w:pPr>
        <w:spacing w:after="0" w:line="123" w:lineRule="exact"/>
        <w:rPr>
          <w:rFonts w:ascii="Arial" w:cs="Arial" w:eastAsia="Arial" w:hAnsi="Arial"/>
          <w:sz w:val="16"/>
          <w:szCs w:val="16"/>
          <w:b w:val="1"/>
          <w:bCs w:val="1"/>
          <w:color w:val="auto"/>
        </w:rPr>
      </w:pPr>
    </w:p>
    <w:p>
      <w:pPr>
        <w:ind w:right="180" w:firstLine="1428"/>
        <w:spacing w:after="0" w:line="293" w:lineRule="auto"/>
        <w:tabs>
          <w:tab w:leader="none" w:pos="1687" w:val="left"/>
        </w:tabs>
        <w:numPr>
          <w:ilvl w:val="1"/>
          <w:numId w:val="181"/>
        </w:numPr>
        <w:rPr>
          <w:rFonts w:ascii="Arial" w:cs="Arial" w:eastAsia="Arial" w:hAnsi="Arial"/>
          <w:sz w:val="16"/>
          <w:szCs w:val="16"/>
          <w:b w:val="1"/>
          <w:bCs w:val="1"/>
          <w:color w:val="auto"/>
        </w:rPr>
      </w:pPr>
      <w:r>
        <w:rPr>
          <w:rFonts w:ascii="Arial" w:cs="Arial" w:eastAsia="Arial" w:hAnsi="Arial"/>
          <w:sz w:val="16"/>
          <w:szCs w:val="16"/>
          <w:color w:val="auto"/>
        </w:rPr>
        <w:t>The term the “corporation” includes,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this Section with respect to the resulting or surviving corporation as he would have with respect to such constituent corporation if its separate existence had continued.</w:t>
      </w:r>
    </w:p>
    <w:p>
      <w:pPr>
        <w:spacing w:after="0" w:line="164" w:lineRule="exact"/>
        <w:rPr>
          <w:rFonts w:ascii="Arial" w:cs="Arial" w:eastAsia="Arial" w:hAnsi="Arial"/>
          <w:sz w:val="16"/>
          <w:szCs w:val="16"/>
          <w:b w:val="1"/>
          <w:bCs w:val="1"/>
          <w:color w:val="auto"/>
        </w:rPr>
      </w:pPr>
    </w:p>
    <w:p>
      <w:pPr>
        <w:jc w:val="both"/>
        <w:ind w:right="100" w:firstLine="1428"/>
        <w:spacing w:after="0" w:line="263" w:lineRule="auto"/>
        <w:tabs>
          <w:tab w:leader="none" w:pos="1687"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References to a “director,” “executive officer,” “officer,” “employee,” or “agent” of the corporation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183" w:lineRule="exact"/>
        <w:rPr>
          <w:rFonts w:ascii="Arial" w:cs="Arial" w:eastAsia="Arial" w:hAnsi="Arial"/>
          <w:sz w:val="18"/>
          <w:szCs w:val="18"/>
          <w:b w:val="1"/>
          <w:bCs w:val="1"/>
          <w:color w:val="auto"/>
        </w:rPr>
      </w:pPr>
    </w:p>
    <w:p>
      <w:pPr>
        <w:ind w:firstLine="1428"/>
        <w:spacing w:after="0" w:line="255" w:lineRule="auto"/>
        <w:tabs>
          <w:tab w:leader="none" w:pos="1687" w:val="left"/>
        </w:tabs>
        <w:numPr>
          <w:ilvl w:val="1"/>
          <w:numId w:val="181"/>
        </w:numPr>
        <w:rPr>
          <w:rFonts w:ascii="Arial" w:cs="Arial" w:eastAsia="Arial" w:hAnsi="Arial"/>
          <w:sz w:val="18"/>
          <w:szCs w:val="18"/>
          <w:b w:val="1"/>
          <w:bCs w:val="1"/>
          <w:color w:val="auto"/>
        </w:rPr>
      </w:pPr>
      <w:r>
        <w:rPr>
          <w:rFonts w:ascii="Arial" w:cs="Arial" w:eastAsia="Arial" w:hAnsi="Arial"/>
          <w:sz w:val="18"/>
          <w:szCs w:val="18"/>
          <w:color w:val="auto"/>
        </w:rPr>
        <w:t>References to “other enterprises” include employee benefit plans; references to “fines” include any excise taxes assessed on a person with respect to an employee benefit plan; and references to “serving at the request of the corporation”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is deemed to have acted in a manner “not opposed to the best interests of the corporation” as referred to in this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45. Notices.</w:t>
      </w:r>
    </w:p>
    <w:p>
      <w:pPr>
        <w:spacing w:after="0" w:line="117" w:lineRule="exact"/>
        <w:rPr>
          <w:sz w:val="20"/>
          <w:szCs w:val="20"/>
          <w:color w:val="auto"/>
        </w:rPr>
      </w:pPr>
    </w:p>
    <w:p>
      <w:pPr>
        <w:jc w:val="both"/>
        <w:ind w:firstLine="987"/>
        <w:spacing w:after="0" w:line="281" w:lineRule="auto"/>
        <w:tabs>
          <w:tab w:leader="none" w:pos="1246"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Stockholders</w:t>
      </w:r>
      <w:r>
        <w:rPr>
          <w:rFonts w:ascii="Arial" w:cs="Arial" w:eastAsia="Arial" w:hAnsi="Arial"/>
          <w:sz w:val="17"/>
          <w:szCs w:val="17"/>
          <w:color w:val="auto"/>
        </w:rPr>
        <w:t>. Written notice to stockholders of stockholder meetings will be given as provided in Section 7 of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United States mail or nationally recognized overnight courier, or by facsimile, telegraph or telex or by electronic mail or other electronic means.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03" w:name="page304"/>
    <w:bookmarkEnd w:id="303"/>
    <w:p>
      <w:pPr>
        <w:ind w:right="200" w:firstLine="987"/>
        <w:spacing w:after="0" w:line="289" w:lineRule="auto"/>
        <w:tabs>
          <w:tab w:leader="none" w:pos="1256"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Directors</w:t>
      </w:r>
      <w:r>
        <w:rPr>
          <w:rFonts w:ascii="Arial" w:cs="Arial" w:eastAsia="Arial" w:hAnsi="Arial"/>
          <w:sz w:val="17"/>
          <w:szCs w:val="17"/>
          <w:color w:val="auto"/>
        </w:rPr>
        <w:t>. Any notice required to be given to any director may be given by the method stated in paragraph (a)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or as provided for in Section 21 of these Bylaws. If such notice is not delivered personally, it will be sent to such address as such director has filed in writing with the Secretary, or, in the absence of such filing, to the last known post office address of such director.</w:t>
      </w:r>
    </w:p>
    <w:p>
      <w:pPr>
        <w:spacing w:after="0" w:line="157" w:lineRule="exact"/>
        <w:rPr>
          <w:rFonts w:ascii="Arial" w:cs="Arial" w:eastAsia="Arial" w:hAnsi="Arial"/>
          <w:sz w:val="17"/>
          <w:szCs w:val="17"/>
          <w:b w:val="1"/>
          <w:bCs w:val="1"/>
          <w:color w:val="auto"/>
        </w:rPr>
      </w:pPr>
    </w:p>
    <w:p>
      <w:pPr>
        <w:jc w:val="both"/>
        <w:ind w:right="20" w:firstLine="987"/>
        <w:spacing w:after="0" w:line="261" w:lineRule="auto"/>
        <w:tabs>
          <w:tab w:leader="none" w:pos="1236"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Affidavit of Mailing</w:t>
      </w:r>
      <w:r>
        <w:rPr>
          <w:rFonts w:ascii="Arial" w:cs="Arial" w:eastAsia="Arial" w:hAnsi="Arial"/>
          <w:sz w:val="18"/>
          <w:szCs w:val="18"/>
          <w:color w:val="auto"/>
        </w:rPr>
        <w:t>. An affidavit of mailing, executed by a duly authorized and competent employee of the corporation or its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will in the absence of fraud, be prima facie evidence of the facts therein contained.</w:t>
      </w:r>
    </w:p>
    <w:p>
      <w:pPr>
        <w:spacing w:after="0" w:line="179" w:lineRule="exact"/>
        <w:rPr>
          <w:rFonts w:ascii="Arial" w:cs="Arial" w:eastAsia="Arial" w:hAnsi="Arial"/>
          <w:sz w:val="18"/>
          <w:szCs w:val="18"/>
          <w:b w:val="1"/>
          <w:bCs w:val="1"/>
          <w:color w:val="auto"/>
        </w:rPr>
      </w:pPr>
    </w:p>
    <w:p>
      <w:pPr>
        <w:ind w:firstLine="987"/>
        <w:spacing w:after="0" w:line="266" w:lineRule="auto"/>
        <w:tabs>
          <w:tab w:leader="none" w:pos="1256"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Notice</w:t>
      </w:r>
      <w:r>
        <w:rPr>
          <w:rFonts w:ascii="Arial" w:cs="Arial" w:eastAsia="Arial" w:hAnsi="Arial"/>
          <w:sz w:val="18"/>
          <w:szCs w:val="18"/>
          <w:color w:val="auto"/>
        </w:rPr>
        <w:t>. It is not necessary that the same method of giving notice be employed in respect of all recipients of notice, but one</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method may be employed in respect of any one or more, and any other permissible method or methods may be employed in respect of any other or others.</w:t>
      </w:r>
    </w:p>
    <w:p>
      <w:pPr>
        <w:spacing w:after="0" w:line="175" w:lineRule="exact"/>
        <w:rPr>
          <w:rFonts w:ascii="Arial" w:cs="Arial" w:eastAsia="Arial" w:hAnsi="Arial"/>
          <w:sz w:val="18"/>
          <w:szCs w:val="18"/>
          <w:b w:val="1"/>
          <w:bCs w:val="1"/>
          <w:color w:val="auto"/>
        </w:rPr>
      </w:pPr>
    </w:p>
    <w:p>
      <w:pPr>
        <w:jc w:val="both"/>
        <w:ind w:right="80" w:firstLine="987"/>
        <w:spacing w:after="0" w:line="289" w:lineRule="auto"/>
        <w:tabs>
          <w:tab w:leader="none" w:pos="1236"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t>Notice to Person with Whom Communication Is Unlawful</w:t>
      </w:r>
      <w:r>
        <w:rPr>
          <w:rFonts w:ascii="Arial" w:cs="Arial" w:eastAsia="Arial" w:hAnsi="Arial"/>
          <w:sz w:val="16"/>
          <w:szCs w:val="16"/>
          <w:color w:val="auto"/>
        </w:rPr>
        <w:t>. Whenever notice is required to be given, under any provision of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Certificate of Incorporation or Bylaws of the corporation, to any person with whom communication is unlawful, the giving of such notice to such person is not required and there is no duty to apply to any governmental authority or agency for a license or permit to give such notice to such person.</w:t>
      </w:r>
    </w:p>
    <w:p>
      <w:pPr>
        <w:spacing w:after="0" w:line="1" w:lineRule="exact"/>
        <w:rPr>
          <w:rFonts w:ascii="Arial" w:cs="Arial" w:eastAsia="Arial" w:hAnsi="Arial"/>
          <w:sz w:val="16"/>
          <w:szCs w:val="16"/>
          <w:b w:val="1"/>
          <w:bCs w:val="1"/>
          <w:color w:val="auto"/>
        </w:rPr>
      </w:pPr>
    </w:p>
    <w:p>
      <w:pPr>
        <w:ind w:right="8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Any action or meeting that is taken or held without notice to any such person with whom communication is unlawful has the same force and effect as if such notice had been duly given. In the event that the action taken by the corporation is such as to require the filing of a certificate under any provision of the DGCL, the certificate will state, if such is the fact and if notice is required, that notice was given to all persons entitled to receive notice except such persons with whom communication is unlawful.</w:t>
      </w:r>
    </w:p>
    <w:p>
      <w:pPr>
        <w:spacing w:after="0" w:line="188" w:lineRule="exact"/>
        <w:rPr>
          <w:rFonts w:ascii="Arial" w:cs="Arial" w:eastAsia="Arial" w:hAnsi="Arial"/>
          <w:sz w:val="16"/>
          <w:szCs w:val="16"/>
          <w:b w:val="1"/>
          <w:bCs w:val="1"/>
          <w:color w:val="auto"/>
        </w:rPr>
      </w:pPr>
    </w:p>
    <w:p>
      <w:pPr>
        <w:ind w:right="80" w:firstLine="987"/>
        <w:spacing w:after="0" w:line="258" w:lineRule="auto"/>
        <w:tabs>
          <w:tab w:leader="none" w:pos="1216"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Stockholders Sharing an Address</w:t>
      </w:r>
      <w:r>
        <w:rPr>
          <w:rFonts w:ascii="Arial" w:cs="Arial" w:eastAsia="Arial" w:hAnsi="Arial"/>
          <w:sz w:val="18"/>
          <w:szCs w:val="18"/>
          <w:color w:val="auto"/>
        </w:rPr>
        <w:t>. Except as otherwise prohibited under DGCL, any notice given under the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DGCL, the Certificate of Incorporation or the Bylaws will be effective if given by a single written notice to stockholders who share an address if consented to by the stockholders at that address to whom such notice is given. Such consent is deemed to have been given if such stockholder fails to object in writing to the corporation within 60 days of having been given notice by the corporation of its intention to send the single notice. Any consent is revocable by the stockholder by written notice to the corporation.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Section 46. Amendments</w:t>
      </w:r>
      <w:r>
        <w:rPr>
          <w:rFonts w:ascii="Arial" w:cs="Arial" w:eastAsia="Arial" w:hAnsi="Arial"/>
          <w:sz w:val="18"/>
          <w:szCs w:val="18"/>
          <w:color w:val="auto"/>
        </w:rPr>
        <w:t>. The Board of Directors is expressly empowered to adopt, amend or repeal Bylaws of the corporation. The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also have power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addition to any vote of the holders of any class or series of stock of the corporation required by law or by the Certificate of Incorporation, such action by stockholders requires the affirmative vote of the holders of a majority of the voting power of all of the then-outstanding shares of the capital stock of the corporation entitled to vote generally in the election of directors, voting together as a single class.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LOANS TO OFFICERS</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Section 47. Loans to Officers</w:t>
      </w:r>
      <w:r>
        <w:rPr>
          <w:rFonts w:ascii="Arial" w:cs="Arial" w:eastAsia="Arial" w:hAnsi="Arial"/>
          <w:sz w:val="17"/>
          <w:szCs w:val="17"/>
          <w:color w:val="auto"/>
        </w:rPr>
        <w:t>. Except as otherwise prohibited under applicable law, the corporation may lend money to, or guarantee any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approves, including, without limitation, a pledge of shares of stock of the corporation. Nothing in these Bylaws is deemed to deny, limit or restrict the powers of guaranty or warranty of the corporation at common law or under any statute.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48. Annual Report</w:t>
      </w:r>
      <w:r>
        <w:rPr>
          <w:rFonts w:ascii="Arial" w:cs="Arial" w:eastAsia="Arial" w:hAnsi="Arial"/>
          <w:sz w:val="18"/>
          <w:szCs w:val="18"/>
          <w:color w:val="auto"/>
        </w:rPr>
        <w:t>.</w:t>
      </w:r>
    </w:p>
    <w:p>
      <w:pPr>
        <w:spacing w:after="0" w:line="121" w:lineRule="exact"/>
        <w:rPr>
          <w:sz w:val="20"/>
          <w:szCs w:val="20"/>
          <w:color w:val="auto"/>
        </w:rPr>
      </w:pPr>
    </w:p>
    <w:p>
      <w:pPr>
        <w:ind w:right="100" w:firstLine="987"/>
        <w:spacing w:after="0" w:line="253" w:lineRule="auto"/>
        <w:tabs>
          <w:tab w:leader="none" w:pos="124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Subject to the provisions of paragraph (b) of this Section, the Board of Directors will cause an annual report to be sent to each stockholder of the corporation not later than 120 days after the close of the corporation’s fiscal year. Such report will include a balance sheet as of the end of such fiscal year and an income statement and statement of changes in financial position for such fiscal year, accompanied by any report thereon of independent accountants or, if there is no such report, the certificate of an authorized officer of the corporation that such statements were prepared without audit from the books and records of the corporation. When there are more than 100 stockholders of record of the corporation’s shares, as determined by Section 605 of the California General Corporation Law (“</w:t>
      </w:r>
      <w:r>
        <w:rPr>
          <w:rFonts w:ascii="Arial" w:cs="Arial" w:eastAsia="Arial" w:hAnsi="Arial"/>
          <w:sz w:val="18"/>
          <w:szCs w:val="18"/>
          <w:b w:val="1"/>
          <w:bCs w:val="1"/>
          <w:i w:val="1"/>
          <w:iCs w:val="1"/>
          <w:color w:val="auto"/>
        </w:rPr>
        <w:t>CGCL</w:t>
      </w:r>
      <w:r>
        <w:rPr>
          <w:rFonts w:ascii="Arial" w:cs="Arial" w:eastAsia="Arial" w:hAnsi="Arial"/>
          <w:sz w:val="18"/>
          <w:szCs w:val="18"/>
          <w:color w:val="auto"/>
        </w:rPr>
        <w:t>”), additional information as required by Section 1501(b) of the CGCL will also be contained in such report, provided that if the corporation has a class of securities registered under Section 12 of the 1934 Act, the 1934 Act will take precedence. Such report will be sent to stockholders at least 15 days prior to the next annual meeting of stockholders after the end of the fiscal year to which it relates.</w:t>
      </w:r>
    </w:p>
    <w:p>
      <w:pPr>
        <w:spacing w:after="0" w:line="196" w:lineRule="exact"/>
        <w:rPr>
          <w:rFonts w:ascii="Arial" w:cs="Arial" w:eastAsia="Arial" w:hAnsi="Arial"/>
          <w:sz w:val="18"/>
          <w:szCs w:val="18"/>
          <w:b w:val="1"/>
          <w:bCs w:val="1"/>
          <w:color w:val="auto"/>
        </w:rPr>
      </w:pPr>
    </w:p>
    <w:p>
      <w:pPr>
        <w:ind w:right="100" w:firstLine="987"/>
        <w:spacing w:after="0" w:line="277" w:lineRule="auto"/>
        <w:tabs>
          <w:tab w:leader="none" w:pos="1256" w:val="left"/>
        </w:tabs>
        <w:numPr>
          <w:ilvl w:val="0"/>
          <w:numId w:val="184"/>
        </w:numPr>
        <w:rPr>
          <w:rFonts w:ascii="Arial" w:cs="Arial" w:eastAsia="Arial" w:hAnsi="Arial"/>
          <w:sz w:val="18"/>
          <w:szCs w:val="18"/>
          <w:b w:val="1"/>
          <w:bCs w:val="1"/>
          <w:color w:val="auto"/>
        </w:rPr>
      </w:pPr>
      <w:r>
        <w:rPr>
          <w:rFonts w:ascii="Arial" w:cs="Arial" w:eastAsia="Arial" w:hAnsi="Arial"/>
          <w:sz w:val="18"/>
          <w:szCs w:val="18"/>
          <w:color w:val="auto"/>
        </w:rPr>
        <w:t>If and so long as there are fewer than 100 holders of record of the corporation’s shares, the requirement of sending of an annual report to the stockholders of the corporation is hereby expressly waived.</w:t>
      </w:r>
    </w:p>
    <w:p>
      <w:pPr>
        <w:spacing w:after="0" w:line="166" w:lineRule="exact"/>
        <w:rPr>
          <w:sz w:val="20"/>
          <w:szCs w:val="20"/>
          <w:color w:val="auto"/>
        </w:rPr>
      </w:pPr>
    </w:p>
    <w:p>
      <w:pPr>
        <w:ind w:right="80" w:firstLine="440"/>
        <w:spacing w:after="0" w:line="274" w:lineRule="auto"/>
        <w:rPr>
          <w:sz w:val="20"/>
          <w:szCs w:val="20"/>
          <w:color w:val="auto"/>
        </w:rPr>
      </w:pPr>
      <w:r>
        <w:rPr>
          <w:rFonts w:ascii="Arial" w:cs="Arial" w:eastAsia="Arial" w:hAnsi="Arial"/>
          <w:sz w:val="17"/>
          <w:szCs w:val="17"/>
          <w:b w:val="1"/>
          <w:bCs w:val="1"/>
          <w:color w:val="auto"/>
        </w:rPr>
        <w:t>Section 49. Forum</w:t>
      </w:r>
      <w:r>
        <w:rPr>
          <w:rFonts w:ascii="Arial" w:cs="Arial" w:eastAsia="Arial" w:hAnsi="Arial"/>
          <w:sz w:val="17"/>
          <w:szCs w:val="17"/>
          <w:color w:val="auto"/>
        </w:rPr>
        <w:t>. Unless the corporation consents in writing to the selection of an alternative forum, the Court of Chancery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is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or any director or officer or other employee of the corporation arising pursuant to any provision of the DGCL, the certificate of incorporation or the Bylaws of the corporation; or (iv) any action asserting a claim against the corporation or any director or officer or other employee of the corporation governed by the internal affairs doctrine.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305" w:name="page306"/>
    <w:bookmarkEnd w:id="305"/>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THERAPEUTICS HOLDINGS,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CERTIFICATE OF SECRETARY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 hereby certify that: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 am the duly elected and acting Secretary of </w:t>
      </w:r>
      <w:r>
        <w:rPr>
          <w:rFonts w:ascii="Arial" w:cs="Arial" w:eastAsia="Arial" w:hAnsi="Arial"/>
          <w:sz w:val="18"/>
          <w:szCs w:val="18"/>
          <w:b w:val="1"/>
          <w:bCs w:val="1"/>
          <w:color w:val="auto"/>
        </w:rPr>
        <w:t>Rani Therapeutics Holdings, Inc.</w:t>
      </w:r>
      <w:r>
        <w:rPr>
          <w:rFonts w:ascii="Arial" w:cs="Arial" w:eastAsia="Arial" w:hAnsi="Arial"/>
          <w:sz w:val="18"/>
          <w:szCs w:val="18"/>
          <w:color w:val="auto"/>
        </w:rPr>
        <w:t>,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w:t>
      </w:r>
    </w:p>
    <w:p>
      <w:pPr>
        <w:spacing w:after="0" w:line="229"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Attached hereto is a complete and accurate copy of the Bylaws of the Company as duly adopted by the Board of Directors of the Company by Unanimous Written Consent dated April 6, 2021 and said Bylaws are presently in effect.</w:t>
      </w:r>
    </w:p>
    <w:p>
      <w:pPr>
        <w:spacing w:after="0" w:line="170"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This Certificate of Secretary may be executed via facsimile, electronic mail (including pdf or any electronic signature complying with the U.S. federal ESIGN Act of 2000, Uniform Electronic Transactions Act or other applicable law) or other transmission method and will be deemed to have been duly and validly delivered and be valid and effective for all purposes. Signed on April 6, 2021.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Svai Sanford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700"/>
          </w:cols>
          <w:pgMar w:left="440" w:top="270" w:right="75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2016 EQUITY INCENTIVE PLAN</w:t>
      </w:r>
    </w:p>
    <w:p>
      <w:pPr>
        <w:spacing w:after="0" w:line="229" w:lineRule="exact"/>
        <w:rPr>
          <w:sz w:val="20"/>
          <w:szCs w:val="20"/>
          <w:color w:val="auto"/>
        </w:rPr>
      </w:pPr>
    </w:p>
    <w:p>
      <w:pPr>
        <w:ind w:right="60" w:firstLine="436"/>
        <w:spacing w:after="0" w:line="259" w:lineRule="auto"/>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Equity Incentive Plan is to attract and retain the best available personnel for positions of substantial responsibility, to provide additional incentive to Managers, Consultants and other individuals who provide services to or for the benefit of the Company, as determined by the Administrator, and to promote the success of the Company’s business. The Plan permits the grant of Options, Profits Interests and Restricted Common Units.</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definitions will apply:</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will be administering the Plan, in accordance with Section 4 hereof.</w:t>
      </w:r>
    </w:p>
    <w:p>
      <w:pPr>
        <w:spacing w:after="0" w:line="236" w:lineRule="exact"/>
        <w:rPr>
          <w:rFonts w:ascii="Arial" w:cs="Arial" w:eastAsia="Arial" w:hAnsi="Arial"/>
          <w:sz w:val="17"/>
          <w:szCs w:val="17"/>
          <w:color w:val="auto"/>
        </w:rPr>
      </w:pPr>
    </w:p>
    <w:p>
      <w:pPr>
        <w:ind w:right="100" w:firstLine="987"/>
        <w:spacing w:after="0" w:line="342" w:lineRule="auto"/>
        <w:tabs>
          <w:tab w:leader="none" w:pos="1246" w:val="left"/>
        </w:tabs>
        <w:numPr>
          <w:ilvl w:val="1"/>
          <w:numId w:val="1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awards under U.S. state corporate laws, U.S. federal and state securities laws, the Code, and the applicable laws of any foreign country or jurisdiction where Awards are granted under the Plan.</w:t>
      </w:r>
    </w:p>
    <w:p>
      <w:pPr>
        <w:spacing w:after="0" w:line="123" w:lineRule="exact"/>
        <w:rPr>
          <w:rFonts w:ascii="Arial" w:cs="Arial" w:eastAsia="Arial" w:hAnsi="Arial"/>
          <w:sz w:val="16"/>
          <w:szCs w:val="16"/>
          <w:color w:val="auto"/>
        </w:rPr>
      </w:pPr>
    </w:p>
    <w:p>
      <w:pPr>
        <w:ind w:left="1240" w:hanging="253"/>
        <w:spacing w:after="0"/>
        <w:tabs>
          <w:tab w:leader="none" w:pos="124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Profits Interests or Restricted Common Units.</w:t>
      </w:r>
    </w:p>
    <w:p>
      <w:pPr>
        <w:spacing w:after="0" w:line="236" w:lineRule="exact"/>
        <w:rPr>
          <w:rFonts w:ascii="Arial" w:cs="Arial" w:eastAsia="Arial" w:hAnsi="Arial"/>
          <w:sz w:val="17"/>
          <w:szCs w:val="17"/>
          <w:color w:val="auto"/>
        </w:rPr>
      </w:pPr>
    </w:p>
    <w:p>
      <w:pPr>
        <w:ind w:right="260" w:firstLine="987"/>
        <w:spacing w:after="0" w:line="277" w:lineRule="auto"/>
        <w:tabs>
          <w:tab w:leader="none" w:pos="124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a written or electronic agreement setting forth the terms and provisions applicable to each Award granted under the Plan. The Award Agreement is subject to the terms and conditions of the Plan.</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Managers of the Company, as specified in the Operating Agreement.</w:t>
      </w:r>
    </w:p>
    <w:p>
      <w:pPr>
        <w:spacing w:after="0" w:line="225" w:lineRule="exact"/>
        <w:rPr>
          <w:rFonts w:ascii="Arial" w:cs="Arial" w:eastAsia="Arial" w:hAnsi="Arial"/>
          <w:sz w:val="18"/>
          <w:szCs w:val="18"/>
          <w:color w:val="auto"/>
        </w:rPr>
      </w:pPr>
    </w:p>
    <w:p>
      <w:pPr>
        <w:ind w:right="320" w:firstLine="987"/>
        <w:spacing w:after="0" w:line="277" w:lineRule="auto"/>
        <w:tabs>
          <w:tab w:leader="none" w:pos="121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appointed by the Board in accordance with Section 4 hereof.</w:t>
      </w:r>
    </w:p>
    <w:p>
      <w:pPr>
        <w:spacing w:after="0" w:line="225" w:lineRule="exact"/>
        <w:rPr>
          <w:rFonts w:ascii="Arial" w:cs="Arial" w:eastAsia="Arial" w:hAnsi="Arial"/>
          <w:sz w:val="18"/>
          <w:szCs w:val="18"/>
          <w:color w:val="auto"/>
        </w:rPr>
      </w:pPr>
    </w:p>
    <w:p>
      <w:pPr>
        <w:ind w:right="200" w:firstLine="987"/>
        <w:spacing w:after="0" w:line="277" w:lineRule="auto"/>
        <w:tabs>
          <w:tab w:leader="none" w:pos="1246"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 Common Unit (as defined in the Operating Agreement) in the Company, or in the event of a Trigger Event, means a share of common stock of the resulting corporation.</w:t>
      </w:r>
    </w:p>
    <w:p>
      <w:pPr>
        <w:spacing w:after="0" w:line="170" w:lineRule="exact"/>
        <w:rPr>
          <w:rFonts w:ascii="Arial" w:cs="Arial" w:eastAsia="Arial" w:hAnsi="Arial"/>
          <w:sz w:val="18"/>
          <w:szCs w:val="18"/>
          <w:color w:val="auto"/>
        </w:rPr>
      </w:pPr>
    </w:p>
    <w:p>
      <w:pPr>
        <w:ind w:left="1200" w:hanging="213"/>
        <w:spacing w:after="0"/>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Rani Therapeutics, LLC, a California limited liability company.</w:t>
      </w:r>
    </w:p>
    <w:p>
      <w:pPr>
        <w:spacing w:after="0" w:line="225" w:lineRule="exact"/>
        <w:rPr>
          <w:rFonts w:ascii="Arial" w:cs="Arial" w:eastAsia="Arial" w:hAnsi="Arial"/>
          <w:sz w:val="18"/>
          <w:szCs w:val="18"/>
          <w:color w:val="auto"/>
        </w:rPr>
      </w:pPr>
    </w:p>
    <w:p>
      <w:pPr>
        <w:ind w:left="1200" w:hanging="213"/>
        <w:spacing w:after="0"/>
        <w:tabs>
          <w:tab w:leader="none" w:pos="12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Consultant</w:t>
      </w:r>
      <w:r>
        <w:rPr>
          <w:rFonts w:ascii="Arial" w:cs="Arial" w:eastAsia="Arial" w:hAnsi="Arial"/>
          <w:sz w:val="18"/>
          <w:szCs w:val="18"/>
          <w:color w:val="auto"/>
        </w:rPr>
        <w:t>” means any person who is engaged by the Company or a Subsidiary to render consulting or advisory services.</w:t>
      </w:r>
    </w:p>
    <w:p>
      <w:pPr>
        <w:sectPr>
          <w:pgSz w:w="11900" w:h="16838" w:orient="portrait"/>
          <w:cols w:equalWidth="0" w:num="1">
            <w:col w:w="11020"/>
          </w:cols>
          <w:pgMar w:left="440" w:top="121" w:right="439" w:bottom="1440" w:gutter="0" w:footer="0" w:header="0"/>
        </w:sectPr>
      </w:pPr>
    </w:p>
    <w:bookmarkStart w:id="307" w:name="page308"/>
    <w:bookmarkEnd w:id="307"/>
    <w:p>
      <w:pPr>
        <w:ind w:left="1220" w:hanging="253"/>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w:t>
      </w:r>
    </w:p>
    <w:p>
      <w:pPr>
        <w:spacing w:after="0" w:line="225" w:lineRule="exact"/>
        <w:rPr>
          <w:rFonts w:ascii="Arial" w:cs="Arial" w:eastAsia="Arial" w:hAnsi="Arial"/>
          <w:sz w:val="18"/>
          <w:szCs w:val="18"/>
          <w:color w:val="auto"/>
        </w:rPr>
      </w:pPr>
    </w:p>
    <w:p>
      <w:pPr>
        <w:ind w:left="1180" w:hanging="213"/>
        <w:spacing w:after="0"/>
        <w:tabs>
          <w:tab w:leader="none" w:pos="11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0" w:right="60" w:firstLine="987"/>
        <w:spacing w:after="0" w:line="301" w:lineRule="auto"/>
        <w:tabs>
          <w:tab w:leader="none" w:pos="127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Options are surrendered or cancelled in exchange for Options (which may have lower or higher exercise prices and different terms), awards of a different type, and/or cash, (ii) Optionees would have the opportunity to transfer any outstanding Options to a financial institution or other person or entity selected by the Administrator, and/or (iii) the exercise price of an outstanding Option is reduced or increased. The Administrator will determine the terms and conditions of any Exchange Program in its sole discretion.</w:t>
      </w:r>
    </w:p>
    <w:p>
      <w:pPr>
        <w:spacing w:after="0" w:line="157" w:lineRule="exact"/>
        <w:rPr>
          <w:rFonts w:ascii="Arial" w:cs="Arial" w:eastAsia="Arial" w:hAnsi="Arial"/>
          <w:sz w:val="16"/>
          <w:szCs w:val="16"/>
          <w:color w:val="auto"/>
        </w:rPr>
      </w:pPr>
    </w:p>
    <w:p>
      <w:pPr>
        <w:ind w:left="1220" w:hanging="253"/>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Units determined in good faith by the Administrator.</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Manager</w:t>
      </w:r>
      <w:r>
        <w:rPr>
          <w:rFonts w:ascii="Arial" w:cs="Arial" w:eastAsia="Arial" w:hAnsi="Arial"/>
          <w:sz w:val="18"/>
          <w:szCs w:val="18"/>
          <w:color w:val="auto"/>
        </w:rPr>
        <w:t>” will have the same meaning as defined in the Operating Agreement.</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w:t>
      </w:r>
      <w:r>
        <w:rPr>
          <w:rFonts w:ascii="Arial" w:cs="Arial" w:eastAsia="Arial" w:hAnsi="Arial"/>
          <w:sz w:val="18"/>
          <w:szCs w:val="18"/>
          <w:color w:val="auto"/>
        </w:rPr>
        <w:t>” will have the same meaning as defined in the Operating Agreement.</w:t>
      </w:r>
    </w:p>
    <w:p>
      <w:pPr>
        <w:spacing w:after="0" w:line="225" w:lineRule="exact"/>
        <w:rPr>
          <w:rFonts w:ascii="Arial" w:cs="Arial" w:eastAsia="Arial" w:hAnsi="Arial"/>
          <w:sz w:val="18"/>
          <w:szCs w:val="18"/>
          <w:color w:val="auto"/>
        </w:rPr>
      </w:pPr>
    </w:p>
    <w:p>
      <w:pPr>
        <w:ind w:left="-20" w:firstLine="987"/>
        <w:spacing w:after="0" w:line="263" w:lineRule="auto"/>
        <w:tabs>
          <w:tab w:leader="none" w:pos="122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Agreement</w:t>
      </w:r>
      <w:r>
        <w:rPr>
          <w:rFonts w:ascii="Arial" w:cs="Arial" w:eastAsia="Arial" w:hAnsi="Arial"/>
          <w:sz w:val="18"/>
          <w:szCs w:val="18"/>
          <w:color w:val="auto"/>
        </w:rPr>
        <w:t>” means the Second Amended and Restated Limited Liability Company Agreement of the Company, effective as of May 21, 2015, as amended from time to time. Any reference to a Section of the Operating Agreement herein will be a reference to any successor or amended Section of the Operating Agreement.</w:t>
      </w:r>
    </w:p>
    <w:p>
      <w:pPr>
        <w:spacing w:after="0" w:line="183" w:lineRule="exact"/>
        <w:rPr>
          <w:rFonts w:ascii="Arial" w:cs="Arial" w:eastAsia="Arial" w:hAnsi="Arial"/>
          <w:sz w:val="18"/>
          <w:szCs w:val="18"/>
          <w:color w:val="auto"/>
        </w:rPr>
      </w:pPr>
    </w:p>
    <w:p>
      <w:pPr>
        <w:ind w:left="1200" w:hanging="233"/>
        <w:spacing w:after="0"/>
        <w:tabs>
          <w:tab w:leader="none" w:pos="12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Common Units granted pursuant to the Plan.</w:t>
      </w:r>
    </w:p>
    <w:p>
      <w:pPr>
        <w:spacing w:after="0" w:line="225" w:lineRule="exact"/>
        <w:rPr>
          <w:rFonts w:ascii="Arial" w:cs="Arial" w:eastAsia="Arial" w:hAnsi="Arial"/>
          <w:sz w:val="18"/>
          <w:szCs w:val="18"/>
          <w:color w:val="auto"/>
        </w:rPr>
      </w:pPr>
    </w:p>
    <w:p>
      <w:pPr>
        <w:ind w:left="-20" w:right="580" w:firstLine="987"/>
        <w:spacing w:after="0" w:line="277" w:lineRule="auto"/>
        <w:tabs>
          <w:tab w:leader="none" w:pos="120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Agreement</w:t>
      </w:r>
      <w:r>
        <w:rPr>
          <w:rFonts w:ascii="Arial" w:cs="Arial" w:eastAsia="Arial" w:hAnsi="Arial"/>
          <w:sz w:val="18"/>
          <w:szCs w:val="18"/>
          <w:color w:val="auto"/>
        </w:rPr>
        <w:t>” means a written or electronic agreement between the Company and a Participant evidencing the terms and conditions of an individual Option grant. The Option Agreement is subject to the terms and conditions of the Plan.</w:t>
      </w:r>
    </w:p>
    <w:p>
      <w:pPr>
        <w:spacing w:after="0" w:line="170" w:lineRule="exact"/>
        <w:rPr>
          <w:rFonts w:ascii="Arial" w:cs="Arial" w:eastAsia="Arial" w:hAnsi="Arial"/>
          <w:sz w:val="18"/>
          <w:szCs w:val="18"/>
          <w:color w:val="auto"/>
        </w:rPr>
      </w:pPr>
    </w:p>
    <w:p>
      <w:pPr>
        <w:ind w:left="-20" w:right="100" w:firstLine="987"/>
        <w:spacing w:after="0" w:line="263" w:lineRule="auto"/>
        <w:tabs>
          <w:tab w:leader="none" w:pos="118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any entity in an unbroken chain of entities ending with the Company, if each of the entities other than the Company owns shares, or ownership interests possessing 50% or more of the total combined voting power of all classes of shares or ownership interests in one of the other entities in such chain.</w:t>
      </w:r>
    </w:p>
    <w:p>
      <w:pPr>
        <w:spacing w:after="0" w:line="183" w:lineRule="exact"/>
        <w:rPr>
          <w:rFonts w:ascii="Arial" w:cs="Arial" w:eastAsia="Arial" w:hAnsi="Arial"/>
          <w:sz w:val="18"/>
          <w:szCs w:val="18"/>
          <w:color w:val="auto"/>
        </w:rPr>
      </w:pPr>
    </w:p>
    <w:p>
      <w:pPr>
        <w:ind w:left="1220" w:hanging="253"/>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will have the same meaning as defined in the Operating Agreement.</w:t>
      </w:r>
    </w:p>
    <w:p>
      <w:pPr>
        <w:spacing w:after="0" w:line="225" w:lineRule="exact"/>
        <w:rPr>
          <w:rFonts w:ascii="Arial" w:cs="Arial" w:eastAsia="Arial" w:hAnsi="Arial"/>
          <w:sz w:val="18"/>
          <w:szCs w:val="18"/>
          <w:color w:val="auto"/>
        </w:rPr>
      </w:pPr>
    </w:p>
    <w:p>
      <w:pPr>
        <w:ind w:left="1260" w:hanging="293"/>
        <w:spacing w:after="0"/>
        <w:tabs>
          <w:tab w:leader="none" w:pos="1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2016 Equity Incentive Plan.</w:t>
      </w:r>
    </w:p>
    <w:p>
      <w:pPr>
        <w:spacing w:after="0" w:line="225" w:lineRule="exact"/>
        <w:rPr>
          <w:rFonts w:ascii="Arial" w:cs="Arial" w:eastAsia="Arial" w:hAnsi="Arial"/>
          <w:sz w:val="18"/>
          <w:szCs w:val="18"/>
          <w:color w:val="auto"/>
        </w:rPr>
      </w:pPr>
    </w:p>
    <w:p>
      <w:pPr>
        <w:jc w:val="both"/>
        <w:ind w:left="-20" w:right="140" w:firstLine="987"/>
        <w:spacing w:after="0" w:line="342" w:lineRule="auto"/>
        <w:tabs>
          <w:tab w:leader="none" w:pos="122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Profits Interests</w:t>
      </w:r>
      <w:r>
        <w:rPr>
          <w:rFonts w:ascii="Arial" w:cs="Arial" w:eastAsia="Arial" w:hAnsi="Arial"/>
          <w:sz w:val="16"/>
          <w:szCs w:val="16"/>
          <w:color w:val="auto"/>
        </w:rPr>
        <w:t>” means a grant of Common Units pursuant to the Plan with a Profits Interest Threshold Amount fixed on the date of issuance in accordance with the Operating Agreement that is intended to qualify as a partnership profits interest for U.S. Federal Income tax purposes.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60" w:top="274" w:right="459" w:bottom="1440" w:gutter="0" w:footer="0" w:header="0"/>
        </w:sectPr>
      </w:pPr>
    </w:p>
    <w:bookmarkStart w:id="308" w:name="page309"/>
    <w:bookmarkEnd w:id="308"/>
    <w:p>
      <w:pPr>
        <w:ind w:left="1240" w:hanging="253"/>
        <w:spacing w:after="0"/>
        <w:tabs>
          <w:tab w:leader="none" w:pos="12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Profits Interest Threshold Amount</w:t>
      </w:r>
      <w:r>
        <w:rPr>
          <w:rFonts w:ascii="Arial" w:cs="Arial" w:eastAsia="Arial" w:hAnsi="Arial"/>
          <w:sz w:val="18"/>
          <w:szCs w:val="18"/>
          <w:color w:val="auto"/>
        </w:rPr>
        <w:t>” has the meaning set forth in the Operating Agreement.</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Common Unit</w:t>
      </w:r>
      <w:r>
        <w:rPr>
          <w:rFonts w:ascii="Arial" w:cs="Arial" w:eastAsia="Arial" w:hAnsi="Arial"/>
          <w:sz w:val="16"/>
          <w:szCs w:val="16"/>
          <w:color w:val="auto"/>
        </w:rPr>
        <w:t>” means a grant of a Common Unit issued pursuant to a Restricted Unit Award Agreement pursuant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140" w:firstLine="987"/>
        <w:spacing w:after="0" w:line="342" w:lineRule="auto"/>
        <w:tabs>
          <w:tab w:leader="none" w:pos="131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Unit Award Agreement</w:t>
      </w:r>
      <w:r>
        <w:rPr>
          <w:rFonts w:ascii="Arial" w:cs="Arial" w:eastAsia="Arial" w:hAnsi="Arial"/>
          <w:sz w:val="16"/>
          <w:szCs w:val="16"/>
          <w:color w:val="auto"/>
        </w:rPr>
        <w:t>” means a written or electronic agreement between the Company and a Participant evidencing the terms and conditions of an individual Restricted Unit. The Restricted Unit Award Agreement is subject to the terms and conditions of the Plan.</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409A</w:t>
      </w:r>
      <w:r>
        <w:rPr>
          <w:rFonts w:ascii="Arial" w:cs="Arial" w:eastAsia="Arial" w:hAnsi="Arial"/>
          <w:sz w:val="16"/>
          <w:szCs w:val="16"/>
          <w:color w:val="auto"/>
        </w:rPr>
        <w:t>” means Section 409A of the Code, and the final regulations and any other guidance issued thereunder or any state law</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equivalent.</w:t>
      </w:r>
    </w:p>
    <w:p>
      <w:pPr>
        <w:spacing w:after="0" w:line="210" w:lineRule="exact"/>
        <w:rPr>
          <w:rFonts w:ascii="Arial" w:cs="Arial" w:eastAsia="Arial" w:hAnsi="Arial"/>
          <w:sz w:val="16"/>
          <w:szCs w:val="16"/>
          <w:color w:val="auto"/>
        </w:rPr>
      </w:pPr>
    </w:p>
    <w:p>
      <w:pPr>
        <w:ind w:left="1320" w:hanging="333"/>
        <w:spacing w:after="0"/>
        <w:tabs>
          <w:tab w:leader="none" w:pos="132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420" w:firstLine="987"/>
        <w:spacing w:after="0" w:line="277" w:lineRule="auto"/>
        <w:tabs>
          <w:tab w:leader="none" w:pos="133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 Manager, Consultant or other individual who, in the discretion of the Board, provides services to the Company (or indirectly through another Person, for the benefit of the Company), in such Person’s capacity as such.</w:t>
      </w:r>
    </w:p>
    <w:p>
      <w:pPr>
        <w:spacing w:after="0" w:line="170" w:lineRule="exact"/>
        <w:rPr>
          <w:rFonts w:ascii="Arial" w:cs="Arial" w:eastAsia="Arial" w:hAnsi="Arial"/>
          <w:sz w:val="18"/>
          <w:szCs w:val="18"/>
          <w:color w:val="auto"/>
        </w:rPr>
      </w:pPr>
    </w:p>
    <w:p>
      <w:pPr>
        <w:jc w:val="both"/>
        <w:ind w:right="120" w:firstLine="987"/>
        <w:spacing w:after="0" w:line="263" w:lineRule="auto"/>
        <w:tabs>
          <w:tab w:leader="none" w:pos="131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entity in an unbroken chain of entities beginning with the Company, if each of the entities other than the last entity in the chain owns shares or ownership interests possessing 50% or more of the total combined voting power of all classes of shares or ownership interests in one of the other entities in such chain.</w:t>
      </w:r>
    </w:p>
    <w:p>
      <w:pPr>
        <w:spacing w:after="0" w:line="183" w:lineRule="exact"/>
        <w:rPr>
          <w:rFonts w:ascii="Arial" w:cs="Arial" w:eastAsia="Arial" w:hAnsi="Arial"/>
          <w:sz w:val="18"/>
          <w:szCs w:val="18"/>
          <w:color w:val="auto"/>
        </w:rPr>
      </w:pPr>
    </w:p>
    <w:p>
      <w:pPr>
        <w:ind w:left="1260" w:hanging="273"/>
        <w:spacing w:after="0"/>
        <w:tabs>
          <w:tab w:leader="none" w:pos="126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Trigger Event</w:t>
      </w:r>
      <w:r>
        <w:rPr>
          <w:rFonts w:ascii="Arial" w:cs="Arial" w:eastAsia="Arial" w:hAnsi="Arial"/>
          <w:sz w:val="18"/>
          <w:szCs w:val="18"/>
          <w:color w:val="auto"/>
        </w:rPr>
        <w:t>” means the consummation of the conversion of the Company or its business into a corporation.</w:t>
      </w:r>
    </w:p>
    <w:p>
      <w:pPr>
        <w:spacing w:after="0" w:line="225" w:lineRule="exact"/>
        <w:rPr>
          <w:rFonts w:ascii="Arial" w:cs="Arial" w:eastAsia="Arial" w:hAnsi="Arial"/>
          <w:sz w:val="18"/>
          <w:szCs w:val="18"/>
          <w:color w:val="auto"/>
        </w:rPr>
      </w:pPr>
    </w:p>
    <w:p>
      <w:pPr>
        <w:ind w:right="300" w:firstLine="987"/>
        <w:spacing w:after="0" w:line="277" w:lineRule="auto"/>
        <w:tabs>
          <w:tab w:leader="none" w:pos="1336"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w:t>
      </w:r>
      <w:r>
        <w:rPr>
          <w:rFonts w:ascii="Arial" w:cs="Arial" w:eastAsia="Arial" w:hAnsi="Arial"/>
          <w:sz w:val="18"/>
          <w:szCs w:val="18"/>
          <w:color w:val="auto"/>
        </w:rPr>
        <w:t>” means a Common Unit or share of the Company into which a Common Unit has been converted, as adjusted in accordance with Section 13 below.</w:t>
      </w:r>
    </w:p>
    <w:p>
      <w:pPr>
        <w:spacing w:after="0" w:line="170" w:lineRule="exact"/>
        <w:rPr>
          <w:rFonts w:ascii="Arial" w:cs="Arial" w:eastAsia="Arial" w:hAnsi="Arial"/>
          <w:sz w:val="18"/>
          <w:szCs w:val="18"/>
          <w:color w:val="auto"/>
        </w:rPr>
      </w:pPr>
    </w:p>
    <w:p>
      <w:pPr>
        <w:jc w:val="both"/>
        <w:ind w:right="220" w:firstLine="436"/>
        <w:spacing w:after="0" w:line="311" w:lineRule="auto"/>
        <w:tabs>
          <w:tab w:leader="none" w:pos="620"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Units Subject to the Plan</w:t>
      </w:r>
      <w:r>
        <w:rPr>
          <w:rFonts w:ascii="Arial" w:cs="Arial" w:eastAsia="Arial" w:hAnsi="Arial"/>
          <w:sz w:val="16"/>
          <w:szCs w:val="16"/>
          <w:color w:val="auto"/>
        </w:rPr>
        <w:t>. Subject to the provisions of Section 13 of the Plan, the maximum aggregate number of Units that may be subject to Awards and sold under the Plan is 10,850,000 Units. The Units may be authorized, but unissued, or reacquired Common Units. The Company, during the term of this Plan, will at all times reserve and keep available such number of Units as will be sufficient to satisfy the requirements of the Plan.</w:t>
      </w:r>
    </w:p>
    <w:p>
      <w:pPr>
        <w:spacing w:after="0" w:line="149"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If an Award expires or becomes unexercisable without having been exercised in full, or is surrendered pursuant to an Exchange Program, the unpurchased Units which were subject thereto will become available for future grant or sale under the Plan (unless the Plan has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Units that have actually been issued under the Plan will not be returned to the Plan and will not become available for future distribution under the Plan, except that if unvested Units are repurchased by the Company or are forfeited to the Company due to the failure to vest, such Units will become available for future grant under the Plan.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09" w:name="page310"/>
    <w:bookmarkEnd w:id="309"/>
    <w:p>
      <w:pPr>
        <w:ind w:left="580" w:hanging="184"/>
        <w:spacing w:after="0"/>
        <w:tabs>
          <w:tab w:leader="none" w:pos="58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320" w:firstLine="987"/>
        <w:spacing w:after="0" w:line="277" w:lineRule="auto"/>
        <w:tabs>
          <w:tab w:leader="none" w:pos="1196"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Board or a Committee appointed by the Board will administer the Plan. Any such Committee will be constituted to comply with Applicable Laws and the Operating Agreement.</w:t>
      </w:r>
    </w:p>
    <w:p>
      <w:pPr>
        <w:spacing w:after="0" w:line="170" w:lineRule="exact"/>
        <w:rPr>
          <w:rFonts w:ascii="Arial" w:cs="Arial" w:eastAsia="Arial" w:hAnsi="Arial"/>
          <w:sz w:val="18"/>
          <w:szCs w:val="18"/>
          <w:color w:val="auto"/>
        </w:rPr>
      </w:pPr>
    </w:p>
    <w:p>
      <w:pPr>
        <w:ind w:left="-40" w:right="60" w:firstLine="987"/>
        <w:spacing w:after="0" w:line="263" w:lineRule="auto"/>
        <w:tabs>
          <w:tab w:leader="none" w:pos="1206"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the specific duties delegated by the Board to such Committee, and subject to the Operating Agreement and the approval of any relevant authorities, the Administrator will have the authority, in its discretion:</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rFonts w:ascii="Arial" w:cs="Arial" w:eastAsia="Arial" w:hAnsi="Arial"/>
          <w:sz w:val="18"/>
          <w:szCs w:val="18"/>
          <w:color w:val="auto"/>
        </w:rPr>
      </w:pPr>
    </w:p>
    <w:p>
      <w:pPr>
        <w:ind w:left="1660" w:hanging="272"/>
        <w:spacing w:after="0"/>
        <w:tabs>
          <w:tab w:leader="none" w:pos="1660" w:val="left"/>
        </w:tabs>
        <w:numPr>
          <w:ilvl w:val="2"/>
          <w:numId w:val="190"/>
        </w:numPr>
        <w:rPr>
          <w:rFonts w:ascii="Arial" w:cs="Arial" w:eastAsia="Arial" w:hAnsi="Arial"/>
          <w:sz w:val="17"/>
          <w:szCs w:val="17"/>
          <w:color w:val="auto"/>
        </w:rPr>
      </w:pPr>
      <w:r>
        <w:rPr>
          <w:rFonts w:ascii="Arial" w:cs="Arial" w:eastAsia="Arial" w:hAnsi="Arial"/>
          <w:sz w:val="17"/>
          <w:szCs w:val="17"/>
          <w:color w:val="auto"/>
        </w:rPr>
        <w:t>to select the Service Providers and such other individuals to whom Awards may from time to time be granted hereunder;</w:t>
      </w:r>
    </w:p>
    <w:p>
      <w:pPr>
        <w:spacing w:after="0" w:line="236" w:lineRule="exact"/>
        <w:rPr>
          <w:rFonts w:ascii="Arial" w:cs="Arial" w:eastAsia="Arial" w:hAnsi="Arial"/>
          <w:sz w:val="17"/>
          <w:szCs w:val="17"/>
          <w:color w:val="auto"/>
        </w:rPr>
      </w:pPr>
    </w:p>
    <w:p>
      <w:pPr>
        <w:ind w:left="1700" w:hanging="312"/>
        <w:spacing w:after="0"/>
        <w:tabs>
          <w:tab w:leader="none" w:pos="17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determine the number of Units to be covered by each such Award granted hereunder;</w:t>
      </w:r>
    </w:p>
    <w:p>
      <w:pPr>
        <w:spacing w:after="0" w:line="225" w:lineRule="exact"/>
        <w:rPr>
          <w:rFonts w:ascii="Arial" w:cs="Arial" w:eastAsia="Arial" w:hAnsi="Arial"/>
          <w:sz w:val="18"/>
          <w:szCs w:val="18"/>
          <w:color w:val="auto"/>
        </w:rPr>
      </w:pPr>
    </w:p>
    <w:p>
      <w:pPr>
        <w:ind w:left="1700" w:hanging="312"/>
        <w:spacing w:after="0"/>
        <w:tabs>
          <w:tab w:leader="none" w:pos="17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approve forms of Award Agreement for use under the Plan;</w:t>
      </w:r>
    </w:p>
    <w:p>
      <w:pPr>
        <w:spacing w:after="0" w:line="225" w:lineRule="exact"/>
        <w:rPr>
          <w:rFonts w:ascii="Arial" w:cs="Arial" w:eastAsia="Arial" w:hAnsi="Arial"/>
          <w:sz w:val="18"/>
          <w:szCs w:val="18"/>
          <w:color w:val="auto"/>
        </w:rPr>
      </w:pPr>
    </w:p>
    <w:p>
      <w:pPr>
        <w:ind w:left="-40" w:firstLine="1428"/>
        <w:spacing w:after="0" w:line="259" w:lineRule="auto"/>
        <w:tabs>
          <w:tab w:leader="none" w:pos="164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Award or the Units relating thereto, based in each case on such factors as the Administrator will determine;</w:t>
      </w:r>
    </w:p>
    <w:p>
      <w:pPr>
        <w:spacing w:after="0" w:line="186" w:lineRule="exact"/>
        <w:rPr>
          <w:rFonts w:ascii="Arial" w:cs="Arial" w:eastAsia="Arial" w:hAnsi="Arial"/>
          <w:sz w:val="18"/>
          <w:szCs w:val="18"/>
          <w:color w:val="auto"/>
        </w:rPr>
      </w:pPr>
    </w:p>
    <w:p>
      <w:pPr>
        <w:ind w:left="1700" w:hanging="312"/>
        <w:spacing w:after="0"/>
        <w:tabs>
          <w:tab w:leader="none" w:pos="17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institute an Exchange Program;</w:t>
      </w:r>
    </w:p>
    <w:p>
      <w:pPr>
        <w:spacing w:after="0" w:line="225" w:lineRule="exact"/>
        <w:rPr>
          <w:rFonts w:ascii="Arial" w:cs="Arial" w:eastAsia="Arial" w:hAnsi="Arial"/>
          <w:sz w:val="18"/>
          <w:szCs w:val="18"/>
          <w:color w:val="auto"/>
        </w:rPr>
      </w:pPr>
    </w:p>
    <w:p>
      <w:pPr>
        <w:ind w:left="-40" w:right="120" w:firstLine="1428"/>
        <w:spacing w:after="0" w:line="277" w:lineRule="auto"/>
        <w:tabs>
          <w:tab w:leader="none" w:pos="174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Plan, including rules and regulations relating to sub-plans established for the purpose of satisfying applicable foreign laws;</w:t>
      </w:r>
    </w:p>
    <w:p>
      <w:pPr>
        <w:spacing w:after="0" w:line="170" w:lineRule="exact"/>
        <w:rPr>
          <w:rFonts w:ascii="Arial" w:cs="Arial" w:eastAsia="Arial" w:hAnsi="Arial"/>
          <w:sz w:val="18"/>
          <w:szCs w:val="18"/>
          <w:color w:val="auto"/>
        </w:rPr>
      </w:pPr>
    </w:p>
    <w:p>
      <w:pPr>
        <w:ind w:left="1800" w:hanging="412"/>
        <w:spacing w:after="0"/>
        <w:tabs>
          <w:tab w:leader="none" w:pos="18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under the Plan;</w:t>
      </w:r>
    </w:p>
    <w:p>
      <w:pPr>
        <w:spacing w:after="0" w:line="225" w:lineRule="exact"/>
        <w:rPr>
          <w:rFonts w:ascii="Arial" w:cs="Arial" w:eastAsia="Arial" w:hAnsi="Arial"/>
          <w:sz w:val="18"/>
          <w:szCs w:val="18"/>
          <w:color w:val="auto"/>
        </w:rPr>
      </w:pPr>
    </w:p>
    <w:p>
      <w:pPr>
        <w:ind w:left="-40" w:right="120" w:firstLine="1428"/>
        <w:spacing w:after="0" w:line="277" w:lineRule="auto"/>
        <w:tabs>
          <w:tab w:leader="none" w:pos="169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18(c) of the Plan), including the discretionary authority to extend the post-termination exercisability period of Options and the maximum term Options (subject to Section 6(a) of the Plan);</w:t>
      </w:r>
    </w:p>
    <w:p>
      <w:pPr>
        <w:spacing w:after="0" w:line="170" w:lineRule="exact"/>
        <w:rPr>
          <w:rFonts w:ascii="Arial" w:cs="Arial" w:eastAsia="Arial" w:hAnsi="Arial"/>
          <w:sz w:val="18"/>
          <w:szCs w:val="18"/>
          <w:color w:val="auto"/>
        </w:rPr>
      </w:pPr>
    </w:p>
    <w:p>
      <w:pPr>
        <w:ind w:left="-40" w:right="60" w:firstLine="1428"/>
        <w:spacing w:after="0" w:line="277" w:lineRule="auto"/>
        <w:tabs>
          <w:tab w:leader="none" w:pos="1647"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Option previously granted by the Administrator; and</w:t>
      </w:r>
    </w:p>
    <w:p>
      <w:pPr>
        <w:spacing w:after="0" w:line="170" w:lineRule="exact"/>
        <w:rPr>
          <w:rFonts w:ascii="Arial" w:cs="Arial" w:eastAsia="Arial" w:hAnsi="Arial"/>
          <w:sz w:val="18"/>
          <w:szCs w:val="18"/>
          <w:color w:val="auto"/>
        </w:rPr>
      </w:pPr>
    </w:p>
    <w:p>
      <w:pPr>
        <w:ind w:left="1700" w:hanging="312"/>
        <w:spacing w:after="0"/>
        <w:tabs>
          <w:tab w:leader="none" w:pos="1700" w:val="left"/>
        </w:tabs>
        <w:numPr>
          <w:ilvl w:val="2"/>
          <w:numId w:val="190"/>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74" w:right="499" w:bottom="1440" w:gutter="0" w:footer="0" w:header="0"/>
        </w:sectPr>
      </w:pPr>
    </w:p>
    <w:bookmarkStart w:id="310" w:name="page311"/>
    <w:bookmarkEnd w:id="310"/>
    <w:p>
      <w:pPr>
        <w:ind w:left="4" w:right="160" w:firstLine="987"/>
        <w:spacing w:after="0" w:line="277" w:lineRule="auto"/>
        <w:tabs>
          <w:tab w:leader="none" w:pos="1240" w:val="left"/>
        </w:tabs>
        <w:numPr>
          <w:ilvl w:val="2"/>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Administrator’s Decision</w:t>
      </w:r>
      <w:r>
        <w:rPr>
          <w:rFonts w:ascii="Arial" w:cs="Arial" w:eastAsia="Arial" w:hAnsi="Arial"/>
          <w:sz w:val="18"/>
          <w:szCs w:val="18"/>
          <w:color w:val="auto"/>
        </w:rPr>
        <w:t>. All decisions, determinations and interpretations of the Administrator will be final and binding on all Participants and will be made in conformity in all respects with the Operating Agreement.</w:t>
      </w:r>
    </w:p>
    <w:p>
      <w:pPr>
        <w:spacing w:after="0" w:line="170" w:lineRule="exact"/>
        <w:rPr>
          <w:rFonts w:ascii="Arial" w:cs="Arial" w:eastAsia="Arial" w:hAnsi="Arial"/>
          <w:sz w:val="18"/>
          <w:szCs w:val="18"/>
          <w:color w:val="auto"/>
        </w:rPr>
      </w:pPr>
    </w:p>
    <w:p>
      <w:pPr>
        <w:ind w:left="624" w:hanging="184"/>
        <w:spacing w:after="0"/>
        <w:tabs>
          <w:tab w:leader="none" w:pos="624"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Awards may be granted to Service Providers as the Administrator may determine.</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40" w:firstLine="987"/>
        <w:spacing w:after="0" w:line="277" w:lineRule="auto"/>
        <w:tabs>
          <w:tab w:leader="none" w:pos="1240" w:val="left"/>
        </w:tabs>
        <w:numPr>
          <w:ilvl w:val="2"/>
          <w:numId w:val="192"/>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term of each Option will be stated in the Option Agreement; provided, however, that the term will be no more than ten (10) years from the date of grant thereof.</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2"/>
          <w:numId w:val="192"/>
        </w:numPr>
        <w:rPr>
          <w:rFonts w:ascii="Arial" w:cs="Arial" w:eastAsia="Arial" w:hAnsi="Arial"/>
          <w:sz w:val="18"/>
          <w:szCs w:val="18"/>
          <w:color w:val="auto"/>
        </w:rPr>
      </w:pPr>
      <w:r>
        <w:rPr>
          <w:rFonts w:ascii="Arial" w:cs="Arial" w:eastAsia="Arial" w:hAnsi="Arial"/>
          <w:sz w:val="18"/>
          <w:szCs w:val="18"/>
          <w:u w:val="single" w:color="auto"/>
          <w:color w:val="auto"/>
        </w:rPr>
        <w:t>Option Exercise Price and Consideration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340" w:firstLine="1428"/>
        <w:spacing w:after="0" w:line="263" w:lineRule="auto"/>
        <w:tabs>
          <w:tab w:leader="none" w:pos="1651" w:val="left"/>
        </w:tabs>
        <w:numPr>
          <w:ilvl w:val="3"/>
          <w:numId w:val="192"/>
        </w:numPr>
        <w:rPr>
          <w:rFonts w:ascii="Arial" w:cs="Arial" w:eastAsia="Arial" w:hAnsi="Arial"/>
          <w:sz w:val="18"/>
          <w:szCs w:val="18"/>
          <w:color w:val="auto"/>
        </w:rPr>
      </w:pPr>
      <w:r>
        <w:rPr>
          <w:rFonts w:ascii="Arial" w:cs="Arial" w:eastAsia="Arial" w:hAnsi="Arial"/>
          <w:sz w:val="18"/>
          <w:szCs w:val="18"/>
          <w:color w:val="auto"/>
        </w:rPr>
        <w:t>The Administrator will determine the per unit exercise price for the Units to be issued pursuant to exercise of an Option, provided, however, that the per Unit exercise price will be no less than one hundred percent (100%) of the Fair Market Value per Unit on the date of grant.</w:t>
      </w:r>
    </w:p>
    <w:p>
      <w:pPr>
        <w:spacing w:after="0" w:line="183" w:lineRule="exact"/>
        <w:rPr>
          <w:rFonts w:ascii="Arial" w:cs="Arial" w:eastAsia="Arial" w:hAnsi="Arial"/>
          <w:sz w:val="18"/>
          <w:szCs w:val="18"/>
          <w:color w:val="auto"/>
        </w:rPr>
      </w:pPr>
    </w:p>
    <w:p>
      <w:pPr>
        <w:ind w:left="4" w:right="20" w:firstLine="1428"/>
        <w:spacing w:after="0" w:line="285" w:lineRule="auto"/>
        <w:tabs>
          <w:tab w:leader="none" w:pos="1701" w:val="left"/>
        </w:tabs>
        <w:numPr>
          <w:ilvl w:val="3"/>
          <w:numId w:val="192"/>
        </w:numPr>
        <w:rPr>
          <w:rFonts w:ascii="Arial" w:cs="Arial" w:eastAsia="Arial" w:hAnsi="Arial"/>
          <w:sz w:val="16"/>
          <w:szCs w:val="16"/>
          <w:color w:val="auto"/>
        </w:rPr>
      </w:pPr>
      <w:r>
        <w:rPr>
          <w:rFonts w:ascii="Arial" w:cs="Arial" w:eastAsia="Arial" w:hAnsi="Arial"/>
          <w:sz w:val="16"/>
          <w:szCs w:val="16"/>
          <w:color w:val="auto"/>
        </w:rPr>
        <w:t>The Administrator will determine the acceptable form of consideration for exercising an Option, including the method of payment. Such consideration may consist entirely of: (1) cash; (2) check; (3) other Units, provided that such Units have a Fair Market Value on the date of surrender equal to the aggregate exercise price of the Units as to which such Option will be exercised and provided further that accepting such Units will not result in any adverse accounting consequences to the Company, as the Administrator determines in its sole discretion; (4) consideration received by the Company under cashless exercise program (whether through a broker or otherwise) implemented by the Company in connection with the Plan;</w:t>
      </w:r>
    </w:p>
    <w:p>
      <w:pPr>
        <w:spacing w:after="0" w:line="1"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such other consideration and method of payment for the issuance of Units to the extent permitted by Applicable Laws, or (6)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89" w:lineRule="exact"/>
        <w:rPr>
          <w:rFonts w:ascii="Arial" w:cs="Arial" w:eastAsia="Arial" w:hAnsi="Arial"/>
          <w:sz w:val="18"/>
          <w:szCs w:val="18"/>
          <w:color w:val="auto"/>
        </w:rPr>
      </w:pPr>
    </w:p>
    <w:p>
      <w:pPr>
        <w:ind w:left="1244" w:hanging="253"/>
        <w:spacing w:after="0"/>
        <w:tabs>
          <w:tab w:leader="none" w:pos="1244" w:val="left"/>
        </w:tabs>
        <w:numPr>
          <w:ilvl w:val="2"/>
          <w:numId w:val="193"/>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1428"/>
        <w:spacing w:after="0" w:line="263" w:lineRule="auto"/>
        <w:tabs>
          <w:tab w:leader="none" w:pos="1651" w:val="left"/>
        </w:tabs>
        <w:numPr>
          <w:ilvl w:val="3"/>
          <w:numId w:val="193"/>
        </w:numPr>
        <w:rPr>
          <w:rFonts w:ascii="Arial" w:cs="Arial" w:eastAsia="Arial" w:hAnsi="Arial"/>
          <w:sz w:val="18"/>
          <w:szCs w:val="18"/>
          <w:color w:val="auto"/>
        </w:rPr>
      </w:pPr>
      <w:r>
        <w:rPr>
          <w:rFonts w:ascii="Arial" w:cs="Arial" w:eastAsia="Arial" w:hAnsi="Arial"/>
          <w:sz w:val="18"/>
          <w:szCs w:val="18"/>
          <w:u w:val="single" w:color="auto"/>
          <w:color w:val="auto"/>
        </w:rPr>
        <w:t>Procedure for Exercise; Rights as a Member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Option Agreement. An Option may not be exercised for a fraction of a Unit.</w:t>
      </w:r>
    </w:p>
    <w:p>
      <w:pPr>
        <w:spacing w:after="0" w:line="184" w:lineRule="exact"/>
        <w:rPr>
          <w:sz w:val="20"/>
          <w:szCs w:val="20"/>
          <w:color w:val="auto"/>
        </w:rPr>
      </w:pPr>
    </w:p>
    <w:p>
      <w:pPr>
        <w:ind w:left="4" w:firstLine="1432"/>
        <w:spacing w:after="0" w:line="255" w:lineRule="auto"/>
        <w:rPr>
          <w:sz w:val="20"/>
          <w:szCs w:val="20"/>
          <w:color w:val="auto"/>
        </w:rPr>
      </w:pPr>
      <w:r>
        <w:rPr>
          <w:rFonts w:ascii="Arial" w:cs="Arial" w:eastAsia="Arial" w:hAnsi="Arial"/>
          <w:sz w:val="18"/>
          <w:szCs w:val="18"/>
          <w:color w:val="auto"/>
        </w:rPr>
        <w:t>An Option will be deemed exercised when the Company receives: (i) written or electronic notice of exercise (in accordance with the Option Agreement) from the person entitled to exercise the Option, and (ii) full payment for the Units with respect to which the Option is exercised (together with any applicable withholding taxes that may arise upon such exercise). Full payment may consist of any consideration and method of payment authorized by the Administrator and permitted by the Option Agreement and the Plan. Units issued upon exercise of an Option will be issued in the name of the Participant or, if requested by the Optionee, in the name of the Participant and his or her spouse. Until the Units are issued (as evidenced by the appropriate entry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11" w:name="page312"/>
    <w:bookmarkEnd w:id="31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books of the Company or of a duly authorized transfer agent of the Company), no right to vote or receive allocations of profits or losses or any other rights as a Member will exist with respect to the Units, notwithstanding the exercise of the Option. The Company will issue (or cause to be issued) such Units promptly after the Option is exercised. No adjustment will be made for an allocation of profit or loss or other right for which the record date is prior to the date the Units are issued, except as provided in Section 12 of the Plan. A Participant will only be entitled to prospective allocations of profit or loss upon issuance of Units pursuant to an Option exercise.</w:t>
      </w:r>
    </w:p>
    <w:p>
      <w:pPr>
        <w:spacing w:after="0" w:line="188" w:lineRule="exact"/>
        <w:rPr>
          <w:sz w:val="20"/>
          <w:szCs w:val="20"/>
          <w:color w:val="auto"/>
        </w:rPr>
      </w:pPr>
    </w:p>
    <w:p>
      <w:pPr>
        <w:ind w:right="260" w:firstLine="1432"/>
        <w:spacing w:after="0" w:line="277" w:lineRule="auto"/>
        <w:rPr>
          <w:sz w:val="20"/>
          <w:szCs w:val="20"/>
          <w:color w:val="auto"/>
        </w:rPr>
      </w:pPr>
      <w:r>
        <w:rPr>
          <w:rFonts w:ascii="Arial" w:cs="Arial" w:eastAsia="Arial" w:hAnsi="Arial"/>
          <w:sz w:val="18"/>
          <w:szCs w:val="18"/>
          <w:color w:val="auto"/>
        </w:rPr>
        <w:t>Exercise of an Option in any manner will result in a decrease in the number of Units thereafter available, both for purposes of the Plan and for sale under the Option, by the number of Units as to which the Option is exercised.</w:t>
      </w:r>
    </w:p>
    <w:p>
      <w:pPr>
        <w:spacing w:after="0" w:line="170" w:lineRule="exact"/>
        <w:rPr>
          <w:sz w:val="20"/>
          <w:szCs w:val="20"/>
          <w:color w:val="auto"/>
        </w:rPr>
      </w:pPr>
    </w:p>
    <w:p>
      <w:pPr>
        <w:ind w:firstLine="1428"/>
        <w:spacing w:after="0" w:line="254" w:lineRule="auto"/>
        <w:tabs>
          <w:tab w:leader="none" w:pos="1697"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Termination of Relationship as a Service Provider</w:t>
      </w:r>
      <w:r>
        <w:rPr>
          <w:rFonts w:ascii="Arial" w:cs="Arial" w:eastAsia="Arial" w:hAnsi="Arial"/>
          <w:sz w:val="18"/>
          <w:szCs w:val="18"/>
          <w:color w:val="auto"/>
        </w:rPr>
        <w:t>. If a Participant ceases to be a Service Provider, other than upon termination as the result of the Participant’s death or Disability, such Participant may exercise his or her Option within thirty (30) days of termination, or such longer period of time as specified in the Option Agreement, to the extent that the Option is vested on the date of termination (but in no event later than the expiration of the term of the Option as set forth in the Option Agreement). Unless the Administrator provides otherwise, if on the date of termination the Participant is not vested as to his or her entire Option, the Units covered by the unvested portion of the Option will revert to the Plan. If, after termination, the Participant does not exercise his or her Option within the time specified by the Administrator, the Option will terminate, and the Units covered by such Option will revert to the Plan.</w:t>
      </w:r>
    </w:p>
    <w:p>
      <w:pPr>
        <w:spacing w:after="0" w:line="194" w:lineRule="exact"/>
        <w:rPr>
          <w:rFonts w:ascii="Arial" w:cs="Arial" w:eastAsia="Arial" w:hAnsi="Arial"/>
          <w:sz w:val="18"/>
          <w:szCs w:val="18"/>
          <w:color w:val="auto"/>
        </w:rPr>
      </w:pPr>
    </w:p>
    <w:p>
      <w:pPr>
        <w:ind w:firstLine="1428"/>
        <w:spacing w:after="0" w:line="273" w:lineRule="auto"/>
        <w:tabs>
          <w:tab w:leader="none" w:pos="1747"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six (6) months of termination, or such longer period of time as specified in the Option Agreement, to the extent the Option is vested on the date of termination (but in no event later than the expiration of the term of such Option as set forth in the Option Agreement). Unless the Administrator provides otherwise, if on the date of termination the Participant is not vested as to his or her entire Option, the Units covered by the unvested portion of the Option will revert to the Plan. If, after termination, the Participant does not exercise his or her Option within the time specified herein, the Option will terminate, and the Units covered by such Option will revert to the Plan.</w:t>
      </w:r>
    </w:p>
    <w:p>
      <w:pPr>
        <w:spacing w:after="0" w:line="177" w:lineRule="exact"/>
        <w:rPr>
          <w:rFonts w:ascii="Arial" w:cs="Arial" w:eastAsia="Arial" w:hAnsi="Arial"/>
          <w:sz w:val="17"/>
          <w:szCs w:val="17"/>
          <w:color w:val="auto"/>
        </w:rPr>
      </w:pPr>
    </w:p>
    <w:p>
      <w:pPr>
        <w:ind w:right="40" w:firstLine="1428"/>
        <w:spacing w:after="0" w:line="290" w:lineRule="auto"/>
        <w:tabs>
          <w:tab w:leader="none" w:pos="1737"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within six (6) months following the Participant’s death, or such longer period of time as specified in the Option Agreement, to the extent that the Option is vested on the date of death (but in no event later than the expiration of the term of such Option as set forth in the Option Agreement) by the Participant’s designated beneficiary, provided such beneficiary has been designated prior to the Participant’s death in a form acceptable to the Administrator. If no such beneficiary has been designated, then such Option may be exercised by the personal representative of the Participant’s estate or by the person(s) to whom the Option is transferred pursuant to the Participant’s will or in accordance with the laws of descent and distribution. If, at the time of death, the Participant is not vested as to his or her entire Option, the Units covered by the unvested portion of the Option will immediately revert to the Plan. If the Option is not so exercised within the time specified herein, the Option will terminate, and the Units covered by such Option will revert to the Plan.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12" w:name="page313"/>
    <w:bookmarkEnd w:id="312"/>
    <w:p>
      <w:pPr>
        <w:ind w:left="600" w:hanging="184"/>
        <w:spacing w:after="0"/>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Profits Interests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987"/>
        <w:spacing w:after="0" w:line="301" w:lineRule="auto"/>
        <w:tabs>
          <w:tab w:leader="none" w:pos="1216"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Profits Interest Agreement</w:t>
      </w:r>
      <w:r>
        <w:rPr>
          <w:rFonts w:ascii="Arial" w:cs="Arial" w:eastAsia="Arial" w:hAnsi="Arial"/>
          <w:sz w:val="16"/>
          <w:szCs w:val="16"/>
          <w:color w:val="auto"/>
        </w:rPr>
        <w:t>. Subject to the terms of the Plan and the Operating Agreement, the Administrator may grant Profits Interests in such amounts as the Administrator, in its sole discretion, will determine. Each Profits Interest grant will be evidenced by a Profits Interest Agreement that will specify the number of Units that are being granted as Profits Interests, the Profits Interest Threshold Amount, the vesting schedule, if any, applicable to the Profits Interest grant, and such other terms and conditions as the Administrator, in its sole discretion, will determine.</w:t>
      </w:r>
    </w:p>
    <w:p>
      <w:pPr>
        <w:spacing w:after="0" w:line="157" w:lineRule="exact"/>
        <w:rPr>
          <w:rFonts w:ascii="Arial" w:cs="Arial" w:eastAsia="Arial" w:hAnsi="Arial"/>
          <w:sz w:val="16"/>
          <w:szCs w:val="16"/>
          <w:color w:val="auto"/>
        </w:rPr>
      </w:pPr>
    </w:p>
    <w:p>
      <w:pPr>
        <w:ind w:left="-20" w:right="380" w:firstLine="987"/>
        <w:spacing w:after="0" w:line="311" w:lineRule="auto"/>
        <w:tabs>
          <w:tab w:leader="none" w:pos="1226"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Forfeiture</w:t>
      </w:r>
      <w:r>
        <w:rPr>
          <w:rFonts w:ascii="Arial" w:cs="Arial" w:eastAsia="Arial" w:hAnsi="Arial"/>
          <w:sz w:val="16"/>
          <w:szCs w:val="16"/>
          <w:color w:val="auto"/>
        </w:rPr>
        <w:t>. If a Participant’s status as a Service Provider is terminated for any reason by the Participant or the Company before the Profits Interests have vested, unless otherwise determined by the Administrator or unless otherwise provided in the Profits Interest Agreement, the Participant will forfeit all non-vested Profits Interests to the Company for no consideration without further action by the Company.</w:t>
      </w:r>
    </w:p>
    <w:p>
      <w:pPr>
        <w:spacing w:after="0" w:line="148" w:lineRule="exact"/>
        <w:rPr>
          <w:rFonts w:ascii="Arial" w:cs="Arial" w:eastAsia="Arial" w:hAnsi="Arial"/>
          <w:sz w:val="16"/>
          <w:szCs w:val="16"/>
          <w:color w:val="auto"/>
        </w:rPr>
      </w:pPr>
    </w:p>
    <w:p>
      <w:pPr>
        <w:ind w:left="-20" w:right="340" w:firstLine="987"/>
        <w:spacing w:after="0" w:line="277" w:lineRule="auto"/>
        <w:tabs>
          <w:tab w:leader="none" w:pos="1216"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Rights as a Member</w:t>
      </w:r>
      <w:r>
        <w:rPr>
          <w:rFonts w:ascii="Arial" w:cs="Arial" w:eastAsia="Arial" w:hAnsi="Arial"/>
          <w:sz w:val="18"/>
          <w:szCs w:val="18"/>
          <w:color w:val="auto"/>
        </w:rPr>
        <w:t>. Each Participant granted a Profits Interest Award shall agree to be bound by and comply with the terms of the Operating Agreement.</w:t>
      </w:r>
    </w:p>
    <w:p>
      <w:pPr>
        <w:spacing w:after="0" w:line="170" w:lineRule="exact"/>
        <w:rPr>
          <w:rFonts w:ascii="Arial" w:cs="Arial" w:eastAsia="Arial" w:hAnsi="Arial"/>
          <w:sz w:val="18"/>
          <w:szCs w:val="18"/>
          <w:color w:val="auto"/>
        </w:rPr>
      </w:pPr>
    </w:p>
    <w:p>
      <w:pPr>
        <w:ind w:left="1220" w:hanging="253"/>
        <w:spacing w:after="0"/>
        <w:tabs>
          <w:tab w:leader="none" w:pos="122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Unless otherwise determined by the Administrator, no amount shall be paid to the Company for the grant of Profits Interests.</w:t>
      </w:r>
    </w:p>
    <w:p>
      <w:pPr>
        <w:spacing w:after="0" w:line="248" w:lineRule="exact"/>
        <w:rPr>
          <w:rFonts w:ascii="Arial" w:cs="Arial" w:eastAsia="Arial" w:hAnsi="Arial"/>
          <w:sz w:val="16"/>
          <w:szCs w:val="16"/>
          <w:color w:val="auto"/>
        </w:rPr>
      </w:pPr>
    </w:p>
    <w:p>
      <w:pPr>
        <w:ind w:left="600" w:hanging="184"/>
        <w:spacing w:after="0"/>
        <w:tabs>
          <w:tab w:leader="none" w:pos="60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Restricted Common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140" w:firstLine="987"/>
        <w:spacing w:after="0" w:line="263" w:lineRule="auto"/>
        <w:tabs>
          <w:tab w:leader="none" w:pos="1216"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Restricted Common Units may be granted at any time and from time to time as determined by the Administrator. After the Administrator determines that it will grant Restricted Common Units, it will advise the Participant in a Restricted Unit Award Agreement of the terms, conditions, and restrictions related to the grant, including the number of Restricted Common Units.</w:t>
      </w:r>
    </w:p>
    <w:p>
      <w:pPr>
        <w:spacing w:after="0" w:line="183" w:lineRule="exact"/>
        <w:rPr>
          <w:rFonts w:ascii="Arial" w:cs="Arial" w:eastAsia="Arial" w:hAnsi="Arial"/>
          <w:sz w:val="18"/>
          <w:szCs w:val="18"/>
          <w:color w:val="auto"/>
        </w:rPr>
      </w:pPr>
    </w:p>
    <w:p>
      <w:pPr>
        <w:ind w:left="-20" w:firstLine="987"/>
        <w:spacing w:after="0" w:line="257" w:lineRule="auto"/>
        <w:tabs>
          <w:tab w:leader="none" w:pos="1226"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Vesting Criteria and Other Terms</w:t>
      </w:r>
      <w:r>
        <w:rPr>
          <w:rFonts w:ascii="Arial" w:cs="Arial" w:eastAsia="Arial" w:hAnsi="Arial"/>
          <w:sz w:val="18"/>
          <w:szCs w:val="18"/>
          <w:color w:val="auto"/>
        </w:rPr>
        <w:t>. Restricted Common Units may be granted fully vested or may be subject to vesting criteria established by the Administrator in its discretion, which, depending on the extent to which the criteria are met, will determine the number of Restricted Common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87" w:lineRule="exact"/>
        <w:rPr>
          <w:rFonts w:ascii="Arial" w:cs="Arial" w:eastAsia="Arial" w:hAnsi="Arial"/>
          <w:sz w:val="18"/>
          <w:szCs w:val="18"/>
          <w:color w:val="auto"/>
        </w:rPr>
      </w:pPr>
    </w:p>
    <w:p>
      <w:pPr>
        <w:jc w:val="both"/>
        <w:ind w:left="-20" w:right="100" w:firstLine="987"/>
        <w:spacing w:after="0" w:line="263" w:lineRule="auto"/>
        <w:tabs>
          <w:tab w:leader="none" w:pos="1216"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Earning Restricted Common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Common Units, the Administrator, in its sole discretion, may reduce or waive any vesting criteria that must be met to receive a payout.</w:t>
      </w:r>
    </w:p>
    <w:p>
      <w:pPr>
        <w:spacing w:after="0" w:line="183" w:lineRule="exact"/>
        <w:rPr>
          <w:rFonts w:ascii="Arial" w:cs="Arial" w:eastAsia="Arial" w:hAnsi="Arial"/>
          <w:sz w:val="18"/>
          <w:szCs w:val="18"/>
          <w:color w:val="auto"/>
        </w:rPr>
      </w:pPr>
    </w:p>
    <w:p>
      <w:pPr>
        <w:ind w:left="-20" w:right="480" w:firstLine="987"/>
        <w:spacing w:after="0" w:line="342" w:lineRule="auto"/>
        <w:tabs>
          <w:tab w:leader="none" w:pos="1226"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Payment of earned Restricted Common Units will be made as soon as practicable after the date(s) determined by the Administrator and set forth in the Award Agreement. Restricted Common Units will be settled through the issuance of Units.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60" w:top="274" w:right="479" w:bottom="1440" w:gutter="0" w:footer="0" w:header="0"/>
        </w:sectPr>
      </w:pPr>
    </w:p>
    <w:bookmarkStart w:id="313" w:name="page314"/>
    <w:bookmarkEnd w:id="313"/>
    <w:p>
      <w:pPr>
        <w:ind w:left="1240" w:hanging="253"/>
        <w:spacing w:after="0"/>
        <w:tabs>
          <w:tab w:leader="none" w:pos="124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Cancellation</w:t>
      </w:r>
      <w:r>
        <w:rPr>
          <w:rFonts w:ascii="Arial" w:cs="Arial" w:eastAsia="Arial" w:hAnsi="Arial"/>
          <w:sz w:val="16"/>
          <w:szCs w:val="16"/>
          <w:color w:val="auto"/>
        </w:rPr>
        <w:t>. On the date set forth in the Award Agreement, all unearned Restricted Common Units will be forfeited to the Company.</w:t>
      </w:r>
    </w:p>
    <w:p>
      <w:pPr>
        <w:spacing w:after="0" w:line="248" w:lineRule="exact"/>
        <w:rPr>
          <w:rFonts w:ascii="Arial" w:cs="Arial" w:eastAsia="Arial" w:hAnsi="Arial"/>
          <w:sz w:val="16"/>
          <w:szCs w:val="16"/>
          <w:color w:val="auto"/>
        </w:rPr>
      </w:pPr>
    </w:p>
    <w:p>
      <w:pPr>
        <w:ind w:right="40" w:firstLine="436"/>
        <w:spacing w:after="0" w:line="254" w:lineRule="auto"/>
        <w:tabs>
          <w:tab w:leader="none" w:pos="62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w:t>
      </w:r>
      <w:r>
        <w:rPr>
          <w:rFonts w:ascii="Arial" w:cs="Arial" w:eastAsia="Arial" w:hAnsi="Arial"/>
          <w:sz w:val="18"/>
          <w:szCs w:val="18"/>
          <w:u w:val="single" w:color="auto"/>
          <w:color w:val="auto"/>
        </w:rPr>
        <w:t>,</w:t>
      </w:r>
      <w:r>
        <w:rPr>
          <w:rFonts w:ascii="Arial" w:cs="Arial" w:eastAsia="Arial" w:hAnsi="Arial"/>
          <w:sz w:val="18"/>
          <w:szCs w:val="18"/>
          <w:color w:val="auto"/>
        </w:rPr>
        <w:t xml:space="preserve"> such that the grant, payment, settlement or deferral will not be subject to the additional tax or interest applicable under Code Section 409A.</w:t>
      </w:r>
    </w:p>
    <w:p>
      <w:pPr>
        <w:spacing w:after="0" w:line="194" w:lineRule="exact"/>
        <w:rPr>
          <w:rFonts w:ascii="Arial" w:cs="Arial" w:eastAsia="Arial" w:hAnsi="Arial"/>
          <w:sz w:val="18"/>
          <w:szCs w:val="18"/>
          <w:color w:val="auto"/>
        </w:rPr>
      </w:pPr>
    </w:p>
    <w:p>
      <w:pPr>
        <w:ind w:right="260" w:firstLine="436"/>
        <w:spacing w:after="0" w:line="286" w:lineRule="auto"/>
        <w:tabs>
          <w:tab w:leader="none" w:pos="710"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vesting of Awards granted hereunder will be suspended during any unpaid leave of absence. A Service Provider will not terminate service in the case of (i) any leave of absence approved by the Company or (ii) transfers between locations of the Company or between the Company, its Parent, or any Subsidiary.</w:t>
      </w:r>
    </w:p>
    <w:p>
      <w:pPr>
        <w:spacing w:after="0" w:line="165" w:lineRule="exact"/>
        <w:rPr>
          <w:rFonts w:ascii="Arial" w:cs="Arial" w:eastAsia="Arial" w:hAnsi="Arial"/>
          <w:sz w:val="17"/>
          <w:szCs w:val="17"/>
          <w:color w:val="auto"/>
        </w:rPr>
      </w:pPr>
    </w:p>
    <w:p>
      <w:pPr>
        <w:ind w:right="420" w:firstLine="436"/>
        <w:spacing w:after="0" w:line="279" w:lineRule="auto"/>
        <w:tabs>
          <w:tab w:leader="none" w:pos="703"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Limited Transferability of Awards</w:t>
      </w:r>
      <w:r>
        <w:rPr>
          <w:rFonts w:ascii="Arial" w:cs="Arial" w:eastAsia="Arial" w:hAnsi="Arial"/>
          <w:sz w:val="17"/>
          <w:szCs w:val="17"/>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 If the Administrator in its sole discretion makes an Award transferable, such Award may only be transferred (i) by will, (ii) by the laws of descent and distribution, or (iii) as permitted by Rule 701 of the Securities Act.</w:t>
      </w:r>
    </w:p>
    <w:p>
      <w:pPr>
        <w:spacing w:after="0" w:line="171" w:lineRule="exact"/>
        <w:rPr>
          <w:rFonts w:ascii="Arial" w:cs="Arial" w:eastAsia="Arial" w:hAnsi="Arial"/>
          <w:sz w:val="17"/>
          <w:szCs w:val="17"/>
          <w:color w:val="auto"/>
        </w:rPr>
      </w:pPr>
    </w:p>
    <w:p>
      <w:pPr>
        <w:ind w:right="20" w:firstLine="436"/>
        <w:spacing w:after="0" w:line="257" w:lineRule="auto"/>
        <w:tabs>
          <w:tab w:leader="none" w:pos="71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 or other reorganization transaction, upon a Trigger Event, all Awards granted under the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Adjustments; Liquidity Event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87"/>
        <w:spacing w:after="0" w:line="254" w:lineRule="auto"/>
        <w:tabs>
          <w:tab w:leader="none" w:pos="1236"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Subject to any required action by the Members of the Company, in the event of any split, reverse split, dividend, recapitalization, combination, reclassification, reorganization, merger, consolidation, split-up, spin-off, repurchase, exchange of Units or other securities of the Company, other distribution of Units or other securities of the Company without the receipt of consideration by the Company, or other change in the corporate structure of the Company affecting the Units occurs, the Administrator, in order to prevent diminution or enlargement of the benefits or potential benefits intended to be made available under the Plan, will adjust the number and class of Units that may be delivered under the Plan and/or the number, class, and price of Units covered by each outstanding Award; provided, however, that the Administrator will make adjustments to an Award required by Section 25102(o) of the California Corporations Code to the extent the Company is relying upon the exemption afforded thereby with respect to an Award.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14" w:name="page315"/>
    <w:bookmarkEnd w:id="314"/>
    <w:p>
      <w:pPr>
        <w:ind w:right="180" w:firstLine="987"/>
        <w:spacing w:after="0" w:line="263" w:lineRule="auto"/>
        <w:tabs>
          <w:tab w:leader="none" w:pos="1246"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or Liquidation Event</w:t>
      </w:r>
      <w:r>
        <w:rPr>
          <w:rFonts w:ascii="Arial" w:cs="Arial" w:eastAsia="Arial" w:hAnsi="Arial"/>
          <w:sz w:val="18"/>
          <w:szCs w:val="18"/>
          <w:color w:val="auto"/>
        </w:rPr>
        <w:t>. In the event that the Company is subject to a merger or Liquidation Event, outstanding Awards shall be subject to the agreement governing the merger or Liquidation Event and the Operating Agreement. The agreement governing the merger or Liquidity Event shall provide for one or more of the following:</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continuation of such outstanding Awards by the Company (if the Company is the surviving corporation).</w:t>
      </w:r>
    </w:p>
    <w:p>
      <w:pPr>
        <w:spacing w:after="0" w:line="225" w:lineRule="exact"/>
        <w:rPr>
          <w:rFonts w:ascii="Arial" w:cs="Arial" w:eastAsia="Arial" w:hAnsi="Arial"/>
          <w:sz w:val="18"/>
          <w:szCs w:val="18"/>
          <w:color w:val="auto"/>
        </w:rPr>
      </w:pPr>
    </w:p>
    <w:p>
      <w:pPr>
        <w:ind w:right="100" w:firstLine="987"/>
        <w:spacing w:after="0" w:line="263" w:lineRule="auto"/>
        <w:tabs>
          <w:tab w:leader="none" w:pos="124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assumption, or substitution of substantially equivalent Awards, by the acquiring or succeeding corporation (or an affiliate thereof) with appropriate adjustments to the number and kind of equity interests and prices, with appropriate reduction to the Common Unit exchange ratio applicable to Profits Interests to reflect the applicable Profits Interest Threshold Amounts.</w:t>
      </w:r>
    </w:p>
    <w:p>
      <w:pPr>
        <w:spacing w:after="0" w:line="183" w:lineRule="exact"/>
        <w:rPr>
          <w:rFonts w:ascii="Arial" w:cs="Arial" w:eastAsia="Arial" w:hAnsi="Arial"/>
          <w:sz w:val="18"/>
          <w:szCs w:val="18"/>
          <w:color w:val="auto"/>
        </w:rPr>
      </w:pPr>
    </w:p>
    <w:p>
      <w:pPr>
        <w:ind w:right="20" w:firstLine="987"/>
        <w:spacing w:after="0" w:line="277" w:lineRule="auto"/>
        <w:tabs>
          <w:tab w:leader="none" w:pos="123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full or partial vesting of unvested Awards, or the full or partial cancellation of unvested Awards without consideration, in each case upon on the closing of the merger or Liquidation Event.</w:t>
      </w:r>
    </w:p>
    <w:p>
      <w:pPr>
        <w:spacing w:after="0" w:line="170" w:lineRule="exact"/>
        <w:rPr>
          <w:rFonts w:ascii="Arial" w:cs="Arial" w:eastAsia="Arial" w:hAnsi="Arial"/>
          <w:sz w:val="18"/>
          <w:szCs w:val="18"/>
          <w:color w:val="auto"/>
        </w:rPr>
      </w:pPr>
    </w:p>
    <w:p>
      <w:pPr>
        <w:ind w:right="40" w:firstLine="987"/>
        <w:spacing w:after="0" w:line="254" w:lineRule="auto"/>
        <w:tabs>
          <w:tab w:leader="none" w:pos="121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or its parent with a fair market value equal to the amount distributable or deemed distributable in the merger or Liquidity Event. Such payment may be subject to vesting based on the Participant’s continuing service, provided that the vesting schedule shall not be less favorable to the Participant than the schedule under which such Award would have vested. If no amounts would be distributable to such Award holder and/or if such Award is unvested, then such Award may be cancelled without making a payment to the Participant.</w:t>
      </w:r>
    </w:p>
    <w:p>
      <w:pPr>
        <w:spacing w:after="0" w:line="194" w:lineRule="exact"/>
        <w:rPr>
          <w:rFonts w:ascii="Arial" w:cs="Arial" w:eastAsia="Arial" w:hAnsi="Arial"/>
          <w:sz w:val="18"/>
          <w:szCs w:val="18"/>
          <w:color w:val="auto"/>
        </w:rPr>
      </w:pPr>
    </w:p>
    <w:p>
      <w:pPr>
        <w:ind w:firstLine="987"/>
        <w:spacing w:after="0" w:line="263" w:lineRule="auto"/>
        <w:tabs>
          <w:tab w:leader="none" w:pos="124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Amounts of cash or other consideration from a sale of assets of the Company or a Subsidiary constituting a Liquidity Event otherwise distributable to a Common Unit holder shall be reduced by the Profits Interest Threshold Amount attributable to each such Profits Interest receiving such distribution.</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987"/>
        <w:spacing w:after="0" w:line="311" w:lineRule="auto"/>
        <w:tabs>
          <w:tab w:leader="none" w:pos="1236"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Withholding Requirements</w:t>
      </w:r>
      <w:r>
        <w:rPr>
          <w:rFonts w:ascii="Arial" w:cs="Arial" w:eastAsia="Arial" w:hAnsi="Arial"/>
          <w:sz w:val="16"/>
          <w:szCs w:val="16"/>
          <w:color w:val="auto"/>
        </w:rPr>
        <w:t>. Prior to the delivery of any Units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48" w:lineRule="exact"/>
        <w:rPr>
          <w:rFonts w:ascii="Arial" w:cs="Arial" w:eastAsia="Arial" w:hAnsi="Arial"/>
          <w:sz w:val="16"/>
          <w:szCs w:val="16"/>
          <w:color w:val="auto"/>
        </w:rPr>
      </w:pPr>
    </w:p>
    <w:p>
      <w:pPr>
        <w:ind w:right="280" w:firstLine="987"/>
        <w:spacing w:after="0" w:line="308" w:lineRule="auto"/>
        <w:tabs>
          <w:tab w:leader="none" w:pos="1246"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withholding obligation, in whole or in part by (without limitation) (i) paying cash,</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15" w:name="page316"/>
    <w:bookmarkEnd w:id="315"/>
    <w:p>
      <w:pPr>
        <w:ind w:left="4" w:right="140" w:hanging="4"/>
        <w:spacing w:after="0" w:line="287" w:lineRule="auto"/>
        <w:tabs>
          <w:tab w:leader="none" w:pos="269"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electing to have the Company withhold otherwise deliverable Units having a Fair Market Value equal to the minimum statutory amount required to be withheld, (iii) delivering to the Company already-owned Units having a Fair Market Value equal to the statutory amount required to be withheld, provided the delivery of such Units will not result in any adverse accounting consequences, as the Administrator determines in its sole discretion, or</w:t>
      </w:r>
    </w:p>
    <w:p>
      <w:pPr>
        <w:spacing w:after="0" w:line="2" w:lineRule="exact"/>
        <w:rPr>
          <w:rFonts w:ascii="Arial" w:cs="Arial" w:eastAsia="Arial" w:hAnsi="Arial"/>
          <w:sz w:val="16"/>
          <w:szCs w:val="16"/>
          <w:color w:val="auto"/>
        </w:rPr>
      </w:pPr>
    </w:p>
    <w:p>
      <w:pPr>
        <w:ind w:left="4" w:right="180" w:hanging="4"/>
        <w:spacing w:after="0" w:line="252" w:lineRule="auto"/>
        <w:tabs>
          <w:tab w:leader="none" w:pos="30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selling a sufficient number of Units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Units to be withheld or delivered will be determined as of the date that the taxes are required to be withheld.</w:t>
      </w:r>
    </w:p>
    <w:p>
      <w:pPr>
        <w:spacing w:after="0" w:line="193" w:lineRule="exact"/>
        <w:rPr>
          <w:rFonts w:ascii="Arial" w:cs="Arial" w:eastAsia="Arial" w:hAnsi="Arial"/>
          <w:sz w:val="18"/>
          <w:szCs w:val="18"/>
          <w:color w:val="auto"/>
        </w:rPr>
      </w:pPr>
    </w:p>
    <w:p>
      <w:pPr>
        <w:jc w:val="both"/>
        <w:ind w:left="4" w:right="180" w:firstLine="436"/>
        <w:spacing w:after="0" w:line="263" w:lineRule="auto"/>
        <w:tabs>
          <w:tab w:leader="none" w:pos="71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No Effect on Employment or Service</w:t>
      </w:r>
      <w:r>
        <w:rPr>
          <w:rFonts w:ascii="Arial" w:cs="Arial" w:eastAsia="Arial" w:hAnsi="Arial"/>
          <w:sz w:val="18"/>
          <w:szCs w:val="18"/>
          <w:color w:val="auto"/>
        </w:rPr>
        <w:t>. Neither the Plan nor any Award will confer upon a Participant any right with respect to continuing the Participant’s relationship as a Service Provider, nor interfere in any way with the Participant’s or the Company’s right to terminate such relationship at any time, with or without cause, to the extent permitted by Applicable Laws.</w:t>
      </w:r>
    </w:p>
    <w:p>
      <w:pPr>
        <w:spacing w:after="0" w:line="183" w:lineRule="exact"/>
        <w:rPr>
          <w:rFonts w:ascii="Arial" w:cs="Arial" w:eastAsia="Arial" w:hAnsi="Arial"/>
          <w:sz w:val="18"/>
          <w:szCs w:val="18"/>
          <w:color w:val="auto"/>
        </w:rPr>
      </w:pPr>
    </w:p>
    <w:p>
      <w:pPr>
        <w:jc w:val="both"/>
        <w:ind w:left="4" w:right="140" w:firstLine="436"/>
        <w:spacing w:after="0" w:line="263" w:lineRule="auto"/>
        <w:tabs>
          <w:tab w:leader="none" w:pos="71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will, for all purposes, be the date on which the Administrator makes the determination granting such Award, or such later date as the Administrator may determine. Notice of the determination will be provided to each Service Provider to whom an Award is so granted within a reasonable time after the date of such grant.</w:t>
      </w:r>
    </w:p>
    <w:p>
      <w:pPr>
        <w:spacing w:after="0" w:line="183" w:lineRule="exact"/>
        <w:rPr>
          <w:rFonts w:ascii="Arial" w:cs="Arial" w:eastAsia="Arial" w:hAnsi="Arial"/>
          <w:sz w:val="18"/>
          <w:szCs w:val="18"/>
          <w:color w:val="auto"/>
        </w:rPr>
      </w:pPr>
    </w:p>
    <w:p>
      <w:pPr>
        <w:ind w:left="4" w:firstLine="436"/>
        <w:spacing w:after="0" w:line="263" w:lineRule="auto"/>
        <w:tabs>
          <w:tab w:leader="none" w:pos="71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Term of Plan</w:t>
      </w:r>
      <w:r>
        <w:rPr>
          <w:rFonts w:ascii="Arial" w:cs="Arial" w:eastAsia="Arial" w:hAnsi="Arial"/>
          <w:sz w:val="18"/>
          <w:szCs w:val="18"/>
          <w:color w:val="auto"/>
        </w:rPr>
        <w:t>. The Plan will become effective upon its adoption by the Board. Unless sooner terminated under Section 18, it will continue in effect for a term of ten (10) years from the later of (a) the effective date of the Plan, or (b) the earlier of the most recent Board or Member approval of an increase in the number of Units reserved for issuance under the Plan.</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left="4" w:right="520" w:firstLine="987"/>
        <w:spacing w:after="0" w:line="277" w:lineRule="auto"/>
        <w:tabs>
          <w:tab w:leader="none" w:pos="1250"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Member Approval</w:t>
      </w:r>
      <w:r>
        <w:rPr>
          <w:rFonts w:ascii="Arial" w:cs="Arial" w:eastAsia="Arial" w:hAnsi="Arial"/>
          <w:sz w:val="18"/>
          <w:szCs w:val="18"/>
          <w:color w:val="auto"/>
        </w:rPr>
        <w:t>. The Company will obtain Member approval of any Plan amendment to the extent necessary and desirable to comply with the Operating Agreement and Applicable Laws.</w:t>
      </w:r>
    </w:p>
    <w:p>
      <w:pPr>
        <w:spacing w:after="0" w:line="170" w:lineRule="exact"/>
        <w:rPr>
          <w:rFonts w:ascii="Arial" w:cs="Arial" w:eastAsia="Arial" w:hAnsi="Arial"/>
          <w:sz w:val="18"/>
          <w:szCs w:val="18"/>
          <w:color w:val="auto"/>
        </w:rPr>
      </w:pPr>
    </w:p>
    <w:p>
      <w:pPr>
        <w:ind w:left="4" w:right="280" w:firstLine="987"/>
        <w:spacing w:after="0" w:line="259" w:lineRule="auto"/>
        <w:tabs>
          <w:tab w:leader="none" w:pos="1240" w:val="left"/>
        </w:tabs>
        <w:numPr>
          <w:ilvl w:val="2"/>
          <w:numId w:val="201"/>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316" w:name="page317"/>
    <w:bookmarkEnd w:id="316"/>
    <w:p>
      <w:pPr>
        <w:ind w:left="680" w:hanging="264"/>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Upon Issuance of Units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280" w:firstLine="987"/>
        <w:spacing w:after="0" w:line="263" w:lineRule="auto"/>
        <w:tabs>
          <w:tab w:leader="none" w:pos="1216"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Legal Compliance</w:t>
      </w:r>
      <w:r>
        <w:rPr>
          <w:rFonts w:ascii="Arial" w:cs="Arial" w:eastAsia="Arial" w:hAnsi="Arial"/>
          <w:sz w:val="18"/>
          <w:szCs w:val="18"/>
          <w:color w:val="auto"/>
        </w:rPr>
        <w:t>. Units will not be issued pursuant to the exercise of an Award unless the exercise of such Award and the issuance and delivery of such Units will comply with Applicable Laws and will be further subject to the approval of counsel for the Company with respect to such compliance.</w:t>
      </w:r>
    </w:p>
    <w:p>
      <w:pPr>
        <w:spacing w:after="0" w:line="183" w:lineRule="exact"/>
        <w:rPr>
          <w:rFonts w:ascii="Arial" w:cs="Arial" w:eastAsia="Arial" w:hAnsi="Arial"/>
          <w:sz w:val="18"/>
          <w:szCs w:val="18"/>
          <w:color w:val="auto"/>
        </w:rPr>
      </w:pPr>
    </w:p>
    <w:p>
      <w:pPr>
        <w:jc w:val="both"/>
        <w:ind w:left="-20" w:firstLine="987"/>
        <w:spacing w:after="0" w:line="263" w:lineRule="auto"/>
        <w:tabs>
          <w:tab w:leader="none" w:pos="1226" w:val="left"/>
        </w:tabs>
        <w:numPr>
          <w:ilvl w:val="1"/>
          <w:numId w:val="202"/>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Company may require the person exercising such Award to represent and warrant at the time of any such exercise that the Units are being purchased only for investment and without any present intention to sell or distribute such Units if, in the opinion of counsel for the Company, such a representation is required.</w:t>
      </w:r>
    </w:p>
    <w:p>
      <w:pPr>
        <w:spacing w:after="0" w:line="183" w:lineRule="exact"/>
        <w:rPr>
          <w:rFonts w:ascii="Arial" w:cs="Arial" w:eastAsia="Arial" w:hAnsi="Arial"/>
          <w:sz w:val="18"/>
          <w:szCs w:val="18"/>
          <w:color w:val="auto"/>
        </w:rPr>
      </w:pPr>
    </w:p>
    <w:p>
      <w:pPr>
        <w:jc w:val="both"/>
        <w:ind w:left="-20" w:right="60" w:firstLine="436"/>
        <w:spacing w:after="0" w:line="286" w:lineRule="auto"/>
        <w:tabs>
          <w:tab w:leader="none" w:pos="69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Units hereunder, will relieve the Company of any liability in respect of the failure to issue or sell such Units as to which such requisite authority will not have been obtained.</w:t>
      </w:r>
    </w:p>
    <w:p>
      <w:pPr>
        <w:spacing w:after="0" w:line="165" w:lineRule="exact"/>
        <w:rPr>
          <w:rFonts w:ascii="Arial" w:cs="Arial" w:eastAsia="Arial" w:hAnsi="Arial"/>
          <w:sz w:val="17"/>
          <w:szCs w:val="17"/>
          <w:color w:val="auto"/>
        </w:rPr>
      </w:pPr>
    </w:p>
    <w:p>
      <w:pPr>
        <w:ind w:left="-20" w:right="140" w:firstLine="436"/>
        <w:spacing w:after="0" w:line="308" w:lineRule="auto"/>
        <w:tabs>
          <w:tab w:leader="none" w:pos="69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Member Approval</w:t>
      </w:r>
      <w:r>
        <w:rPr>
          <w:rFonts w:ascii="Arial" w:cs="Arial" w:eastAsia="Arial" w:hAnsi="Arial"/>
          <w:sz w:val="17"/>
          <w:szCs w:val="17"/>
          <w:color w:val="auto"/>
        </w:rPr>
        <w:t>. The Plan will be subject to approval by the Members of the Company within twelve (12) months after the date the Plan is adopted by the Board. Such Member approval will be obtained in the manner and to the degree required under Applicable Laws.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0"/>
        <w:spacing w:after="0"/>
        <w:rPr>
          <w:sz w:val="20"/>
          <w:szCs w:val="20"/>
          <w:color w:val="auto"/>
        </w:rPr>
      </w:pPr>
      <w:r>
        <w:rPr>
          <w:rFonts w:ascii="Arial" w:cs="Arial" w:eastAsia="Arial" w:hAnsi="Arial"/>
          <w:sz w:val="17"/>
          <w:szCs w:val="17"/>
          <w:color w:val="auto"/>
        </w:rPr>
        <w:t>EXCLUSIVE LICENSE AGREEMENT</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InCube Labs, LLC. (“Licensor”)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Rani Therapeutics, LLC (“Licensee”)</w:t>
      </w:r>
    </w:p>
    <w:p>
      <w:pPr>
        <w:sectPr>
          <w:pgSz w:w="11900" w:h="16838" w:orient="portrait"/>
          <w:cols w:equalWidth="0" w:num="1">
            <w:col w:w="10020"/>
          </w:cols>
          <w:pgMar w:left="1440" w:top="121" w:right="439" w:bottom="1440" w:gutter="0" w:footer="0" w:header="0"/>
        </w:sectPr>
      </w:pPr>
    </w:p>
    <w:bookmarkStart w:id="318" w:name="page319"/>
    <w:bookmarkEnd w:id="31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EXCLUSIVE LICENSE AGREEMENT</w:t>
      </w:r>
    </w:p>
    <w:p>
      <w:pPr>
        <w:spacing w:after="0" w:line="229"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This exclusive license agreement (the “Agreement”) is made effective on June 14, 2012 (the “Effective Date”), between InCube Labs, LLC (“Licensor”), and Rani Therapeutics, LLC, a California limited liability corporation (“Licensee”).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Certain inventions, generally relating to the Field of Use are covered by Licensor’s Patent Rights as defined below.</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B. Licensee wishes to obtain the rights from Licensor for the exclusive commercial development, use and sale of Licensed Products and Services from the Invention, and Licensor is willing to grant those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Licensor reserves the right to grant additional licenses outside the Field of Use.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view of the foregoing, the parties, recognizing the receipt and sufficiency of consideration herein, agree: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 DEFINITIONS</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1.1 “Field of Use” means “ORAL DELIVERY OF BIOTHERAPEUTIC AGENTS SUCH AS PEPTIDES, PROTEINS &amp; ANTIBODIES” but excludes “SWALLOWABLE DEVICES THAT DO NOT DELIVER SUCH DRUGS”.</w:t>
      </w:r>
    </w:p>
    <w:p>
      <w:pPr>
        <w:spacing w:after="0" w:line="170"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1.2 “Licensed Products and Services” means any services, compositions or products the manufacture, use, sale, offer for sale, importation or practice of which would constitute, but for the license granted Licensee by Licensor herein, an infringement of any pending or issued valid and unexpired claim within Licensor’s Patent Rights.</w:t>
      </w:r>
    </w:p>
    <w:p>
      <w:pPr>
        <w:spacing w:after="0" w:line="184"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1.3 “Licensor’s Patent Rights” means Licensor’s interest in the patents and patent applications listed on Exhibit A, together with continuations, divisionals, substitutions and continuation-in-part applications (but in the case of continuations-in-part only to the extent that claims are supported in the applications listed on Exhibit A or any patent application from which the same derive); and patents issuing on said applications including registrations, reissues, reexaminations and extensions and the corresponding foreign applications and patents.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 “Sublicensee” means a third party to whom Licensee grants a sublicense under this Agreement.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 LIFE OF PATENT EXCLUSIVE GRANT</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2.1 Subject to the limitations set forth in this Agreement, Licensor grants to Licensee an exclusive paid up royalty free license under Licensor’s Patent Rights to make, have made, use, offer to sell, sell and import Licensed Products and Services to the extent permitted by applicable law. The license granted in Paragraph 2.1 is exclusive for the term of this Agreement.</w:t>
      </w:r>
    </w:p>
    <w:p>
      <w:pPr>
        <w:spacing w:after="0" w:line="184"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2.2 The license granted in Paragraph 2.1 is limited to products and services that are within the Field of Use. For all other products and services, Licensee has no license under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0960"/>
          </w:cols>
          <w:pgMar w:left="440" w:top="270" w:right="49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 SUBLICENSES</w:t>
      </w:r>
    </w:p>
    <w:p>
      <w:pPr>
        <w:spacing w:after="0" w:line="117" w:lineRule="exact"/>
        <w:rPr>
          <w:sz w:val="20"/>
          <w:szCs w:val="20"/>
          <w:color w:val="auto"/>
        </w:rPr>
      </w:pPr>
    </w:p>
    <w:p>
      <w:pPr>
        <w:ind w:right="380" w:firstLine="440"/>
        <w:spacing w:after="0" w:line="311" w:lineRule="auto"/>
        <w:rPr>
          <w:sz w:val="20"/>
          <w:szCs w:val="20"/>
          <w:color w:val="auto"/>
        </w:rPr>
      </w:pPr>
      <w:r>
        <w:rPr>
          <w:rFonts w:ascii="Arial" w:cs="Arial" w:eastAsia="Arial" w:hAnsi="Arial"/>
          <w:sz w:val="16"/>
          <w:szCs w:val="16"/>
          <w:color w:val="auto"/>
        </w:rPr>
        <w:t>3.1 Licensor also grants to Licensee the right to grant and authorize sublicenses to third parties to make, have made, use, offer to sell, sell and import Licensed Products and Services, as long as Licensee has current exclusive rights thereto under this Agreement. To the extent applicable, sublicenses must include all of the rights of and obligations due to Licensor (and, if applicable, the U.S. Government) contained in this Agreement.</w:t>
      </w:r>
    </w:p>
    <w:p>
      <w:pPr>
        <w:spacing w:after="0" w:line="14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3.2 Licensee shall promptly provide Licensor with a copy of each sublicense issued (which copy may be redacted with respect to information not pertinent to compliance with the terms and conditions of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3.3 Upon termination of this Agreement for any reason, all sublicenses shall survive such termination, provided that, upon request by Licensor, the applicable Sublicensee agrees in writing to be bound by the applicable terms of this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4. DUE DILIGENCE</w:t>
      </w:r>
    </w:p>
    <w:p>
      <w:pPr>
        <w:spacing w:after="0" w:line="117"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4.1 Licensee, upon execution of this Agreement, shall diligently proceed with the development, manufacture and sale of Licensed Products and Services and shall earnestly and diligently endeavor to market the same within a reasonable time after execution of this Agreement and in quantities sufficient to meet market demands.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4.2 Licensee shall endeavor to obtain all necessary governmental approvals for the manufacture, use and sale of Licensed Products and Services.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5. PROGRESS REPORTS</w:t>
      </w:r>
    </w:p>
    <w:p>
      <w:pPr>
        <w:spacing w:after="0" w:line="117" w:lineRule="exact"/>
        <w:rPr>
          <w:sz w:val="20"/>
          <w:szCs w:val="20"/>
          <w:color w:val="auto"/>
        </w:rPr>
      </w:pPr>
    </w:p>
    <w:p>
      <w:pPr>
        <w:jc w:val="both"/>
        <w:ind w:right="340" w:firstLine="440"/>
        <w:spacing w:after="0" w:line="263" w:lineRule="auto"/>
        <w:rPr>
          <w:sz w:val="20"/>
          <w:szCs w:val="20"/>
          <w:color w:val="auto"/>
        </w:rPr>
      </w:pPr>
      <w:r>
        <w:rPr>
          <w:rFonts w:ascii="Arial" w:cs="Arial" w:eastAsia="Arial" w:hAnsi="Arial"/>
          <w:sz w:val="18"/>
          <w:szCs w:val="18"/>
          <w:color w:val="auto"/>
        </w:rPr>
        <w:t>5.1 Beginning with the Effective Date and annually thereafter, Licensee shall submit to Licensor a written progress report covering Licensee’s (and any Affiliate’s or Sublicensee’s) activities related to the development and testing of all Licensed Products and Services and the obtaining of the governmental approvals necessary for marketing.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6. TERM OF THE AGREEMENT</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6.1 Unless otherwise terminated by operation of law or by acts of the parties in accordance with the terms of this Agreement, this Agreement will be in force from the Effective Date until the later of (i) the date of expiration of the last-to-expire patent licensed under this Agreement or (ii) the date that the last patent application licensed under this Agreement is abandoned.</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6.2 Upon the sale or merger of the Licensee, the obligations of the Licensor to license additional patents to Licensee shall cease as of the effective date of the sale or merger. All other terms of this license agreement pertaining to patents or patent applications that have already been licensed under this agreement shall continue.</w:t>
      </w:r>
    </w:p>
    <w:p>
      <w:pPr>
        <w:spacing w:after="0" w:line="184"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6.3 Licensee has the right at any time to terminate this Agreement in whole or as to any portion of Licensor’s Patent Rights by giving notice in writing to Licensor. Such notice of termination will be subject to Article 14 (Notices) and termination of this Agreement will be effective 60 days from the effective date of such notice. In the event of termination by the Licensee, all rights so terminated shall revert back to the Licensor.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20" w:name="page321"/>
    <w:bookmarkEnd w:id="320"/>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6.4 Any termination under the above paragraph does not relieve Licensee of any obligation or liability accrued under this Agreement prior to termination or rescind any payment made to Licensor or anything done by Licensee prior to the time termination becomes effective. Termination does not affect in any manner any rights of Licensor arising under this Agreement prior to termination.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7. USE OF NAMES AND TRADEMARKS</w:t>
      </w:r>
    </w:p>
    <w:p>
      <w:pPr>
        <w:spacing w:after="0" w:line="117"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7.1 Nothing contained in this Agreement confers any right to use in advertising, publicity or other promotional activities any name, trade name, trademark or other designation of either party hereto (including contraction, abbreviation or simulation of any of the foregoing).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8. LIMITED WARRANTIES AND LIMITATIONS ON LIABILITY</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8.1 Licensor represents and warrants to Licensee that: (i) it has the lawful right to enter into this Agreement and grant the rights and licenses hereunder, (ii) Licensor is and shall be the owner of the entire right, title, and interest in and to Licensor’s Patent Rights, (iii) Licensor has not previously granted and will not grant any rights in Licensor’s Patent Rights that are inconsistent with the rights and licenses granted to Licensee herein, (iv) to Licensor’s knowledge, there are no claims of any third parties that would call into question the rights of Licensor to grant to Licensee the rights and licenses granted hereunder, (v) to Licensor’s knowledge, practice of Licensor’s Patent Rights will not infringe intellectual property rights of third parties and (vi) except for Licensor’s Patent Rights, and the inventions disclosed therein, as of the Effective Date, Licensor does not own or control rights to any patent, patent application or invention pertaining to the Invention or the claims of which would dominate any practice of Licensor’s Patent Rights.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8.2 This Agreement does not: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8.2.1 express or imply a warranty or representation as to the validity or scope of any of Licensor’s Patent Rights;</w:t>
      </w:r>
    </w:p>
    <w:p>
      <w:pPr>
        <w:spacing w:after="0" w:line="22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8.2.2 express or imply a warranty or representation that anything made, used, sold, offered for sale or imported or otherwise disposed of under any license granted in this Agreement is or will be free from infringement of patents of third parties;</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8.2.3 obligate Licensor to bring or prosecute actions or suits against third parties for patent infringement except as provided in Article 11 (Patent Infringement);</w:t>
      </w:r>
    </w:p>
    <w:p>
      <w:pPr>
        <w:spacing w:after="0" w:line="170" w:lineRule="exact"/>
        <w:rPr>
          <w:sz w:val="20"/>
          <w:szCs w:val="20"/>
          <w:color w:val="auto"/>
        </w:rPr>
      </w:pPr>
    </w:p>
    <w:p>
      <w:pPr>
        <w:ind w:right="180" w:firstLine="991"/>
        <w:spacing w:after="0" w:line="308" w:lineRule="auto"/>
        <w:rPr>
          <w:sz w:val="20"/>
          <w:szCs w:val="20"/>
          <w:color w:val="auto"/>
        </w:rPr>
      </w:pPr>
      <w:r>
        <w:rPr>
          <w:rFonts w:ascii="Arial" w:cs="Arial" w:eastAsia="Arial" w:hAnsi="Arial"/>
          <w:sz w:val="17"/>
          <w:szCs w:val="17"/>
          <w:color w:val="auto"/>
        </w:rPr>
        <w:t>8.2.4 confer by implication, estoppel or otherwise any license or rights under any patents of Licensor other than Licensor’s Patent Rights as defined in this Agreement, regardless of whether those patents are dominant or subordinate to Licensor’s Patent Rights; or</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8.2.5 obligate Licensor to furnish any know-how not provided in Licensor’s Patent Rights.</w:t>
      </w:r>
    </w:p>
    <w:p>
      <w:pPr>
        <w:spacing w:after="0" w:line="225"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SHALL EITHER PARTY BE LIABLE FOR ANY SPECIAL OR INCIDENTAL DAMAGES, HOWEVER CAUSED AND ON ANY THEORY OF LIABILITY ARISING OUT OF THIS AGREEMENT, AND WHETHER OR NOT SUCH PARTY HAS BEEN ADVISED OF THE POSSIBILITY OF SUCH DAMAGES. THE AGGREGATE LIABILITY OF EACH PARTY UNDER THIS AGREEMENT SHALL NOT EXCEED AMOUNTS PAYABLE OR PAID UNDER THIS AGREEMENT. THESE LIMITATIONS SHALL APPLY NOTWITHSTANDING ANY FAILURE OF ESSENTIAL PURPOSE OF ANY LIMITED REMEDY PROVIDED HEREIN. THE ABOVE LIMITATIONS OF LIABILITY SHALL NOT APPLY TO ANY LIABILITY ARISING OUT OF INDEMNIFICATION OR CONFIDENTIALITY OBLIGATIONS.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21" w:name="page322"/>
    <w:bookmarkEnd w:id="321"/>
    <w:p>
      <w:pPr>
        <w:ind w:right="6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8.4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EXPRESSY SET FORTH HEREIN, EACH PARTY DISCLAIMS ANY AND ALL WARRANTIES, EXPRESS OR IMPLIED, INCLUDING BUT NOT LIMITED TO ANY AND ALL IMPLIED WARRANTIES OF TITLE, MERCHANTABILITY, FITNESS FOR A PARTICULAR PURPOSE, AND NON-INFRINGEMENT.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9. PATENT PROSECUTION AND MAINTENANCE</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9.1 As long as Licensee has paid patent costs as provided for in this Article 15 (Patent Prosecution and Maintenance), Licensor shall diligently endeavor to prosecute and maintain the U.S. and foreign patent applications and patents comprising Licensor’s Patent Rights using counsel of its choice, and Licensor shall provide Licensee with copies of all relevant documentation so that Licensee may be informed of the continuing prosecution, and Licensee agrees to keep this documentation confidential. Licensor’s counsel will take instructions only from Licensor, and all patents and patent applications under this Agreement will be assigned solely to Licensor.</w:t>
      </w:r>
    </w:p>
    <w:p>
      <w:pPr>
        <w:spacing w:after="0" w:line="188"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9.2 Licensor shall use reasonable efforts to amend any patent application to include claims and take such other actions with respect to the filing, prosecution and maintenance of the Licensor’s Patent Rights reasonably requested by Licensee to protect the products and services contemplated to be sold under this Agreement. Licensee to pay cost for such actions requested by Licensee.</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9.3 If requested by Licensor, Licensee shall apply for an extension of the term of any patent included within Licensor’s Patent Rights if appropriate under the Drug Price Competition and Patent Term Restoration Act of 1984 and/or European, Japanese and other foreign counterparts of this Law. Licensee shall prepare all documents and Licensor agrees to execute the documents and to take additional action as Licensee reasonably requests in connection therewith.</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9.4 If either party receives notice pertaining to infringement or potential infringement of any issued patent included within Licensor’s Patent Rights under the Drug Price Competition and Patent Term Restoration Act of 1984 (and/or foreign counterparts of this law), then that party shall notify the other party within 10 days after receipt of notice of infringement.</w:t>
      </w:r>
    </w:p>
    <w:p>
      <w:pPr>
        <w:spacing w:after="0" w:line="1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9.5 Licensee may request Licensor to obtain patent protection on the Invention in foreign countries if available and if it so desires. Licensee shall notify Licensor of its decision to obtain or maintain foreign patents not less than 60 days prior to the deadline for any payment, filing or action to be taken in connection therewith. This notice concerning foreign filing must be in writing, must identify the countries desired and must reaffirm Licensee’s obligation to underwrite the costs thereof. The absence of such a notice from Licensee to Licensor will be considered an election not to obtain or maintain foreign rights.</w:t>
      </w:r>
    </w:p>
    <w:p>
      <w:pPr>
        <w:spacing w:after="0" w:line="188"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9.6 Licensor may file, prosecute or maintain patent applications at its own expense in any country in which Licensee has not elected to file, prosecute or maintain patent applications in accordance with this Article 9 (Patent Prosecution and Maintenance) and those applications and resultant patents will not be subject to this Agreement.</w:t>
      </w:r>
    </w:p>
    <w:p>
      <w:pPr>
        <w:spacing w:after="0" w:line="18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9.7 Licensee shall promptly pay the Licensor the prorata portion with other licensees, all expenses that the Licensor incurs for the prosecution and maintenance of Licensed Patents (this may include PTO fees, outside attorneys, PTO travel, foreign filing costs). Licensor shall bill these expenses as incurred.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PATENT MARKING</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Licensee shall mark all Licensed Products and Services made, used or sold under the terms of this Agreement, or their containers, in accordance with the applicable patent marking laws.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11. PATENT INFRINGEMENT</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11.1 If either party learns of the substantial infringement of any patent licensed under this Agreement, then such party shall call the other party’s attention thereto in writing and provide such other party with reasonable evidence of infringement. Neither party will notify a third party of the infringement of any of Licensor’s Patent Rights without first obtaining consent of the other party, which consent will not be unreasonably denied, conditioned or delayed. Both parties shall use their commercially reasonable efforts in cooperation with each other to terminate infringement without litigation.</w:t>
      </w:r>
    </w:p>
    <w:p>
      <w:pPr>
        <w:spacing w:after="0" w:line="188"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11.2 Licensee may request that Licensor take legal action against the infringement of Licensor’s Patent Rights. Such request must be in writing and must include reasonable evidence of infringement and damages to Licensee. If the infringing activity has not abated within 90 days following the effective date of request, then Licensor has the right to:</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11.2.1 commence suit on its own account; or</w:t>
      </w:r>
    </w:p>
    <w:p>
      <w:pPr>
        <w:spacing w:after="0" w:line="225"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color w:val="auto"/>
        </w:rPr>
        <w:t>11.2.2 refuse to commence suit, in which case Licensor shall give notice of its election in writing to Licensee by the end of the 100th day after receiving notice of written request from Licensee. Licensee may thereafter bring suit for patent infringement, at its own expense, if and only if, Licensor elects not to commence suit and if the infringement occurred during the period and in a jurisdiction where Licensee had exclusive rights under this Agreement. If Licensee elects to bring suit in accordance with this Paragraph 11.2, then Licensor may thereafter at its option join that suit at its own expense. However, if licensor does not voluntarily join the suit, Licensor agrees to be joined as a party to the suit at the request of the licensee. In such an event, licensee will pay the costs involved in joining the Licensor to the suit. Each party agrees not to bring suit for patent infringement without following the procedures of this Paragraph 11.2, and both parties agree to be bound by an order of a court for patent infringement, patent infringement issues and patent infringement defenses as determined through such a suit under this Paragraph 11.2.</w:t>
      </w:r>
    </w:p>
    <w:p>
      <w:pPr>
        <w:spacing w:after="0" w:line="178"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11.3 If Licensor elects not to commence suit, legal action will be at Licensee’s expense and Licensee shall retain all damages recovered thereby. Otherwise, legal action brought by Licensor and fully participated in by both parties will be at the joint and equal expense of the parties and all recoveries from such a suit will first be applied to the litigation costs and fees of the parties bringing suit.</w:t>
      </w:r>
    </w:p>
    <w:p>
      <w:pPr>
        <w:spacing w:after="0" w:line="18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11.4 Each party shall cooperate with the other in litigation proceedings instituted hereunder but at the expense of the party bringing suit. Litigation will be controlled by the party bringing the suit, except that Licensor may be represented by counsel of its choice in any suit brought by Licensee.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12. INDEMNIFICATION</w:t>
      </w:r>
    </w:p>
    <w:p>
      <w:pPr>
        <w:spacing w:after="0" w:line="11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12.1 Licensee shall indemnify, hold harmless and defend Licensor, its officers, employees and agents against any and all claims, suits, losses, liabilities, damages, costs, fees and expenses resulting from product liability arising out of exercise of this license or any sublicense, provided, however, that the indemnified party (i) promptly notifies Licensee of the applicable claim, (ii) gives Licensee sole control of the defense or settlement of such claim and (iii) provides Licensee, at its expense, with reasonable assistance and full information with respect to such claim. Notwithstanding the foregoing, Licensee shall have no obligations for any claim if the indemnified party makes any admission, settlement or other communication regarding such claim without the prior written consent of Licensee, which consent shall not be unreasonably withheld.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23" w:name="page324"/>
    <w:bookmarkEnd w:id="323"/>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12.2 Licensee, at its sole cost and expense, shall insure its activities in connection with the work under this Agreement and obtain, keep in force and maintain insurance as set forth in Paragraph 18.3 or an equivalent program of self-insurance.</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12.3 Comprehensive or commercial form general liability insurance (contractual liability included), commencing prior to trials involving humans, with limits as follows:</w:t>
      </w:r>
    </w:p>
    <w:p>
      <w:pPr>
        <w:spacing w:after="0" w:line="76" w:lineRule="exact"/>
        <w:rPr>
          <w:sz w:val="20"/>
          <w:szCs w:val="20"/>
          <w:color w:val="auto"/>
        </w:rPr>
      </w:pPr>
    </w:p>
    <w:p>
      <w:pPr>
        <w:ind w:left="964" w:hanging="424"/>
        <w:spacing w:after="0"/>
        <w:tabs>
          <w:tab w:leader="none" w:pos="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Occurrence $1,000,000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Products/Completed Operations Aggregate $5,000,000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Personal and Advertising Injury $1,000,000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General Aggregate (commercial form only) $5,000,000</w:t>
      </w:r>
    </w:p>
    <w:p>
      <w:pPr>
        <w:spacing w:after="0" w:line="22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The coverage and limits referred to under the above do not in any way limit the liability of Licensee. Licensee shall furnish Licensor with certificates of insurance showing compliance with all requirements. Certificates must:</w:t>
      </w:r>
    </w:p>
    <w:p>
      <w:pPr>
        <w:spacing w:after="0" w:line="76" w:lineRule="exact"/>
        <w:rPr>
          <w:sz w:val="20"/>
          <w:szCs w:val="20"/>
          <w:color w:val="auto"/>
        </w:rPr>
      </w:pPr>
    </w:p>
    <w:p>
      <w:pPr>
        <w:ind w:left="964" w:hanging="424"/>
        <w:spacing w:after="0"/>
        <w:tabs>
          <w:tab w:leader="none" w:pos="96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Provide for 30 day advance written notice to Licensor of any modification.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Indicate that Licensor has been endorsed as an additional insured under the coverage referred to above.</w:t>
      </w:r>
    </w:p>
    <w:p>
      <w:pPr>
        <w:spacing w:after="0" w:line="130" w:lineRule="exact"/>
        <w:rPr>
          <w:rFonts w:ascii="Arial" w:cs="Arial" w:eastAsia="Arial" w:hAnsi="Arial"/>
          <w:sz w:val="18"/>
          <w:szCs w:val="18"/>
          <w:color w:val="auto"/>
        </w:rPr>
      </w:pPr>
    </w:p>
    <w:p>
      <w:pPr>
        <w:ind w:left="964" w:right="560" w:hanging="424"/>
        <w:spacing w:after="0" w:line="277" w:lineRule="auto"/>
        <w:tabs>
          <w:tab w:leader="none" w:pos="96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Include a provision that the coverage will be primary and will not participate with nor will be excess over any valid and collectable insurance or program of self insurance carried or maintained by Licensor.</w:t>
      </w:r>
    </w:p>
    <w:p>
      <w:pPr>
        <w:spacing w:after="0" w:line="170"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12.4 Licensor shall notify Licensee in writing of any claim or suit brought against Licensor in respect of which Licensor intends to invoke the provisions of this Article 12 (Indemnification). Licensee shall keep Licensor informed on a current basis of its defense of any claims under this Article 18 (Indemnification).</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13. CONFIDENTIALITY</w:t>
      </w:r>
    </w:p>
    <w:p>
      <w:pPr>
        <w:spacing w:after="0" w:line="117"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13.1 Except as otherwise provided herein, each party shall maintain in confidence, and shall not use for any purpose or disclose to any third party information disclosed by the other party in writing and marked “Confidential” or that is disclosed orally and confirmed in writing as confidential within</w:t>
      </w:r>
    </w:p>
    <w:p>
      <w:pPr>
        <w:ind w:left="4"/>
        <w:spacing w:after="0"/>
        <w:rPr>
          <w:sz w:val="20"/>
          <w:szCs w:val="20"/>
          <w:color w:val="auto"/>
        </w:rPr>
      </w:pPr>
      <w:r>
        <w:rPr>
          <w:rFonts w:ascii="Arial" w:cs="Arial" w:eastAsia="Arial" w:hAnsi="Arial"/>
          <w:sz w:val="17"/>
          <w:szCs w:val="17"/>
          <w:color w:val="auto"/>
        </w:rPr>
        <w:t>45 days following such disclosure (collectively, “Confidential Information”). Confidential Information shall not include any information that is:</w:t>
      </w:r>
    </w:p>
    <w:p>
      <w:pPr>
        <w:spacing w:after="0" w:line="21" w:lineRule="exact"/>
        <w:rPr>
          <w:sz w:val="20"/>
          <w:szCs w:val="20"/>
          <w:color w:val="auto"/>
        </w:rPr>
      </w:pPr>
    </w:p>
    <w:p>
      <w:pPr>
        <w:jc w:val="both"/>
        <w:ind w:left="4" w:right="100" w:hanging="4"/>
        <w:spacing w:after="0" w:line="281" w:lineRule="auto"/>
        <w:tabs>
          <w:tab w:leader="none" w:pos="21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already known to the receiving party at the time of disclosure hereunder, or (ii) now or hereafter becomes publicly known other than through acts or omissions of the receiving party, or (iii) disclosed to the receiving party by a third party under no obligation of confidentiality to the disclosing party or</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reference to the Confidential Information of the disclosing party.</w:t>
      </w:r>
    </w:p>
    <w:p>
      <w:pPr>
        <w:spacing w:after="0" w:line="21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13.2 Notwithstanding the provisions of Paragraph 13.1 above, each party may use or disclose Confidential Information in exercising its rights hereunder or fulfilling its obligations and duties hereunder and in prosecuting or maintaining any proprietary rights, prosecuting or defending litigation, complying with applicable governmental regulations and submitting information to tax or other governmental authorities, provided that if the party is required by law to make any public disclosures of Confidential Information of the other, to the extent it may legally do so, the party will give reasonable advance notice to the other of such disclosure and will use its reasonable efforts to secure confidential treatment of Confidential Information prior to its disclosure (whether through protective orders or otherwise).</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 NOTICES</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14.1 Any notice or payment required to be given to either party shall be deemed to have been properly given and to be effective as of the date specified below if delivered to the respective address or facsimile number given below or to another address or facsimile number as designated by written notice given to the other party:</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14.1.1 on the date of delivery if delivered in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14.1.2 on the date of mailing if mailed by first-class certified mail, postage paid;</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14.1.3 on the date of mailing if mailed by any global express courier service that requires recipient to sign the documents demonstrating the delivery of such notice or payment; or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14.1.4 on the date of transmission if sent by facsimile with confirmation of transmission.</w:t>
      </w:r>
    </w:p>
    <w:p>
      <w:pPr>
        <w:sectPr>
          <w:pgSz w:w="11900" w:h="16838" w:orient="portrait"/>
          <w:cols w:equalWidth="0" w:num="1">
            <w:col w:w="10820"/>
          </w:cols>
          <w:pgMar w:left="440" w:top="274" w:right="639" w:bottom="1440" w:gutter="0" w:footer="0" w:header="0"/>
        </w:sectPr>
      </w:pP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 the case of Licensee: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Rani Therapeutics, LLC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2051 Ringwood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200" w:lineRule="exact"/>
        <w:rPr>
          <w:sz w:val="20"/>
          <w:szCs w:val="20"/>
          <w:color w:val="auto"/>
        </w:rPr>
      </w:pPr>
    </w:p>
    <w:p>
      <w:pPr>
        <w:sectPr>
          <w:pgSz w:w="11900" w:h="16838" w:orient="portrait"/>
          <w:cols w:equalWidth="0" w:num="2">
            <w:col w:w="3260" w:space="380"/>
            <w:col w:w="7180"/>
          </w:cols>
          <w:pgMar w:left="440" w:top="274" w:right="639" w:bottom="1440" w:gutter="0" w:footer="0" w:header="0"/>
          <w:type w:val="continuous"/>
        </w:sectPr>
      </w:pPr>
    </w:p>
    <w:p>
      <w:pPr>
        <w:spacing w:after="0" w:line="1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In the case of Licensor: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InCube Labs,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2051 Ringwood Avenue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200" w:lineRule="exact"/>
        <w:rPr>
          <w:sz w:val="20"/>
          <w:szCs w:val="20"/>
          <w:color w:val="auto"/>
        </w:rPr>
      </w:pPr>
    </w:p>
    <w:p>
      <w:pPr>
        <w:sectPr>
          <w:pgSz w:w="11900" w:h="16838" w:orient="portrait"/>
          <w:cols w:equalWidth="0" w:num="2">
            <w:col w:w="3260" w:space="380"/>
            <w:col w:w="7180"/>
          </w:cols>
          <w:pgMar w:left="440" w:top="274" w:right="6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15. ASSIGNABILITY.</w:t>
      </w:r>
    </w:p>
    <w:p>
      <w:pPr>
        <w:spacing w:after="0" w:line="117"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Each party may assign this agreement in whole or in part to a party succeeding to substantially all of the assigning party’s assets relating to this Agreement. Upon a permitted assignment of this Agreement by a party, all references herein to such party shall be deemed a reference to the assignee. Any other attempt to transfer or assign shall be void without the prior written consent of the other party. Subject to the foregoing, this Agreement shall be binding upon and inure to the benefit of each party and their respective successors and authorized assigns.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16. NO WAIVER.</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No waiver by either party of any default of this Agreement may be deemed a waiver of any subsequent or similar default. A suspension of duty under this Agreement due to force majeure shall not be for a period longer than 1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17. FAILURE TO PERFORM.</w:t>
      </w:r>
    </w:p>
    <w:p>
      <w:pPr>
        <w:spacing w:after="0" w:line="11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Subject to Article 20, if either party finds it necessary to undertake legal action against the other on account of failure of performance due under this Agreement, then the prevailing party is entitled to reasonable attorney’s fees in addition to costs and necessary disbursements.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18. GOVERNING LAWS.</w:t>
      </w:r>
    </w:p>
    <w:p>
      <w:pPr>
        <w:spacing w:after="0" w:line="117"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THIS AGREEMENT WILL BE INTERPRETED AND CONSTRUED IN ACCORDANCE WITH THE LAWS OF THE STATE OF CALIFORNIA WITHOUT REGARD TO CONFLICT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440" w:top="274" w:right="639" w:bottom="1440" w:gutter="0" w:footer="0" w:header="0"/>
          <w:type w:val="continuous"/>
        </w:sectPr>
      </w:pPr>
    </w:p>
    <w:bookmarkStart w:id="325" w:name="page326"/>
    <w:bookmarkEnd w:id="325"/>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LAWS OR TO WHICH PARTY DRAFTED PARTICULAR PROVISIONS OF THIS AGREEMENT, but the scope and validity of any patent or patent application will be governed by the applicable laws of the country of the patent or patent application. Disputes between the parties regarding this Agreement will utilize only trial courts within California for disputes that go to court.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19. EXPORT CONTROL LAWS.</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Licensee shall observe all applicable U.S. and foreign laws with respect to the transfer of Licensed Products and Services and related technical data to foreign countries, including, without limitation, the International Traffic in Arms Regulations (ITAR) and the Export Administration Regulations.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20. DISPUTE RESOLUTION</w:t>
      </w:r>
    </w:p>
    <w:p>
      <w:pPr>
        <w:spacing w:after="0" w:line="11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Both parties shall undertake all reasonable best efforts to resolve in an amicable manner any dispute arising in connection with this Agreement. Any dispute arising between the parties in connection with this Agreement which cannot be resolved through good faith negotiation shall be referred to binding arbitration in San Jose, California, U.S.A. to be conducted by the Judicial Arbitration and Mediation Services, Inc. (or any successor entity thereto) (“JAMS”) under its rules of arbitration then in effect, except as modified in this Agreement. The arbitration shall be conducted by a single arbitrator. The arbitrator shall engage an independent expert with experience in the subject matter of the dispute to advise the arbitrator. If the parties are unable to agree upon an arbitrator, one shall be chosen by JAMS. The decision of the arbitrator, including any award, shall be final and binding upon the parties. Any decision of the arbitrator may be entered in a court of competent jurisdiction for judicial recognition of the decision and an order of enforcement. The arbitration proceedings and the decision of the arbitrator shall not be made public without the written consent of both parties, and each party shall maintain the confidentiality of such proceedings and decision, unless otherwise agreed in writing by the parties. The parties agree that they shall share equally the cost of the arbitration filing and hearing fees, the cost of the independent expert retained by the arbitrator and the cost of the arbitrator and administrative fees of JAMS. Each party shall bear its own costs and attorneys’ and witnesses’ fees and associated costs and expenses. Pending the selection of the arbitrator or pending the arbitrator’s determination of the merits of any dispute, either party may seek appropriate interim or provisional relief from any court of competent jurisdiction as necessary to protect the rights or property of that party. Notwithstanding the foregoing, any dispute or controversy relating to the inventorship and ownership of any invention or the scope, validity, enforceability or infringement of any intellectual property rights shall be submitted to a court of competent jurisdiction in the territory in which such intellectual property rights were granted or arose.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21. MISCELLANEOUS</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21.1 The headings of the several sections are inserted for convenience of reference only and are not intended to be a part of or to affect the meaning or interpretation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21.2 This Agreement is not binding on the parties until it has been signed below on behalf of each party. It is then effective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 No amendment or modification of this Agreement is valid or binding on the parties unless made in writing and signed on behalf of each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right="900" w:firstLine="440"/>
        <w:spacing w:after="0" w:line="277" w:lineRule="auto"/>
        <w:rPr>
          <w:sz w:val="20"/>
          <w:szCs w:val="20"/>
          <w:color w:val="auto"/>
        </w:rPr>
      </w:pPr>
      <w:r>
        <w:rPr>
          <w:rFonts w:ascii="Arial" w:cs="Arial" w:eastAsia="Arial" w:hAnsi="Arial"/>
          <w:sz w:val="18"/>
          <w:szCs w:val="18"/>
          <w:color w:val="auto"/>
        </w:rPr>
        <w:t>21.4 This Agreement embodies the entire understanding of the parties and supersedes all previous communications, representations or understandings, either oral or written, between the parties relating to the subject matter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6" w:name="page327"/>
    <w:bookmarkEnd w:id="326"/>
    <w:p>
      <w:pPr>
        <w:ind w:right="3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21.5 In case any of the provisions contained in this Agreement is held to be invalid, illegal or unenforceable in any respect, that invalidity, illegality or unenforceability will not affect any other provisions of this Agreement and this Agreement will be construed as if the invalid, illegal or unenforceable provisions had never been contained in it.</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21.6 None of the provisions of this Agreement is intended to create any form of joint venture between the parties, rights in third parties or rights that are enforceable by any third ply.</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21.7 Notwithstanding the foregoing, the Licensee agrees and acknowledges that the Licensor is subject to preexisting obligations with respect to the development, assignment and confidentiality of intellectual property that is developed, in whole or in part, by Mir Imran or by InCube Labs, LLC, or with the use of funds contributed by InCube Labs, LLC. Licensee agrees that its rights to any such information as provided for hereunder are in all cases subject to and limited by licensor’s preexisting rights, and that in the event of any conflict between such preexisting rights and the rights of the licensee set forth hereunder, the preexisting rights shall prevail.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27" w:name="page328"/>
    <w:bookmarkEnd w:id="32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both Licensor and Licensee have executed this Agreement by their respective and duly authorized officers on the day and year written.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LICENSOR</w:t>
            </w:r>
          </w:p>
        </w:tc>
        <w:tc>
          <w:tcPr>
            <w:tcW w:w="5780" w:type="dxa"/>
            <w:vAlign w:val="bottom"/>
            <w:gridSpan w:val="4"/>
          </w:tcPr>
          <w:p>
            <w:pPr>
              <w:ind w:left="1420"/>
              <w:spacing w:after="0"/>
              <w:rPr>
                <w:sz w:val="20"/>
                <w:szCs w:val="20"/>
                <w:color w:val="auto"/>
              </w:rPr>
            </w:pPr>
            <w:r>
              <w:rPr>
                <w:rFonts w:ascii="Arial" w:cs="Arial" w:eastAsia="Arial" w:hAnsi="Arial"/>
                <w:sz w:val="18"/>
                <w:szCs w:val="18"/>
                <w:b w:val="1"/>
                <w:bCs w:val="1"/>
                <w:color w:val="auto"/>
              </w:rPr>
              <w:t>LICENSEE</w:t>
            </w:r>
          </w:p>
        </w:tc>
        <w:tc>
          <w:tcPr>
            <w:tcW w:w="40" w:type="dxa"/>
            <w:vAlign w:val="bottom"/>
          </w:tcPr>
          <w:p>
            <w:pPr>
              <w:spacing w:after="0"/>
              <w:rPr>
                <w:sz w:val="20"/>
                <w:szCs w:val="20"/>
                <w:color w:val="auto"/>
              </w:rPr>
            </w:pPr>
          </w:p>
        </w:tc>
      </w:tr>
      <w:tr>
        <w:trPr>
          <w:trHeight w:val="432"/>
        </w:trPr>
        <w:tc>
          <w:tcPr>
            <w:tcW w:w="4320" w:type="dxa"/>
            <w:vAlign w:val="bottom"/>
            <w:gridSpan w:val="4"/>
          </w:tcPr>
          <w:p>
            <w:pPr>
              <w:spacing w:after="0"/>
              <w:rPr>
                <w:sz w:val="20"/>
                <w:szCs w:val="20"/>
                <w:color w:val="auto"/>
              </w:rPr>
            </w:pPr>
            <w:r>
              <w:rPr>
                <w:rFonts w:ascii="Arial" w:cs="Arial" w:eastAsia="Arial" w:hAnsi="Arial"/>
                <w:sz w:val="18"/>
                <w:szCs w:val="18"/>
                <w:b w:val="1"/>
                <w:bCs w:val="1"/>
                <w:color w:val="auto"/>
              </w:rPr>
              <w:t>InCube Labs, LLC</w:t>
            </w:r>
          </w:p>
        </w:tc>
        <w:tc>
          <w:tcPr>
            <w:tcW w:w="5780" w:type="dxa"/>
            <w:vAlign w:val="bottom"/>
            <w:gridSpan w:val="4"/>
          </w:tcPr>
          <w:p>
            <w:pPr>
              <w:ind w:left="1420"/>
              <w:spacing w:after="0"/>
              <w:rPr>
                <w:sz w:val="20"/>
                <w:szCs w:val="20"/>
                <w:color w:val="auto"/>
              </w:rPr>
            </w:pPr>
            <w:r>
              <w:rPr>
                <w:rFonts w:ascii="Arial" w:cs="Arial" w:eastAsia="Arial" w:hAnsi="Arial"/>
                <w:sz w:val="18"/>
                <w:szCs w:val="18"/>
                <w:b w:val="1"/>
                <w:bCs w:val="1"/>
                <w:color w:val="auto"/>
              </w:rPr>
              <w:t>Rani Therapeutics, LLC</w:t>
            </w:r>
          </w:p>
        </w:tc>
        <w:tc>
          <w:tcPr>
            <w:tcW w:w="40" w:type="dxa"/>
            <w:vAlign w:val="bottom"/>
          </w:tcPr>
          <w:p>
            <w:pPr>
              <w:spacing w:after="0"/>
              <w:rPr>
                <w:sz w:val="24"/>
                <w:szCs w:val="24"/>
                <w:color w:val="auto"/>
              </w:rPr>
            </w:pPr>
          </w:p>
        </w:tc>
      </w:tr>
      <w:tr>
        <w:trPr>
          <w:trHeight w:val="283"/>
        </w:trPr>
        <w:tc>
          <w:tcPr>
            <w:tcW w:w="4320" w:type="dxa"/>
            <w:vAlign w:val="bottom"/>
            <w:gridSpan w:val="4"/>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Mir Imran</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Mir Imran</w:t>
            </w:r>
          </w:p>
        </w:tc>
        <w:tc>
          <w:tcPr>
            <w:tcW w:w="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72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304"/>
        </w:trPr>
        <w:tc>
          <w:tcPr>
            <w:tcW w:w="4320" w:type="dxa"/>
            <w:vAlign w:val="bottom"/>
            <w:gridSpan w:val="4"/>
          </w:tcPr>
          <w:p>
            <w:pPr>
              <w:spacing w:after="0"/>
              <w:rPr>
                <w:sz w:val="20"/>
                <w:szCs w:val="20"/>
                <w:color w:val="auto"/>
              </w:rPr>
            </w:pPr>
            <w:r>
              <w:rPr>
                <w:rFonts w:ascii="Arial" w:cs="Arial" w:eastAsia="Arial" w:hAnsi="Arial"/>
                <w:sz w:val="18"/>
                <w:szCs w:val="18"/>
                <w:color w:val="auto"/>
              </w:rPr>
              <w:t>Name: Mir Imran</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Name: Mir Imran</w:t>
            </w:r>
          </w:p>
        </w:tc>
        <w:tc>
          <w:tcPr>
            <w:tcW w:w="40" w:type="dxa"/>
            <w:vAlign w:val="bottom"/>
          </w:tcPr>
          <w:p>
            <w:pPr>
              <w:spacing w:after="0"/>
              <w:rPr>
                <w:sz w:val="24"/>
                <w:szCs w:val="24"/>
                <w:color w:val="auto"/>
              </w:rPr>
            </w:pPr>
          </w:p>
        </w:tc>
      </w:tr>
      <w:tr>
        <w:trPr>
          <w:trHeight w:val="20"/>
        </w:trPr>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320" w:type="dxa"/>
            <w:vAlign w:val="bottom"/>
            <w:gridSpan w:val="4"/>
          </w:tcPr>
          <w:p>
            <w:pPr>
              <w:spacing w:after="0"/>
              <w:rPr>
                <w:sz w:val="20"/>
                <w:szCs w:val="20"/>
                <w:color w:val="auto"/>
              </w:rPr>
            </w:pPr>
            <w:r>
              <w:rPr>
                <w:rFonts w:ascii="Arial" w:cs="Arial" w:eastAsia="Arial" w:hAnsi="Arial"/>
                <w:sz w:val="18"/>
                <w:szCs w:val="18"/>
                <w:color w:val="auto"/>
              </w:rPr>
              <w:t>Title: Chairman</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Title: President</w:t>
            </w:r>
          </w:p>
        </w:tc>
        <w:tc>
          <w:tcPr>
            <w:tcW w:w="40" w:type="dxa"/>
            <w:vAlign w:val="bottom"/>
          </w:tcPr>
          <w:p>
            <w:pPr>
              <w:spacing w:after="0"/>
              <w:rPr>
                <w:sz w:val="24"/>
                <w:szCs w:val="24"/>
                <w:color w:val="auto"/>
              </w:rPr>
            </w:pPr>
          </w:p>
        </w:tc>
      </w:tr>
      <w:tr>
        <w:trPr>
          <w:trHeight w:val="20"/>
        </w:trPr>
        <w:tc>
          <w:tcPr>
            <w:tcW w:w="440" w:type="dxa"/>
            <w:vAlign w:val="bottom"/>
            <w:tcBorders>
              <w:right w:val="single" w:sz="8" w:color="auto"/>
            </w:tcBorders>
            <w:gridSpan w:val="2"/>
          </w:tcPr>
          <w:p>
            <w:pPr>
              <w:spacing w:after="0" w:line="20" w:lineRule="exact"/>
              <w:rPr>
                <w:sz w:val="1"/>
                <w:szCs w:val="1"/>
                <w:color w:val="auto"/>
              </w:rPr>
            </w:pPr>
          </w:p>
        </w:tc>
        <w:tc>
          <w:tcPr>
            <w:tcW w:w="3880" w:type="dxa"/>
            <w:vAlign w:val="bottom"/>
            <w:gridSpan w:val="2"/>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94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304"/>
        </w:trPr>
        <w:tc>
          <w:tcPr>
            <w:tcW w:w="4320" w:type="dxa"/>
            <w:vAlign w:val="bottom"/>
            <w:gridSpan w:val="4"/>
          </w:tcPr>
          <w:p>
            <w:pPr>
              <w:spacing w:after="0"/>
              <w:rPr>
                <w:sz w:val="20"/>
                <w:szCs w:val="20"/>
                <w:color w:val="auto"/>
              </w:rPr>
            </w:pPr>
            <w:r>
              <w:rPr>
                <w:rFonts w:ascii="Arial" w:cs="Arial" w:eastAsia="Arial" w:hAnsi="Arial"/>
                <w:sz w:val="18"/>
                <w:szCs w:val="18"/>
                <w:color w:val="auto"/>
              </w:rPr>
              <w:t>Date: June 14, 2012</w:t>
            </w:r>
          </w:p>
        </w:tc>
        <w:tc>
          <w:tcPr>
            <w:tcW w:w="5780" w:type="dxa"/>
            <w:vAlign w:val="bottom"/>
            <w:gridSpan w:val="4"/>
          </w:tcPr>
          <w:p>
            <w:pPr>
              <w:ind w:left="1420"/>
              <w:spacing w:after="0"/>
              <w:rPr>
                <w:sz w:val="20"/>
                <w:szCs w:val="20"/>
                <w:color w:val="auto"/>
              </w:rPr>
            </w:pPr>
            <w:r>
              <w:rPr>
                <w:rFonts w:ascii="Arial" w:cs="Arial" w:eastAsia="Arial" w:hAnsi="Arial"/>
                <w:sz w:val="18"/>
                <w:szCs w:val="18"/>
                <w:color w:val="auto"/>
              </w:rPr>
              <w:t>Date: June 14, 2012</w:t>
            </w:r>
          </w:p>
        </w:tc>
        <w:tc>
          <w:tcPr>
            <w:tcW w:w="40" w:type="dxa"/>
            <w:vAlign w:val="bottom"/>
          </w:tcPr>
          <w:p>
            <w:pPr>
              <w:spacing w:after="0"/>
              <w:rPr>
                <w:sz w:val="24"/>
                <w:szCs w:val="24"/>
                <w:color w:val="auto"/>
              </w:rPr>
            </w:pPr>
          </w:p>
        </w:tc>
      </w:tr>
      <w:tr>
        <w:trPr>
          <w:trHeight w:val="385"/>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720" w:type="dxa"/>
            <w:vAlign w:val="bottom"/>
          </w:tcPr>
          <w:p>
            <w:pPr>
              <w:ind w:left="1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bl>
    <w:p>
      <w:pPr>
        <w:sectPr>
          <w:pgSz w:w="11900" w:h="16838" w:orient="portrait"/>
          <w:cols w:equalWidth="0" w:num="1">
            <w:col w:w="11000"/>
          </w:cols>
          <w:pgMar w:left="440" w:top="274" w:right="459" w:bottom="1440" w:gutter="0" w:footer="0" w:header="0"/>
        </w:sectPr>
      </w:pPr>
    </w:p>
    <w:bookmarkStart w:id="328" w:name="page329"/>
    <w:bookmarkEnd w:id="32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LICENSOR’S PATENT RIGHTS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019"/>
          </w:cols>
          <w:pgMar w:left="1440" w:top="274" w:right="1440"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RANI-InCube Labs IP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RANI-InCube Labs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Agreement</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agreement dated June 14, 2012, is hereby made by and between InCube Labs LLC (“InCube”) and Rani Therapeutics, LLC. (“RANI”), both having an address at 2051 Ringwood Ave, San Jose CA 95131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225" w:lineRule="exact"/>
        <w:rPr>
          <w:sz w:val="20"/>
          <w:szCs w:val="20"/>
          <w:color w:val="auto"/>
        </w:rPr>
      </w:pPr>
    </w:p>
    <w:p>
      <w:pPr>
        <w:ind w:right="180" w:firstLine="1428"/>
        <w:spacing w:after="0" w:line="277" w:lineRule="auto"/>
        <w:tabs>
          <w:tab w:leader="none" w:pos="164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“Field” means “ORAL DELIVERY OF BIOTHERAPEUTIC AGENTS SUCH AS PEPTIDES, PROTEINS &amp; ANTIBODIES” but excludes “SWALLOWABLE DEVICES THAT DO NOT DELIVER SUCH DRUGS”.</w:t>
      </w:r>
    </w:p>
    <w:p>
      <w:pPr>
        <w:spacing w:after="0" w:line="170" w:lineRule="exact"/>
        <w:rPr>
          <w:rFonts w:ascii="Arial" w:cs="Arial" w:eastAsia="Arial" w:hAnsi="Arial"/>
          <w:sz w:val="18"/>
          <w:szCs w:val="18"/>
          <w:color w:val="auto"/>
        </w:rPr>
      </w:pPr>
    </w:p>
    <w:p>
      <w:pPr>
        <w:ind w:right="80" w:firstLine="1428"/>
        <w:spacing w:after="0" w:line="277" w:lineRule="auto"/>
        <w:tabs>
          <w:tab w:leader="none" w:pos="169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a “Licensed Product” means a product, the manufacture, sale or use of which would but for the license granted herein, infringe a claim of a Multi-Field Patent in the country for which such product is sold.</w:t>
      </w:r>
    </w:p>
    <w:p>
      <w:pPr>
        <w:spacing w:after="0" w:line="170" w:lineRule="exact"/>
        <w:rPr>
          <w:rFonts w:ascii="Arial" w:cs="Arial" w:eastAsia="Arial" w:hAnsi="Arial"/>
          <w:sz w:val="18"/>
          <w:szCs w:val="18"/>
          <w:color w:val="auto"/>
        </w:rPr>
      </w:pPr>
    </w:p>
    <w:p>
      <w:pPr>
        <w:ind w:right="340" w:firstLine="1428"/>
        <w:spacing w:after="0" w:line="263" w:lineRule="auto"/>
        <w:tabs>
          <w:tab w:leader="none" w:pos="174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a “Patent Right” means patent applications and any and all divisionals, continuations, continuations-in-part, reexaminations, extensions, substitutions, reissues, renewals, additions and foreign counterparts thereto, including all United States and foreign patents issuing therefrom,”</w:t>
      </w:r>
    </w:p>
    <w:p>
      <w:pPr>
        <w:spacing w:after="0" w:line="183" w:lineRule="exact"/>
        <w:rPr>
          <w:rFonts w:ascii="Arial" w:cs="Arial" w:eastAsia="Arial" w:hAnsi="Arial"/>
          <w:sz w:val="18"/>
          <w:szCs w:val="18"/>
          <w:color w:val="auto"/>
        </w:rPr>
      </w:pPr>
    </w:p>
    <w:p>
      <w:pPr>
        <w:ind w:right="500" w:firstLine="1428"/>
        <w:spacing w:after="0" w:line="277" w:lineRule="auto"/>
        <w:tabs>
          <w:tab w:leader="none" w:pos="1737" w:val="left"/>
        </w:tabs>
        <w:numPr>
          <w:ilvl w:val="2"/>
          <w:numId w:val="207"/>
        </w:numPr>
        <w:rPr>
          <w:rFonts w:ascii="Arial" w:cs="Arial" w:eastAsia="Arial" w:hAnsi="Arial"/>
          <w:sz w:val="18"/>
          <w:szCs w:val="18"/>
          <w:color w:val="auto"/>
        </w:rPr>
      </w:pPr>
      <w:r>
        <w:rPr>
          <w:rFonts w:ascii="Arial" w:cs="Arial" w:eastAsia="Arial" w:hAnsi="Arial"/>
          <w:sz w:val="18"/>
          <w:szCs w:val="18"/>
          <w:color w:val="auto"/>
        </w:rPr>
        <w:t>an “Intellectual Property Right” means any and all intellectual property rights in addition to a Patent Right including trade secrets, trademarks and copyrights</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208"/>
        </w:numPr>
        <w:rPr>
          <w:rFonts w:ascii="Arial" w:cs="Arial" w:eastAsia="Arial" w:hAnsi="Arial"/>
          <w:sz w:val="18"/>
          <w:szCs w:val="18"/>
          <w:color w:val="auto"/>
        </w:rPr>
      </w:pPr>
      <w:r>
        <w:rPr>
          <w:rFonts w:ascii="Arial" w:cs="Arial" w:eastAsia="Arial" w:hAnsi="Arial"/>
          <w:sz w:val="18"/>
          <w:szCs w:val="18"/>
          <w:i w:val="1"/>
          <w:iCs w:val="1"/>
          <w:color w:val="auto"/>
        </w:rPr>
        <w:t>Intellectual Property Rights</w:t>
      </w:r>
    </w:p>
    <w:p>
      <w:pPr>
        <w:spacing w:after="0" w:line="225" w:lineRule="exact"/>
        <w:rPr>
          <w:rFonts w:ascii="Arial" w:cs="Arial" w:eastAsia="Arial" w:hAnsi="Arial"/>
          <w:sz w:val="18"/>
          <w:szCs w:val="18"/>
          <w:color w:val="auto"/>
        </w:rPr>
      </w:pPr>
    </w:p>
    <w:p>
      <w:pPr>
        <w:ind w:right="40" w:firstLine="991"/>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Assignment</w:t>
      </w:r>
      <w:r>
        <w:rPr>
          <w:rFonts w:ascii="Arial" w:cs="Arial" w:eastAsia="Arial" w:hAnsi="Arial"/>
          <w:sz w:val="17"/>
          <w:szCs w:val="17"/>
          <w:color w:val="auto"/>
        </w:rPr>
        <w:t>. Any inventions, discoveries, improvements, works of authorship or ideas solely in the Field herein made or conceived by InCube during the Term of the Agreement that arise out of the services performed hereunder during the Term of the Agreement (collectively, “InCube Inventions”) shall be the property of RANI. InCube hereby irrevocably assigns to RANI all of InCube’s right, title and interest in such InCube Inventions that are solely in the Field, including all intellectual property rights embodied therein. InCube agrees to execute and/or deliver all domestic or foreign papers, applications for patents or copyright registrations, including assignments, powers of attorney, declarations and affidavits or other documents which may be necessary for RANI to secure and enforce patents or copyright registrations covering Incube Inventions in the Field. If RANI seeks to obtain patent protection or copyright registration for any Incube Inventions in the Field, InCube will assist RANI in filing and prosecuting such United States and foreign patent or copyright registration applications claiming or embodying any Incube Inventions in the Field; provided, however, that InCube shall be promptly and fully reimbursed for all reasonable and actual costs and expenses related to responding to any request under this paragraph.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RANI-InCube Labs IP Agreement</w:t>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To the extent that a patent, patent application or other Intellectual Property Right resulting from an InCube Invention has applicability outside the </w:t>
      </w:r>
      <w:r>
        <w:rPr>
          <w:rFonts w:ascii="Arial" w:cs="Arial" w:eastAsia="Arial" w:hAnsi="Arial"/>
          <w:sz w:val="17"/>
          <w:szCs w:val="17"/>
          <w:b w:val="1"/>
          <w:bCs w:val="1"/>
          <w:color w:val="auto"/>
        </w:rPr>
        <w:t xml:space="preserve">Field </w:t>
      </w:r>
      <w:r>
        <w:rPr>
          <w:rFonts w:ascii="Arial" w:cs="Arial" w:eastAsia="Arial" w:hAnsi="Arial"/>
          <w:sz w:val="17"/>
          <w:szCs w:val="17"/>
          <w:color w:val="auto"/>
        </w:rPr>
        <w:t>(herein a</w:t>
      </w:r>
      <w:r>
        <w:rPr>
          <w:rFonts w:ascii="Arial" w:cs="Arial" w:eastAsia="Arial" w:hAnsi="Arial"/>
          <w:sz w:val="17"/>
          <w:szCs w:val="17"/>
          <w:b w:val="1"/>
          <w:bCs w:val="1"/>
          <w:color w:val="auto"/>
        </w:rPr>
        <w:t xml:space="preserve"> Multi-Field Intellectual Property Right </w:t>
      </w:r>
      <w:r>
        <w:rPr>
          <w:rFonts w:ascii="Arial" w:cs="Arial" w:eastAsia="Arial" w:hAnsi="Arial"/>
          <w:sz w:val="17"/>
          <w:szCs w:val="17"/>
          <w:color w:val="auto"/>
        </w:rPr>
        <w:t>“”), the parties agree that InCube will own such</w:t>
      </w:r>
      <w:r>
        <w:rPr>
          <w:rFonts w:ascii="Arial" w:cs="Arial" w:eastAsia="Arial" w:hAnsi="Arial"/>
          <w:sz w:val="17"/>
          <w:szCs w:val="17"/>
          <w:b w:val="1"/>
          <w:bCs w:val="1"/>
          <w:color w:val="auto"/>
        </w:rPr>
        <w:t xml:space="preserve"> Multi-Field Intellectual Property Rights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will have the responsibility for prosecuting and maintaining any patent application, patent or other Intellectual Property Right associated with the Multi-Field Intellectual Property Right (such patents and patent applications being referred to herein as Multi-field Patents), when and if issued. InCube hereby grants RANI an exclusive, perpetual, irrevocable, transferable, sublicenseable, worldwide right and license in the Field to develop, make, have made, use, sell, offer for sale, import, export and otherwise commercialize Licensed Products (herein a </w:t>
      </w:r>
      <w:r>
        <w:rPr>
          <w:rFonts w:ascii="Arial" w:cs="Arial" w:eastAsia="Arial" w:hAnsi="Arial"/>
          <w:sz w:val="17"/>
          <w:szCs w:val="17"/>
          <w:b w:val="1"/>
          <w:bCs w:val="1"/>
          <w:color w:val="auto"/>
        </w:rPr>
        <w:t>Multi-Field</w:t>
      </w:r>
      <w:r>
        <w:rPr>
          <w:rFonts w:ascii="Arial" w:cs="Arial" w:eastAsia="Arial" w:hAnsi="Arial"/>
          <w:sz w:val="17"/>
          <w:szCs w:val="17"/>
          <w:color w:val="auto"/>
        </w:rPr>
        <w:t xml:space="preserve"> Patent License). For each patent or patent application under the Multi-Field Patent License, RANI agrees to pay all pro-rata costs with any other licensee, for the prosecution and maintenance of the </w:t>
      </w:r>
      <w:r>
        <w:rPr>
          <w:rFonts w:ascii="Arial" w:cs="Arial" w:eastAsia="Arial" w:hAnsi="Arial"/>
          <w:sz w:val="17"/>
          <w:szCs w:val="17"/>
          <w:b w:val="1"/>
          <w:bCs w:val="1"/>
          <w:color w:val="auto"/>
        </w:rPr>
        <w:t>Multi-Field</w:t>
      </w:r>
      <w:r>
        <w:rPr>
          <w:rFonts w:ascii="Arial" w:cs="Arial" w:eastAsia="Arial" w:hAnsi="Arial"/>
          <w:sz w:val="17"/>
          <w:szCs w:val="17"/>
          <w:color w:val="auto"/>
        </w:rPr>
        <w:t xml:space="preserve"> InCube Patent.</w:t>
      </w:r>
    </w:p>
    <w:p>
      <w:pPr>
        <w:spacing w:after="0" w:line="17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Multi-Field Patents and Patent applications will be licensed to RANI under the Exclusive License Agreement, which is attached hereto as Exhibit I</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the foregoing, RANI agrees and acknowledges that InCube is subject to preexisting obligations with respect to the development, assignment and confidentiality of intellectual property that is developed, in whole or in part, by Mir Imran or by InCube, or with the use of funds contributed by InCube. Rani agrees that its rights to any such information as provided for hereunder are in all cases subject to and limited by InCube’s preexisting rights, and that in the event of any conflict between such preexisting rights and the rights of the Company set forth hereunder, the preexisting rights shall prevail.</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Pre-Existing Intellectual Property</w:t>
      </w:r>
      <w:r>
        <w:rPr>
          <w:rFonts w:ascii="Arial" w:cs="Arial" w:eastAsia="Arial" w:hAnsi="Arial"/>
          <w:sz w:val="18"/>
          <w:szCs w:val="18"/>
          <w:color w:val="auto"/>
        </w:rPr>
        <w:t>. InCube agrees that if, in the course of performing the services provided for under Section 1.A above (the “</w:t>
      </w:r>
      <w:r>
        <w:rPr>
          <w:rFonts w:ascii="Arial" w:cs="Arial" w:eastAsia="Arial" w:hAnsi="Arial"/>
          <w:sz w:val="18"/>
          <w:szCs w:val="18"/>
          <w:b w:val="1"/>
          <w:bCs w:val="1"/>
          <w:color w:val="auto"/>
        </w:rPr>
        <w:t>Services</w:t>
      </w:r>
      <w:r>
        <w:rPr>
          <w:rFonts w:ascii="Arial" w:cs="Arial" w:eastAsia="Arial" w:hAnsi="Arial"/>
          <w:sz w:val="18"/>
          <w:szCs w:val="18"/>
          <w:color w:val="auto"/>
        </w:rPr>
        <w:t xml:space="preserve">”), InCube incorporates into any Invention developed under this Agreement any pre-existing invention, improvement, development, concept, discovery or other proprietary information owned by InCube or in which InCube has an interest, (i) InCube will inform RANI, in writing before incorporating such invention, improvement, development, concept, discovery or other proprietary information into any Invention, and (ii) to the extent that InCube has rights thereto, RANI will be offered a nonexclusive, worldwide license in the </w:t>
      </w:r>
      <w:r>
        <w:rPr>
          <w:rFonts w:ascii="Arial" w:cs="Arial" w:eastAsia="Arial" w:hAnsi="Arial"/>
          <w:sz w:val="18"/>
          <w:szCs w:val="18"/>
          <w:b w:val="1"/>
          <w:bCs w:val="1"/>
          <w:color w:val="auto"/>
        </w:rPr>
        <w:t>Field</w:t>
      </w:r>
      <w:r>
        <w:rPr>
          <w:rFonts w:ascii="Arial" w:cs="Arial" w:eastAsia="Arial" w:hAnsi="Arial"/>
          <w:sz w:val="18"/>
          <w:szCs w:val="18"/>
          <w:color w:val="auto"/>
        </w:rPr>
        <w:t>, to make, have made, modify, use and sell such item as part of or in connection with such Invention. In such a License, RANI agrees to pay all pro-rata costs for the prosecution and maintenance of the Pre-existing InCube Patent.</w:t>
      </w:r>
    </w:p>
    <w:p>
      <w:pPr>
        <w:spacing w:after="0" w:line="195"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i w:val="1"/>
          <w:iCs w:val="1"/>
          <w:color w:val="auto"/>
        </w:rPr>
        <w:t>Further Assurances</w:t>
      </w:r>
      <w:r>
        <w:rPr>
          <w:rFonts w:ascii="Arial" w:cs="Arial" w:eastAsia="Arial" w:hAnsi="Arial"/>
          <w:sz w:val="17"/>
          <w:szCs w:val="17"/>
          <w:color w:val="auto"/>
        </w:rPr>
        <w:t>. InCube agrees to assist and to cause each InCube Employee to assist, RANI, or its designee, at RANI’s expense, in every proper way to secure RANI’s rights in assigned or licensed Inventions and any copyrights, patents or other intellectual property rights in any and all countries, including the disclosure to RANI of all pertinent information and data with respect to all assigned or licensed Inventions, the execution of all applications, specifications, oaths, assignments and all other instruments that RANI may deem necessary to secure RANI’s intellectual property rights under this agreement. InCube also agrees that InCube’s obligation to execute or cause to be executed any documents relating to assign licensed intellectual property, shall continue after the termination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RANI-InCube Labs IP Agreement</w:t>
      </w:r>
    </w:p>
    <w:p>
      <w:pPr>
        <w:spacing w:after="0" w:line="158" w:lineRule="exact"/>
        <w:rPr>
          <w:sz w:val="20"/>
          <w:szCs w:val="20"/>
          <w:color w:val="auto"/>
        </w:rPr>
      </w:pPr>
    </w:p>
    <w:p>
      <w:pPr>
        <w:ind w:left="620" w:hanging="184"/>
        <w:spacing w:after="0"/>
        <w:tabs>
          <w:tab w:leader="none" w:pos="620"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Expenses billing</w:t>
      </w:r>
    </w:p>
    <w:p>
      <w:pPr>
        <w:spacing w:after="0" w:line="221"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auto"/>
        </w:rPr>
        <w:t xml:space="preserve">InCube patent attorney’s time on patents that are in the RANI’s </w:t>
      </w:r>
      <w:r>
        <w:rPr>
          <w:rFonts w:ascii="Arial" w:cs="Arial" w:eastAsia="Arial" w:hAnsi="Arial"/>
          <w:sz w:val="16"/>
          <w:szCs w:val="16"/>
          <w:b w:val="1"/>
          <w:bCs w:val="1"/>
          <w:color w:val="auto"/>
        </w:rPr>
        <w:t>Field</w:t>
      </w:r>
      <w:r>
        <w:rPr>
          <w:rFonts w:ascii="Arial" w:cs="Arial" w:eastAsia="Arial" w:hAnsi="Arial"/>
          <w:sz w:val="16"/>
          <w:szCs w:val="16"/>
          <w:color w:val="auto"/>
        </w:rPr>
        <w:t xml:space="preserve"> and </w:t>
      </w:r>
      <w:r>
        <w:rPr>
          <w:rFonts w:ascii="Arial" w:cs="Arial" w:eastAsia="Arial" w:hAnsi="Arial"/>
          <w:sz w:val="16"/>
          <w:szCs w:val="16"/>
          <w:b w:val="1"/>
          <w:bCs w:val="1"/>
          <w:color w:val="auto"/>
        </w:rPr>
        <w:t>Multi-Field Patent</w:t>
      </w:r>
      <w:r>
        <w:rPr>
          <w:rFonts w:ascii="Arial" w:cs="Arial" w:eastAsia="Arial" w:hAnsi="Arial"/>
          <w:sz w:val="16"/>
          <w:szCs w:val="16"/>
          <w:color w:val="auto"/>
        </w:rPr>
        <w:t>, will be billed on an hourly basis. In addition, any costs relating to the maintenance, prosecution or licensing (this may include PTO fees, outside attorneys, PTO travel) will be billed as incurred.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IP costs billed may include costs incurred for filing of trademarks, internet domain names etc.</w:t>
      </w:r>
    </w:p>
    <w:p>
      <w:pPr>
        <w:spacing w:after="0" w:line="225" w:lineRule="exact"/>
        <w:rPr>
          <w:sz w:val="20"/>
          <w:szCs w:val="20"/>
          <w:color w:val="auto"/>
        </w:rPr>
      </w:pPr>
    </w:p>
    <w:p>
      <w:pPr>
        <w:ind w:left="620" w:hanging="184"/>
        <w:spacing w:after="0"/>
        <w:tabs>
          <w:tab w:leader="none" w:pos="62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Term &amp; Termination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commence upon June 14, 2012 and terminate upon the sale or merger or liquidation of RANI.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Following the termination of this agreement, InCube shall continue to provide support to perfect the Assigned Patents or Licensed Patents.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gridSpan w:val="5"/>
          </w:tcPr>
          <w:p>
            <w:pPr>
              <w:spacing w:after="0"/>
              <w:rPr>
                <w:sz w:val="20"/>
                <w:szCs w:val="20"/>
                <w:color w:val="auto"/>
              </w:rPr>
            </w:pPr>
            <w:r>
              <w:rPr>
                <w:rFonts w:ascii="Arial" w:cs="Arial" w:eastAsia="Arial" w:hAnsi="Arial"/>
                <w:sz w:val="18"/>
                <w:szCs w:val="18"/>
                <w:color w:val="auto"/>
              </w:rPr>
              <w:t>Rani Therapeutics, LLC</w:t>
            </w:r>
          </w:p>
        </w:tc>
        <w:tc>
          <w:tcPr>
            <w:tcW w:w="7340" w:type="dxa"/>
            <w:vAlign w:val="bottom"/>
            <w:gridSpan w:val="6"/>
          </w:tcPr>
          <w:p>
            <w:pPr>
              <w:ind w:left="2500"/>
              <w:spacing w:after="0"/>
              <w:rPr>
                <w:sz w:val="20"/>
                <w:szCs w:val="20"/>
                <w:color w:val="auto"/>
              </w:rPr>
            </w:pPr>
            <w:r>
              <w:rPr>
                <w:rFonts w:ascii="Arial" w:cs="Arial" w:eastAsia="Arial" w:hAnsi="Arial"/>
                <w:sz w:val="18"/>
                <w:szCs w:val="18"/>
                <w:color w:val="auto"/>
              </w:rPr>
              <w:t>InCube Labs, LLC</w:t>
            </w:r>
          </w:p>
        </w:tc>
      </w:tr>
      <w:tr>
        <w:trPr>
          <w:trHeight w:val="418"/>
        </w:trPr>
        <w:tc>
          <w:tcPr>
            <w:tcW w:w="3120" w:type="dxa"/>
            <w:vAlign w:val="bottom"/>
            <w:gridSpan w:val="5"/>
          </w:tcPr>
          <w:p>
            <w:pPr>
              <w:spacing w:after="0"/>
              <w:rPr>
                <w:sz w:val="20"/>
                <w:szCs w:val="20"/>
                <w:color w:val="auto"/>
              </w:rPr>
            </w:pPr>
            <w:r>
              <w:rPr>
                <w:rFonts w:ascii="Arial" w:cs="Arial" w:eastAsia="Arial" w:hAnsi="Arial"/>
                <w:sz w:val="18"/>
                <w:szCs w:val="18"/>
                <w:i w:val="1"/>
                <w:iCs w:val="1"/>
                <w:color w:val="auto"/>
              </w:rPr>
              <w:t>/s/ Mir Imran</w:t>
            </w:r>
          </w:p>
        </w:tc>
        <w:tc>
          <w:tcPr>
            <w:tcW w:w="7340" w:type="dxa"/>
            <w:vAlign w:val="bottom"/>
            <w:gridSpan w:val="6"/>
          </w:tcPr>
          <w:p>
            <w:pPr>
              <w:ind w:left="2500"/>
              <w:spacing w:after="0"/>
              <w:rPr>
                <w:sz w:val="20"/>
                <w:szCs w:val="20"/>
                <w:color w:val="auto"/>
              </w:rPr>
            </w:pPr>
            <w:r>
              <w:rPr>
                <w:rFonts w:ascii="Arial" w:cs="Arial" w:eastAsia="Arial" w:hAnsi="Arial"/>
                <w:sz w:val="18"/>
                <w:szCs w:val="18"/>
                <w:i w:val="1"/>
                <w:iCs w:val="1"/>
                <w:color w:val="auto"/>
              </w:rPr>
              <w:t>/s/ Mir Imran</w:t>
            </w:r>
          </w:p>
        </w:tc>
      </w:tr>
      <w:tr>
        <w:trPr>
          <w:trHeight w:val="318"/>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2160" w:type="dxa"/>
            <w:vAlign w:val="bottom"/>
            <w:gridSpan w:val="3"/>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Signature</w:t>
            </w:r>
          </w:p>
        </w:tc>
      </w:tr>
      <w:tr>
        <w:trPr>
          <w:trHeight w:val="459"/>
        </w:trPr>
        <w:tc>
          <w:tcPr>
            <w:tcW w:w="3120" w:type="dxa"/>
            <w:vAlign w:val="bottom"/>
            <w:gridSpan w:val="5"/>
          </w:tcPr>
          <w:p>
            <w:pPr>
              <w:spacing w:after="0"/>
              <w:rPr>
                <w:sz w:val="20"/>
                <w:szCs w:val="20"/>
                <w:color w:val="auto"/>
              </w:rPr>
            </w:pPr>
            <w:r>
              <w:rPr>
                <w:rFonts w:ascii="Arial" w:cs="Arial" w:eastAsia="Arial" w:hAnsi="Arial"/>
                <w:sz w:val="18"/>
                <w:szCs w:val="18"/>
                <w:color w:val="auto"/>
              </w:rPr>
              <w:t>Name &amp; Title</w:t>
            </w:r>
          </w:p>
        </w:tc>
        <w:tc>
          <w:tcPr>
            <w:tcW w:w="7340" w:type="dxa"/>
            <w:vAlign w:val="bottom"/>
            <w:gridSpan w:val="6"/>
          </w:tcPr>
          <w:p>
            <w:pPr>
              <w:ind w:left="2500"/>
              <w:spacing w:after="0"/>
              <w:rPr>
                <w:sz w:val="20"/>
                <w:szCs w:val="20"/>
                <w:color w:val="auto"/>
              </w:rPr>
            </w:pPr>
            <w:r>
              <w:rPr>
                <w:rFonts w:ascii="Arial" w:cs="Arial" w:eastAsia="Arial" w:hAnsi="Arial"/>
                <w:sz w:val="18"/>
                <w:szCs w:val="18"/>
                <w:color w:val="auto"/>
              </w:rPr>
              <w:t>Name &amp; Title</w:t>
            </w:r>
          </w:p>
        </w:tc>
      </w:tr>
      <w:tr>
        <w:trPr>
          <w:trHeight w:val="418"/>
        </w:trPr>
        <w:tc>
          <w:tcPr>
            <w:tcW w:w="31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Mir Imran</w:t>
            </w:r>
          </w:p>
        </w:tc>
        <w:tc>
          <w:tcPr>
            <w:tcW w:w="2500" w:type="dxa"/>
            <w:vAlign w:val="bottom"/>
          </w:tcPr>
          <w:p>
            <w:pPr>
              <w:spacing w:after="0"/>
              <w:rPr>
                <w:sz w:val="24"/>
                <w:szCs w:val="24"/>
                <w:color w:val="auto"/>
              </w:rPr>
            </w:pPr>
          </w:p>
        </w:tc>
        <w:tc>
          <w:tcPr>
            <w:tcW w:w="3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Mir Imran</w:t>
            </w:r>
          </w:p>
        </w:tc>
        <w:tc>
          <w:tcPr>
            <w:tcW w:w="1700" w:type="dxa"/>
            <w:vAlign w:val="bottom"/>
          </w:tcPr>
          <w:p>
            <w:pPr>
              <w:spacing w:after="0"/>
              <w:rPr>
                <w:sz w:val="24"/>
                <w:szCs w:val="24"/>
                <w:color w:val="auto"/>
              </w:rPr>
            </w:pPr>
          </w:p>
        </w:tc>
      </w:tr>
      <w:tr>
        <w:trPr>
          <w:trHeight w:val="439"/>
        </w:trPr>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Chairman &amp; Managing Member</w:t>
            </w:r>
          </w:p>
        </w:tc>
        <w:tc>
          <w:tcPr>
            <w:tcW w:w="80" w:type="dxa"/>
            <w:vAlign w:val="bottom"/>
            <w:gridSpan w:val="2"/>
          </w:tcPr>
          <w:p>
            <w:pPr>
              <w:spacing w:after="0"/>
              <w:rPr>
                <w:sz w:val="24"/>
                <w:szCs w:val="24"/>
                <w:color w:val="auto"/>
              </w:rPr>
            </w:pPr>
          </w:p>
        </w:tc>
        <w:tc>
          <w:tcPr>
            <w:tcW w:w="2500" w:type="dxa"/>
            <w:vAlign w:val="bottom"/>
          </w:tcPr>
          <w:p>
            <w:pPr>
              <w:spacing w:after="0"/>
              <w:rPr>
                <w:sz w:val="24"/>
                <w:szCs w:val="24"/>
                <w:color w:val="auto"/>
              </w:rPr>
            </w:pPr>
          </w:p>
        </w:tc>
        <w:tc>
          <w:tcPr>
            <w:tcW w:w="3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Chairman &amp;</w:t>
            </w:r>
          </w:p>
        </w:tc>
        <w:tc>
          <w:tcPr>
            <w:tcW w:w="1740" w:type="dxa"/>
            <w:vAlign w:val="bottom"/>
            <w:gridSpan w:val="2"/>
          </w:tcPr>
          <w:p>
            <w:pPr>
              <w:spacing w:after="0"/>
              <w:rPr>
                <w:sz w:val="24"/>
                <w:szCs w:val="24"/>
                <w:color w:val="auto"/>
              </w:rPr>
            </w:pPr>
          </w:p>
        </w:tc>
      </w:tr>
      <w:tr>
        <w:trPr>
          <w:trHeight w:val="439"/>
        </w:trPr>
        <w:tc>
          <w:tcPr>
            <w:tcW w:w="3120" w:type="dxa"/>
            <w:vAlign w:val="bottom"/>
            <w:gridSpan w:val="5"/>
          </w:tcPr>
          <w:p>
            <w:pPr>
              <w:spacing w:after="0"/>
              <w:rPr>
                <w:sz w:val="20"/>
                <w:szCs w:val="20"/>
                <w:color w:val="auto"/>
              </w:rPr>
            </w:pPr>
            <w:r>
              <w:rPr>
                <w:rFonts w:ascii="Arial" w:cs="Arial" w:eastAsia="Arial" w:hAnsi="Arial"/>
                <w:sz w:val="18"/>
                <w:szCs w:val="18"/>
                <w:color w:val="auto"/>
              </w:rPr>
              <w:t>Date: June 14, 2012</w:t>
            </w:r>
          </w:p>
        </w:tc>
        <w:tc>
          <w:tcPr>
            <w:tcW w:w="7340" w:type="dxa"/>
            <w:vAlign w:val="bottom"/>
            <w:gridSpan w:val="6"/>
          </w:tcPr>
          <w:p>
            <w:pPr>
              <w:ind w:left="2500"/>
              <w:spacing w:after="0"/>
              <w:rPr>
                <w:sz w:val="20"/>
                <w:szCs w:val="20"/>
                <w:color w:val="auto"/>
              </w:rPr>
            </w:pPr>
            <w:r>
              <w:rPr>
                <w:rFonts w:ascii="Arial" w:cs="Arial" w:eastAsia="Arial" w:hAnsi="Arial"/>
                <w:sz w:val="18"/>
                <w:szCs w:val="18"/>
                <w:color w:val="auto"/>
              </w:rPr>
              <w:t>Date: June 14, 2012</w:t>
            </w:r>
          </w:p>
        </w:tc>
      </w:tr>
      <w:tr>
        <w:trPr>
          <w:trHeight w:val="399"/>
        </w:trPr>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0820"/>
          </w:cols>
          <w:pgMar w:left="440" w:top="274" w:right="6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InCube Labs,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2051 Ringwood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Mir Imran</w:t>
      </w:r>
    </w:p>
    <w:p>
      <w:pPr>
        <w:spacing w:after="0" w:line="112" w:lineRule="exact"/>
        <w:rPr>
          <w:sz w:val="20"/>
          <w:szCs w:val="20"/>
          <w:color w:val="auto"/>
        </w:rPr>
      </w:pPr>
    </w:p>
    <w:p>
      <w:pPr>
        <w:ind w:left="960" w:right="180" w:hanging="539"/>
        <w:spacing w:after="0" w:line="261" w:lineRule="auto"/>
        <w:tabs>
          <w:tab w:leader="none" w:pos="940" w:val="left"/>
        </w:tabs>
        <w:rPr>
          <w:sz w:val="20"/>
          <w:szCs w:val="20"/>
          <w:color w:val="auto"/>
        </w:rPr>
      </w:pPr>
      <w:r>
        <w:rPr>
          <w:rFonts w:ascii="Arial" w:cs="Arial" w:eastAsia="Arial" w:hAnsi="Arial"/>
          <w:sz w:val="18"/>
          <w:szCs w:val="18"/>
          <w:b w:val="1"/>
          <w:bCs w:val="1"/>
          <w:color w:val="auto"/>
        </w:rPr>
        <w:t>RE:</w:t>
        <w:tab/>
        <w:t>Acknowledgement and Amendment to the: (i) Intellectual Property Agreement, dated June 14, 2012 (“IPA”), (ii) Service Agreement, dated January 1, 2013 (“Services Agreement”), and (iii) Exclusive License Agreement, dated June 14, 2012 (“License Agreement”) – each as between Rani Therapeutics, LLC (“RANI”) and InCube Labs, LLC (“InCube”) (collectively, the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Dear Mir: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letter sets forth the mutual understanding between the parties with respect to the Agreements.</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IPA: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hereby agree to amend the IPA as follows, effective June 14, 2012:</w:t>
      </w:r>
    </w:p>
    <w:p>
      <w:pPr>
        <w:spacing w:after="0" w:line="131" w:lineRule="exact"/>
        <w:rPr>
          <w:sz w:val="20"/>
          <w:szCs w:val="20"/>
          <w:color w:val="auto"/>
        </w:rPr>
      </w:pPr>
    </w:p>
    <w:p>
      <w:pPr>
        <w:ind w:left="960" w:hanging="424"/>
        <w:spacing w:after="0"/>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Section 2.A</w:t>
      </w:r>
      <w:r>
        <w:rPr>
          <w:rFonts w:ascii="Arial" w:cs="Arial" w:eastAsia="Arial" w:hAnsi="Arial"/>
          <w:sz w:val="18"/>
          <w:szCs w:val="18"/>
          <w:color w:val="auto"/>
        </w:rPr>
        <w:t>. Section 2.A of the IPA is hereby deleted in its entirety and replaced with the following:</w:t>
      </w:r>
    </w:p>
    <w:p>
      <w:pPr>
        <w:spacing w:after="0" w:line="117" w:lineRule="exact"/>
        <w:rPr>
          <w:rFonts w:ascii="Arial" w:cs="Arial" w:eastAsia="Arial" w:hAnsi="Arial"/>
          <w:sz w:val="18"/>
          <w:szCs w:val="18"/>
          <w:color w:val="auto"/>
        </w:rPr>
      </w:pPr>
    </w:p>
    <w:p>
      <w:pPr>
        <w:ind w:left="980" w:right="40"/>
        <w:spacing w:after="0" w:line="269" w:lineRule="auto"/>
        <w:rPr>
          <w:rFonts w:ascii="Arial" w:cs="Arial" w:eastAsia="Arial" w:hAnsi="Arial"/>
          <w:sz w:val="18"/>
          <w:szCs w:val="18"/>
          <w:color w:val="auto"/>
        </w:rPr>
      </w:pPr>
      <w:r>
        <w:rPr>
          <w:rFonts w:ascii="Arial" w:cs="Arial" w:eastAsia="Arial" w:hAnsi="Arial"/>
          <w:sz w:val="17"/>
          <w:szCs w:val="17"/>
          <w:color w:val="auto"/>
        </w:rPr>
        <w:t>“Any inventions, discoveries, improvements, works of authorship of ideas that (1) are made or conceived by InCube in the course of performing services for RANI during the term of this Agreement, including pursuant to that certain Service Agreement between InCube and RANI dated January 1, 2013, (collectively, “</w:t>
      </w:r>
      <w:r>
        <w:rPr>
          <w:rFonts w:ascii="Arial" w:cs="Arial" w:eastAsia="Arial" w:hAnsi="Arial"/>
          <w:sz w:val="17"/>
          <w:szCs w:val="17"/>
          <w:b w:val="1"/>
          <w:bCs w:val="1"/>
          <w:color w:val="auto"/>
        </w:rPr>
        <w:t>InCube Inventions</w:t>
      </w:r>
      <w:r>
        <w:rPr>
          <w:rFonts w:ascii="Arial" w:cs="Arial" w:eastAsia="Arial" w:hAnsi="Arial"/>
          <w:sz w:val="17"/>
          <w:szCs w:val="17"/>
          <w:color w:val="auto"/>
        </w:rPr>
        <w:t>”) and (2) relate primarily to, or have application primarily within, the Field (the “In-Field InCube Inventions”), shall be the property of RANI. InCube shall assign, and hereby irrevocably assigns, to RANI all of InCube’s right, title and interest in the In-Field InCube Inventions, including all Patent Rights and Intellectual Property Rights therein. InCube shall promptly disclose to RANI all InCube Inventions. InCube agrees to execute and/or deliver all domestic or foreign papers, applications for patents or copyright registrations, including assignments, powers of attorney, declarations and affidavits or other documents which may be necessary for RANI to secure and enforce patents or copyright registrations covering In-Field InCube Inventions. If RANI seeks to obtain patent protection or copyright registration for any In-Field InCube Invention, InCube will assist RANI in filing and prosecuting such United States and foreign patent application or copyright registration claiming or embodying any In-Field InCube Invention; provided, however, that InCube shall be promptly and fully reimbursed for all reasonable and actual costs and expenses related to any request under this paragraph.</w:t>
      </w:r>
    </w:p>
    <w:p>
      <w:pPr>
        <w:sectPr>
          <w:pgSz w:w="11900" w:h="16838" w:orient="portrait"/>
          <w:cols w:equalWidth="0" w:num="1">
            <w:col w:w="11020"/>
          </w:cols>
          <w:pgMar w:left="440" w:top="121" w:right="439" w:bottom="1440" w:gutter="0" w:footer="0" w:header="0"/>
        </w:sectPr>
      </w:pPr>
    </w:p>
    <w:bookmarkStart w:id="333" w:name="page334"/>
    <w:bookmarkEnd w:id="333"/>
    <w:p>
      <w:pPr>
        <w:ind w:left="5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an InCube Invention, or any Patent Right or other Intellectual Property Right therein, does not relate primarily to, or have application primarily within, the Field but is otherwise useful in the Field (herein a “</w:t>
      </w:r>
      <w:r>
        <w:rPr>
          <w:rFonts w:ascii="Arial" w:cs="Arial" w:eastAsia="Arial" w:hAnsi="Arial"/>
          <w:sz w:val="17"/>
          <w:szCs w:val="17"/>
          <w:b w:val="1"/>
          <w:bCs w:val="1"/>
          <w:color w:val="auto"/>
        </w:rPr>
        <w:t>Multi-Field Intellectual Property Right</w:t>
      </w:r>
      <w:r>
        <w:rPr>
          <w:rFonts w:ascii="Arial" w:cs="Arial" w:eastAsia="Arial" w:hAnsi="Arial"/>
          <w:sz w:val="17"/>
          <w:szCs w:val="17"/>
          <w:color w:val="auto"/>
        </w:rPr>
        <w:t>” and the Patent Rights within the Multi-Field Intellectual Property Rights, the “</w:t>
      </w:r>
      <w:r>
        <w:rPr>
          <w:rFonts w:ascii="Arial" w:cs="Arial" w:eastAsia="Arial" w:hAnsi="Arial"/>
          <w:sz w:val="17"/>
          <w:szCs w:val="17"/>
          <w:b w:val="1"/>
          <w:bCs w:val="1"/>
          <w:color w:val="auto"/>
        </w:rPr>
        <w:t>Multi-Field Patents</w:t>
      </w:r>
      <w:r>
        <w:rPr>
          <w:rFonts w:ascii="Arial" w:cs="Arial" w:eastAsia="Arial" w:hAnsi="Arial"/>
          <w:sz w:val="17"/>
          <w:szCs w:val="17"/>
          <w:color w:val="auto"/>
        </w:rPr>
        <w:t>”), the parties agree that InCube will retain ownership of such Multi-Field Intellectual Property Right and will have the responsibility for prosecuting and maintaining the Multi-Field Patents and any other Intellectual Property Right in the Multi-Field Intellectual Property Rights. InCube hereby grants RANI an exclusive, perpetual, irrevocable, transferrable, sublicenseable, worldwide right and license under the Multi-Field Intellectual Property Rights to make, have made, use, sell, offer for sale, import, export and otherwise commercialize products and services (the “</w:t>
      </w:r>
      <w:r>
        <w:rPr>
          <w:rFonts w:ascii="Arial" w:cs="Arial" w:eastAsia="Arial" w:hAnsi="Arial"/>
          <w:sz w:val="17"/>
          <w:szCs w:val="17"/>
          <w:b w:val="1"/>
          <w:bCs w:val="1"/>
          <w:color w:val="auto"/>
        </w:rPr>
        <w:t>Multi-Field License</w:t>
      </w:r>
      <w:r>
        <w:rPr>
          <w:rFonts w:ascii="Arial" w:cs="Arial" w:eastAsia="Arial" w:hAnsi="Arial"/>
          <w:sz w:val="17"/>
          <w:szCs w:val="17"/>
          <w:color w:val="auto"/>
        </w:rPr>
        <w:t>”). For each patent or patent application included under the Multi-Field License, RANI agrees to pay its pro-rata share (based on the number of licensees InCube has under such patent or patent application) for the prosecution and maintenance of such Multi-Field Patents; provided that, if RANI declines to exercise the Multi-Field License with respect to any Multi-Field Patent, it shall not be required to pay for the prosecution/maintenance of such patent.</w:t>
      </w:r>
    </w:p>
    <w:p>
      <w:pPr>
        <w:spacing w:after="0" w:line="74" w:lineRule="exact"/>
        <w:rPr>
          <w:sz w:val="20"/>
          <w:szCs w:val="20"/>
          <w:color w:val="auto"/>
        </w:rPr>
      </w:pPr>
    </w:p>
    <w:p>
      <w:pPr>
        <w:ind w:left="540" w:right="60"/>
        <w:spacing w:after="0" w:line="263" w:lineRule="auto"/>
        <w:rPr>
          <w:sz w:val="20"/>
          <w:szCs w:val="20"/>
          <w:color w:val="auto"/>
        </w:rPr>
      </w:pPr>
      <w:r>
        <w:rPr>
          <w:rFonts w:ascii="Arial" w:cs="Arial" w:eastAsia="Arial" w:hAnsi="Arial"/>
          <w:sz w:val="18"/>
          <w:szCs w:val="18"/>
          <w:color w:val="auto"/>
        </w:rPr>
        <w:t>The Multi-Field Patents are hereby included within the Licensor’s Patent Rights that are licensed to RANI under the Exclusive License Agreement, which is attached hereto as Exhibit I. Exhibit A to the Exclusive License Agreement shall be updated by the parties from time to time to reflect the Multi-Field Patents.</w:t>
      </w:r>
    </w:p>
    <w:p>
      <w:pPr>
        <w:spacing w:after="0" w:line="76" w:lineRule="exact"/>
        <w:rPr>
          <w:sz w:val="20"/>
          <w:szCs w:val="20"/>
          <w:color w:val="auto"/>
        </w:rPr>
      </w:pPr>
    </w:p>
    <w:p>
      <w:pPr>
        <w:ind w:left="540" w:right="560"/>
        <w:spacing w:after="0" w:line="308" w:lineRule="auto"/>
        <w:rPr>
          <w:sz w:val="20"/>
          <w:szCs w:val="20"/>
          <w:color w:val="auto"/>
        </w:rPr>
      </w:pPr>
      <w:r>
        <w:rPr>
          <w:rFonts w:ascii="Arial" w:cs="Arial" w:eastAsia="Arial" w:hAnsi="Arial"/>
          <w:sz w:val="17"/>
          <w:szCs w:val="17"/>
          <w:color w:val="auto"/>
        </w:rPr>
        <w:t>The In-Field InCube Inventions shall be RANI’s Confidential Information, and the Multi-Field Intellectual Property Rights shall be InCube’s Confidential Information, in each case subject to Article 13 of the Exclusive License Agreement.</w:t>
      </w:r>
    </w:p>
    <w:p>
      <w:pPr>
        <w:spacing w:after="0" w:line="38" w:lineRule="exact"/>
        <w:rPr>
          <w:sz w:val="20"/>
          <w:szCs w:val="20"/>
          <w:color w:val="auto"/>
        </w:rPr>
      </w:pPr>
    </w:p>
    <w:p>
      <w:pPr>
        <w:ind w:left="540" w:right="400"/>
        <w:spacing w:after="0" w:line="277" w:lineRule="auto"/>
        <w:rPr>
          <w:sz w:val="20"/>
          <w:szCs w:val="20"/>
          <w:color w:val="auto"/>
        </w:rPr>
      </w:pPr>
      <w:r>
        <w:rPr>
          <w:rFonts w:ascii="Arial" w:cs="Arial" w:eastAsia="Arial" w:hAnsi="Arial"/>
          <w:sz w:val="18"/>
          <w:szCs w:val="18"/>
          <w:color w:val="auto"/>
        </w:rPr>
        <w:t>For clarity, any and all assignments made and licenses granted to RANI prior to any expiration or termination of this Agreement shall survive such expiration or termination.”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Services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amend the Services Agreement as follows, effective January 1, 2013:</w:t>
      </w:r>
    </w:p>
    <w:p>
      <w:pPr>
        <w:spacing w:after="0" w:line="131" w:lineRule="exact"/>
        <w:rPr>
          <w:sz w:val="20"/>
          <w:szCs w:val="20"/>
          <w:color w:val="auto"/>
        </w:rPr>
      </w:pPr>
    </w:p>
    <w:p>
      <w:pPr>
        <w:ind w:left="520" w:hanging="424"/>
        <w:spacing w:after="0"/>
        <w:tabs>
          <w:tab w:leader="none" w:pos="52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Section 5.2</w:t>
      </w:r>
      <w:r>
        <w:rPr>
          <w:rFonts w:ascii="Arial" w:cs="Arial" w:eastAsia="Arial" w:hAnsi="Arial"/>
          <w:sz w:val="18"/>
          <w:szCs w:val="18"/>
          <w:color w:val="auto"/>
        </w:rPr>
        <w:t>. Section 5.2 of the Services Agreement is hereby deleted in its entirety and replaced with the following:</w:t>
      </w:r>
    </w:p>
    <w:p>
      <w:pPr>
        <w:spacing w:after="0" w:line="117" w:lineRule="exact"/>
        <w:rPr>
          <w:rFonts w:ascii="Arial" w:cs="Arial" w:eastAsia="Arial" w:hAnsi="Arial"/>
          <w:sz w:val="18"/>
          <w:szCs w:val="18"/>
          <w:color w:val="auto"/>
        </w:rPr>
      </w:pPr>
    </w:p>
    <w:p>
      <w:pPr>
        <w:ind w:left="540" w:right="140"/>
        <w:spacing w:after="0" w:line="277" w:lineRule="auto"/>
        <w:rPr>
          <w:rFonts w:ascii="Arial" w:cs="Arial" w:eastAsia="Arial" w:hAnsi="Arial"/>
          <w:sz w:val="18"/>
          <w:szCs w:val="18"/>
          <w:color w:val="auto"/>
        </w:rPr>
      </w:pPr>
      <w:r>
        <w:rPr>
          <w:rFonts w:ascii="Arial" w:cs="Arial" w:eastAsia="Arial" w:hAnsi="Arial"/>
          <w:sz w:val="18"/>
          <w:szCs w:val="18"/>
          <w:color w:val="auto"/>
        </w:rPr>
        <w:t>“Any and all inventions (whether or not patentable), works of authorship, designations, designs, know-how, and ideas made or conceived or reduced to practice, in whole or in part, by (or on behalf of) InCube in its</w:t>
      </w:r>
    </w:p>
    <w:p>
      <w:pPr>
        <w:sectPr>
          <w:pgSz w:w="11900" w:h="16838" w:orient="portrait"/>
          <w:cols w:equalWidth="0" w:num="1">
            <w:col w:w="10560"/>
          </w:cols>
          <w:pgMar w:left="880" w:top="274" w:right="459" w:bottom="1440" w:gutter="0" w:footer="0" w:header="0"/>
        </w:sectPr>
      </w:pPr>
    </w:p>
    <w:bookmarkStart w:id="334" w:name="page335"/>
    <w:bookmarkEnd w:id="334"/>
    <w:p>
      <w:pPr>
        <w:jc w:val="both"/>
        <w:ind w:left="5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of the Services (“Inventions”), and all intellectual property rights therein, shall be subject to that certain Intellectual Property Agreement between the parties, dated June 14, 2012 (“IPA”), including the assignments and licenses set forth therein, and shall be deemed InCube Inventions under the IPA. InCube will promptly disclose all Inventions to Rani.”</w:t>
      </w:r>
    </w:p>
    <w:p>
      <w:pPr>
        <w:spacing w:after="0" w:line="89" w:lineRule="exact"/>
        <w:rPr>
          <w:sz w:val="20"/>
          <w:szCs w:val="20"/>
          <w:color w:val="auto"/>
        </w:rPr>
      </w:pPr>
    </w:p>
    <w:p>
      <w:pPr>
        <w:ind w:left="520" w:hanging="424"/>
        <w:spacing w:after="0"/>
        <w:tabs>
          <w:tab w:leader="none" w:pos="52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The first sentence of Section 10.1 shall be deleted and replaced with the following:</w:t>
      </w:r>
    </w:p>
    <w:p>
      <w:pPr>
        <w:spacing w:after="0" w:line="117" w:lineRule="exact"/>
        <w:rPr>
          <w:rFonts w:ascii="Arial" w:cs="Arial" w:eastAsia="Arial" w:hAnsi="Arial"/>
          <w:sz w:val="18"/>
          <w:szCs w:val="18"/>
          <w:color w:val="auto"/>
        </w:rPr>
      </w:pPr>
    </w:p>
    <w:p>
      <w:pPr>
        <w:ind w:left="540" w:right="160"/>
        <w:spacing w:after="0" w:line="342" w:lineRule="auto"/>
        <w:rPr>
          <w:rFonts w:ascii="Arial" w:cs="Arial" w:eastAsia="Arial" w:hAnsi="Arial"/>
          <w:sz w:val="18"/>
          <w:szCs w:val="18"/>
          <w:color w:val="auto"/>
        </w:rPr>
      </w:pPr>
      <w:r>
        <w:rPr>
          <w:rFonts w:ascii="Arial" w:cs="Arial" w:eastAsia="Arial" w:hAnsi="Arial"/>
          <w:sz w:val="16"/>
          <w:szCs w:val="16"/>
          <w:color w:val="auto"/>
        </w:rPr>
        <w:t>“This Agreement shall be valid for a twenty-four (24) month period from the Effective Date (the “Term”), and upon expiration thereof, both Parties may renew this Agreement pursuant to the terms and conditions defined herein, or as they shall otherwise agree in writing.”</w:t>
      </w:r>
    </w:p>
    <w:p>
      <w:pPr>
        <w:spacing w:after="0" w:line="29" w:lineRule="exact"/>
        <w:rPr>
          <w:rFonts w:ascii="Arial" w:cs="Arial" w:eastAsia="Arial" w:hAnsi="Arial"/>
          <w:sz w:val="18"/>
          <w:szCs w:val="18"/>
          <w:color w:val="auto"/>
        </w:rPr>
      </w:pPr>
    </w:p>
    <w:p>
      <w:pPr>
        <w:ind w:left="540" w:right="2560" w:hanging="444"/>
        <w:spacing w:after="0" w:line="483" w:lineRule="auto"/>
        <w:tabs>
          <w:tab w:leader="none" w:pos="521"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Section 10.2</w:t>
      </w:r>
      <w:r>
        <w:rPr>
          <w:rFonts w:ascii="Arial" w:cs="Arial" w:eastAsia="Arial" w:hAnsi="Arial"/>
          <w:sz w:val="16"/>
          <w:szCs w:val="16"/>
          <w:color w:val="auto"/>
        </w:rPr>
        <w:t>. The first sentence of Section 10.2 shall be deleted and replaced with the following: “RANI may terminate this Agreement upon ninety (90) days prior written notice for any or no reason.”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hereby agree to amend the License Agreement as follows, effective June 14, 2012:</w:t>
      </w:r>
    </w:p>
    <w:p>
      <w:pPr>
        <w:spacing w:after="0" w:line="131" w:lineRule="exact"/>
        <w:rPr>
          <w:sz w:val="20"/>
          <w:szCs w:val="20"/>
          <w:color w:val="auto"/>
        </w:rPr>
      </w:pPr>
    </w:p>
    <w:p>
      <w:pPr>
        <w:ind w:left="520" w:hanging="424"/>
        <w:spacing w:after="0"/>
        <w:tabs>
          <w:tab w:leader="none" w:pos="5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Section 9.5</w:t>
      </w:r>
      <w:r>
        <w:rPr>
          <w:rFonts w:ascii="Arial" w:cs="Arial" w:eastAsia="Arial" w:hAnsi="Arial"/>
          <w:sz w:val="18"/>
          <w:szCs w:val="18"/>
          <w:color w:val="auto"/>
        </w:rPr>
        <w:t>. The last sentence of Section 9.5 of the License Agreement is hereby deleted in its entirety.</w:t>
      </w:r>
    </w:p>
    <w:p>
      <w:pPr>
        <w:spacing w:after="0" w:line="130" w:lineRule="exact"/>
        <w:rPr>
          <w:rFonts w:ascii="Arial" w:cs="Arial" w:eastAsia="Arial" w:hAnsi="Arial"/>
          <w:sz w:val="18"/>
          <w:szCs w:val="18"/>
          <w:color w:val="auto"/>
        </w:rPr>
      </w:pPr>
    </w:p>
    <w:p>
      <w:pPr>
        <w:ind w:left="520" w:hanging="424"/>
        <w:spacing w:after="0"/>
        <w:tabs>
          <w:tab w:leader="none" w:pos="5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Section 9.6</w:t>
      </w:r>
      <w:r>
        <w:rPr>
          <w:rFonts w:ascii="Arial" w:cs="Arial" w:eastAsia="Arial" w:hAnsi="Arial"/>
          <w:sz w:val="18"/>
          <w:szCs w:val="18"/>
          <w:color w:val="auto"/>
        </w:rPr>
        <w:t>. Section 9.6 of the License Agreement is hereby deleted in its entirety and replaced with the following:</w:t>
      </w:r>
    </w:p>
    <w:p>
      <w:pPr>
        <w:spacing w:after="0" w:line="117" w:lineRule="exact"/>
        <w:rPr>
          <w:rFonts w:ascii="Arial" w:cs="Arial" w:eastAsia="Arial" w:hAnsi="Arial"/>
          <w:sz w:val="18"/>
          <w:szCs w:val="18"/>
          <w:color w:val="auto"/>
        </w:rPr>
      </w:pPr>
    </w:p>
    <w:p>
      <w:pPr>
        <w:ind w:left="540" w:right="60"/>
        <w:spacing w:after="0" w:line="255" w:lineRule="auto"/>
        <w:rPr>
          <w:rFonts w:ascii="Arial" w:cs="Arial" w:eastAsia="Arial" w:hAnsi="Arial"/>
          <w:sz w:val="18"/>
          <w:szCs w:val="18"/>
          <w:color w:val="auto"/>
        </w:rPr>
      </w:pPr>
      <w:r>
        <w:rPr>
          <w:rFonts w:ascii="Arial" w:cs="Arial" w:eastAsia="Arial" w:hAnsi="Arial"/>
          <w:sz w:val="18"/>
          <w:szCs w:val="18"/>
          <w:color w:val="auto"/>
        </w:rPr>
        <w:t>“In the event that Licensor does not file for patent protection on the Invention in a foreign country within thirty (30) days of a request made by Licensee with respect to such country pursuant to Section 9.5 above, then Licensee shall have the right to file for patent protection on the Invention in such country in InCube’s name. In the event that Licensee files a patent application pursuant to this Section 9.6, it shall provide Licensor with notice of such filing and the associated costs of prosecuting and maintaining such patent application. InCube shall collect pro rata shares of such costs from any other licensees it may have under such patent application and pass such amounts through to Licensee.”</w:t>
      </w:r>
    </w:p>
    <w:p>
      <w:pPr>
        <w:spacing w:after="0" w:line="97" w:lineRule="exact"/>
        <w:rPr>
          <w:rFonts w:ascii="Arial" w:cs="Arial" w:eastAsia="Arial" w:hAnsi="Arial"/>
          <w:sz w:val="18"/>
          <w:szCs w:val="18"/>
          <w:color w:val="auto"/>
        </w:rPr>
      </w:pPr>
    </w:p>
    <w:p>
      <w:pPr>
        <w:ind w:left="520" w:hanging="424"/>
        <w:spacing w:after="0"/>
        <w:tabs>
          <w:tab w:leader="none" w:pos="52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Section 21.7</w:t>
      </w:r>
      <w:r>
        <w:rPr>
          <w:rFonts w:ascii="Arial" w:cs="Arial" w:eastAsia="Arial" w:hAnsi="Arial"/>
          <w:sz w:val="18"/>
          <w:szCs w:val="18"/>
          <w:color w:val="auto"/>
        </w:rPr>
        <w:t>. Section 21.7 of the License Agreement is hereby deleted in its entirety.</w:t>
      </w:r>
    </w:p>
    <w:p>
      <w:pPr>
        <w:sectPr>
          <w:pgSz w:w="11900" w:h="16838" w:orient="portrait"/>
          <w:cols w:equalWidth="0" w:num="1">
            <w:col w:w="10520"/>
          </w:cols>
          <w:pgMar w:left="880" w:top="274" w:right="499" w:bottom="1440" w:gutter="0" w:footer="0" w:header="0"/>
        </w:sectPr>
      </w:pPr>
    </w:p>
    <w:bookmarkStart w:id="335" w:name="page336"/>
    <w:bookmarkEnd w:id="335"/>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modified by this letter, all terms and conditions of the Agreements will remain unchanged. If the terms of the Agreements conflict with those of this letter, this letter shall control. If you agree with the terms of this letter, please countersign and return to me the attached copy of this letter. This letter will be effective as of the date written above upon my receipt of your fully executed copy.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look forward our continued business relationship.</w:t>
      </w:r>
    </w:p>
    <w:p>
      <w:pPr>
        <w:spacing w:after="0" w:line="200" w:lineRule="exact"/>
        <w:rPr>
          <w:sz w:val="20"/>
          <w:szCs w:val="20"/>
          <w:color w:val="auto"/>
        </w:rPr>
      </w:pPr>
    </w:p>
    <w:p>
      <w:pPr>
        <w:spacing w:after="0" w:line="26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Rani Therapeutics,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Mir Imran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Mir Imran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President &amp; CEO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 June 13,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InCube Labs, LLC</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Mir Imran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Mir Imran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Chairman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June 13, 2013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(Letter Agreement re Intellectual Property)</w:t>
      </w:r>
    </w:p>
    <w:p>
      <w:pPr>
        <w:sectPr>
          <w:pgSz w:w="11900" w:h="16838" w:orient="portrait"/>
          <w:cols w:equalWidth="0" w:num="1">
            <w:col w:w="10900"/>
          </w:cols>
          <w:pgMar w:left="440" w:top="274" w:right="55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InCube Labs,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AGREEMENT</w:t>
      </w:r>
    </w:p>
    <w:p>
      <w:pPr>
        <w:spacing w:after="0" w:line="225" w:lineRule="exact"/>
        <w:rPr>
          <w:sz w:val="20"/>
          <w:szCs w:val="20"/>
          <w:color w:val="auto"/>
        </w:rPr>
      </w:pPr>
    </w:p>
    <w:p>
      <w:pPr>
        <w:jc w:val="both"/>
        <w:ind w:right="600" w:firstLine="440"/>
        <w:spacing w:after="0" w:line="266" w:lineRule="auto"/>
        <w:rPr>
          <w:sz w:val="20"/>
          <w:szCs w:val="20"/>
          <w:color w:val="auto"/>
        </w:rPr>
      </w:pPr>
      <w:r>
        <w:rPr>
          <w:rFonts w:ascii="Arial" w:cs="Arial" w:eastAsia="Arial" w:hAnsi="Arial"/>
          <w:sz w:val="18"/>
          <w:szCs w:val="18"/>
          <w:b w:val="1"/>
          <w:bCs w:val="1"/>
          <w:color w:val="auto"/>
        </w:rPr>
        <w:t xml:space="preserve">This SERVICE AGREEMENT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is made and entered into effective as of</w:t>
      </w:r>
      <w:r>
        <w:rPr>
          <w:rFonts w:ascii="Arial" w:cs="Arial" w:eastAsia="Arial" w:hAnsi="Arial"/>
          <w:sz w:val="18"/>
          <w:szCs w:val="18"/>
          <w:b w:val="1"/>
          <w:bCs w:val="1"/>
          <w:color w:val="auto"/>
        </w:rPr>
        <w:t xml:space="preserve"> January 1, 2019 </w:t>
      </w:r>
      <w:r>
        <w:rPr>
          <w:rFonts w:ascii="Arial" w:cs="Arial" w:eastAsia="Arial" w:hAnsi="Arial"/>
          <w:sz w:val="18"/>
          <w:szCs w:val="18"/>
          <w:color w:val="auto"/>
        </w:rPr>
        <w:t>(</w:t>
      </w:r>
      <w:r>
        <w:rPr>
          <w:rFonts w:ascii="Arial" w:cs="Arial" w:eastAsia="Arial" w:hAnsi="Arial"/>
          <w:sz w:val="18"/>
          <w:szCs w:val="18"/>
          <w:b w:val="1"/>
          <w:bCs w:val="1"/>
          <w:color w:val="auto"/>
        </w:rPr>
        <w:t xml:space="preserve">the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Rani Therapeutics, LLC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Rani</w:t>
      </w:r>
      <w:r>
        <w:rPr>
          <w:rFonts w:ascii="Arial" w:cs="Arial" w:eastAsia="Arial" w:hAnsi="Arial"/>
          <w:sz w:val="18"/>
          <w:szCs w:val="18"/>
          <w:color w:val="auto"/>
        </w:rPr>
        <w:t xml:space="preserve">”) and </w:t>
      </w:r>
      <w:r>
        <w:rPr>
          <w:rFonts w:ascii="Arial" w:cs="Arial" w:eastAsia="Arial" w:hAnsi="Arial"/>
          <w:sz w:val="18"/>
          <w:szCs w:val="18"/>
          <w:b w:val="1"/>
          <w:bCs w:val="1"/>
          <w:color w:val="auto"/>
        </w:rPr>
        <w:t>InCube Labs, LLC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InCube</w:t>
      </w:r>
      <w:r>
        <w:rPr>
          <w:rFonts w:ascii="Arial" w:cs="Arial" w:eastAsia="Arial" w:hAnsi="Arial"/>
          <w:sz w:val="18"/>
          <w:szCs w:val="18"/>
          <w:color w:val="auto"/>
        </w:rPr>
        <w:t>”) (collectively referred to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in reference to the following:</w:t>
      </w:r>
    </w:p>
    <w:p>
      <w:pPr>
        <w:spacing w:after="0" w:line="18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WHEREAS, InCube is in the business of inventing, creating, incubating, developing and implementing the utilization of certain medical related products, including methodologies and platforms for delivery methods of prescribed medicines to patients (the “</w:t>
      </w:r>
      <w:r>
        <w:rPr>
          <w:rFonts w:ascii="Arial" w:cs="Arial" w:eastAsia="Arial" w:hAnsi="Arial"/>
          <w:sz w:val="18"/>
          <w:szCs w:val="18"/>
          <w:b w:val="1"/>
          <w:bCs w:val="1"/>
          <w:u w:val="single" w:color="auto"/>
          <w:color w:val="auto"/>
        </w:rPr>
        <w:t>IP</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166"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WHEREAS, Rani has received an assignment of one or more of InCube’s IP (the “</w:t>
      </w:r>
      <w:r>
        <w:rPr>
          <w:rFonts w:ascii="Arial" w:cs="Arial" w:eastAsia="Arial" w:hAnsi="Arial"/>
          <w:sz w:val="17"/>
          <w:szCs w:val="17"/>
          <w:b w:val="1"/>
          <w:bCs w:val="1"/>
          <w:u w:val="single" w:color="auto"/>
          <w:color w:val="auto"/>
        </w:rPr>
        <w:t>Assigned IP</w:t>
      </w:r>
      <w:r>
        <w:rPr>
          <w:rFonts w:ascii="Arial" w:cs="Arial" w:eastAsia="Arial" w:hAnsi="Arial"/>
          <w:sz w:val="17"/>
          <w:szCs w:val="17"/>
          <w:color w:val="auto"/>
        </w:rPr>
        <w:t>”) for the purpose of commercializing such IP, and Rani desires to receive certain services from InCube in connection therewith, including but not limited to utilizing staff of InCube (whether for technical, related to research and development (“</w:t>
      </w:r>
      <w:r>
        <w:rPr>
          <w:rFonts w:ascii="Arial" w:cs="Arial" w:eastAsia="Arial" w:hAnsi="Arial"/>
          <w:sz w:val="17"/>
          <w:szCs w:val="17"/>
          <w:b w:val="1"/>
          <w:bCs w:val="1"/>
          <w:u w:val="single" w:color="auto"/>
          <w:color w:val="auto"/>
        </w:rPr>
        <w:t>R&amp;D</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support or administrative services) as the Parties may agree to from time to time; and</w:t>
      </w:r>
    </w:p>
    <w:p>
      <w:pPr>
        <w:spacing w:after="0" w:line="162"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WHEREAS, InCube agrees to provide such services to Rani as set forth below, including those services as specified and consistent with the scope of work as set forth in Section 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foregoing and the mutual promises contained herein, the Parties agree as follows:</w:t>
      </w:r>
    </w:p>
    <w:p>
      <w:pPr>
        <w:spacing w:after="0" w:line="225" w:lineRule="exact"/>
        <w:rPr>
          <w:sz w:val="20"/>
          <w:szCs w:val="20"/>
          <w:color w:val="auto"/>
        </w:rPr>
      </w:pPr>
    </w:p>
    <w:p>
      <w:pPr>
        <w:ind w:right="200" w:firstLine="436"/>
        <w:spacing w:after="0" w:line="277" w:lineRule="auto"/>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Incorporation of Recitals</w:t>
      </w:r>
      <w:r>
        <w:rPr>
          <w:rFonts w:ascii="Arial" w:cs="Arial" w:eastAsia="Arial" w:hAnsi="Arial"/>
          <w:sz w:val="18"/>
          <w:szCs w:val="18"/>
          <w:color w:val="auto"/>
        </w:rPr>
        <w:t>. The statements set forth in the foregoing Recitals are true and accurate, and as such, the Recitals set forth above are incorporated herein by this reference as though fully set forth in this Agreement.</w:t>
      </w:r>
    </w:p>
    <w:p>
      <w:pPr>
        <w:spacing w:after="0" w:line="166" w:lineRule="exact"/>
        <w:rPr>
          <w:rFonts w:ascii="Arial" w:cs="Arial" w:eastAsia="Arial" w:hAnsi="Arial"/>
          <w:sz w:val="18"/>
          <w:szCs w:val="18"/>
          <w:color w:val="auto"/>
        </w:rPr>
      </w:pPr>
    </w:p>
    <w:p>
      <w:pPr>
        <w:ind w:right="700" w:firstLine="436"/>
        <w:spacing w:after="0" w:line="282" w:lineRule="auto"/>
        <w:tabs>
          <w:tab w:leader="none" w:pos="62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InCube agrees to provide the services described in this Section 2 (the “</w:t>
      </w: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 xml:space="preserve">”) to Rani, and Rani agrees to pay InCube the compensation described in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for InCube’s performance of such Services:</w:t>
      </w:r>
    </w:p>
    <w:p>
      <w:pPr>
        <w:spacing w:after="0" w:line="166" w:lineRule="exact"/>
        <w:rPr>
          <w:sz w:val="20"/>
          <w:szCs w:val="20"/>
          <w:color w:val="auto"/>
        </w:rPr>
      </w:pPr>
    </w:p>
    <w:p>
      <w:pPr>
        <w:ind w:right="60" w:firstLine="991"/>
        <w:spacing w:after="0" w:line="30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Occupancy</w:t>
      </w:r>
      <w:r>
        <w:rPr>
          <w:rFonts w:ascii="Arial" w:cs="Arial" w:eastAsia="Arial" w:hAnsi="Arial"/>
          <w:sz w:val="16"/>
          <w:szCs w:val="16"/>
          <w:color w:val="auto"/>
        </w:rPr>
        <w:t>. During the Term of this Agreement, InCube shall allow Rani to occupy approximately 22,000 square feet of space at 2051 Ringwood Ave., San Jose, CA 95131 including fully functional and equipped electronic and chemistry labs, biology labs, qualified clean rooms, production and manufacturing area, designated offices, conference rooms and common areas. Rani may request additional space from time to time, and InCube may provide such space upon availability and charge Rani for such space at a mutually agreed upon rate in accordance with this Agreement.</w:t>
      </w:r>
    </w:p>
    <w:p>
      <w:pPr>
        <w:spacing w:after="0" w:line="157"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R&amp;D Services</w:t>
      </w:r>
      <w:r>
        <w:rPr>
          <w:rFonts w:ascii="Arial" w:cs="Arial" w:eastAsia="Arial" w:hAnsi="Arial"/>
          <w:sz w:val="18"/>
          <w:szCs w:val="18"/>
          <w:color w:val="auto"/>
        </w:rPr>
        <w:t>. InCube shall provide Rani with research and technology development services. These services may include but shall not be limited to:</w:t>
      </w:r>
    </w:p>
    <w:p>
      <w:pPr>
        <w:spacing w:after="0" w:line="76" w:lineRule="exact"/>
        <w:rPr>
          <w:sz w:val="20"/>
          <w:szCs w:val="20"/>
          <w:color w:val="auto"/>
        </w:rPr>
      </w:pPr>
    </w:p>
    <w:p>
      <w:pPr>
        <w:ind w:left="1420" w:hanging="331"/>
        <w:spacing w:after="0"/>
        <w:tabs>
          <w:tab w:leader="none" w:pos="1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Continued development of the oral bio-therapeutic technology</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Prototype manufacturing process and development of oral delivery devices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Formulation of drugs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20"/>
          </w:cols>
          <w:pgMar w:left="440" w:top="121" w:right="439" w:bottom="1440" w:gutter="0" w:footer="0" w:header="0"/>
        </w:sectPr>
      </w:pPr>
    </w:p>
    <w:bookmarkStart w:id="337" w:name="page338"/>
    <w:bookmarkEnd w:id="337"/>
    <w:p>
      <w:pPr>
        <w:ind w:left="1420" w:hanging="331"/>
        <w:spacing w:after="0"/>
        <w:tabs>
          <w:tab w:leader="none" w:pos="14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In-vitro studies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In-vivo animal studies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Documentation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Manufacturing Services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QA services</w:t>
      </w:r>
    </w:p>
    <w:p>
      <w:pPr>
        <w:spacing w:after="0" w:line="225" w:lineRule="exact"/>
        <w:rPr>
          <w:sz w:val="20"/>
          <w:szCs w:val="20"/>
          <w:color w:val="auto"/>
        </w:rPr>
      </w:pPr>
    </w:p>
    <w:p>
      <w:pPr>
        <w:jc w:val="both"/>
        <w:ind w:right="400" w:firstLine="991"/>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G&amp;A Services</w:t>
      </w:r>
      <w:r>
        <w:rPr>
          <w:rFonts w:ascii="Arial" w:cs="Arial" w:eastAsia="Arial" w:hAnsi="Arial"/>
          <w:sz w:val="18"/>
          <w:szCs w:val="18"/>
          <w:color w:val="auto"/>
        </w:rPr>
        <w:t>. InCube shall provide to Rani certain administrative services. Administrative services shall include accounting and finance functions, HR support, IT support services, facilities management, administrative support functions, and any other general and operational functions as may be necessary.</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Other Services</w:t>
      </w:r>
      <w:r>
        <w:rPr>
          <w:rFonts w:ascii="Arial" w:cs="Arial" w:eastAsia="Arial" w:hAnsi="Arial"/>
          <w:sz w:val="18"/>
          <w:szCs w:val="18"/>
          <w:color w:val="auto"/>
        </w:rPr>
        <w:t>. InCube shall provide certain additional services to Rani. These additional services may include, but shall not be limited to, intellectual property diligence and maintenance, general legal support, support services with respect to both product and business development, PR support and customer relations, support with financing and investor relations, and other support services.</w:t>
      </w:r>
    </w:p>
    <w:p>
      <w:pPr>
        <w:spacing w:after="0" w:line="184" w:lineRule="exact"/>
        <w:rPr>
          <w:sz w:val="20"/>
          <w:szCs w:val="20"/>
          <w:color w:val="auto"/>
        </w:rPr>
      </w:pPr>
    </w:p>
    <w:p>
      <w:pPr>
        <w:ind w:firstLine="436"/>
        <w:spacing w:after="0" w:line="257" w:lineRule="auto"/>
        <w:tabs>
          <w:tab w:leader="none" w:pos="62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Consideration for Services</w:t>
      </w:r>
      <w:r>
        <w:rPr>
          <w:rFonts w:ascii="Arial" w:cs="Arial" w:eastAsia="Arial" w:hAnsi="Arial"/>
          <w:sz w:val="18"/>
          <w:szCs w:val="18"/>
          <w:color w:val="auto"/>
        </w:rPr>
        <w:t xml:space="preserve">. In exchange for the Services provided to Rani as described in Section 2 of this Agreement, InCube shall invoice Rani at the end of each month, with each invoice containing a list of the Services provided and a calculation of the price for such Services in accordance with </w:t>
      </w:r>
      <w:r>
        <w:rPr>
          <w:rFonts w:ascii="Arial" w:cs="Arial" w:eastAsia="Arial" w:hAnsi="Arial"/>
          <w:sz w:val="18"/>
          <w:szCs w:val="18"/>
          <w:b w:val="1"/>
          <w:bCs w:val="1"/>
          <w:color w:val="auto"/>
        </w:rPr>
        <w:t>Exhibit A</w:t>
      </w:r>
      <w:r>
        <w:rPr>
          <w:rFonts w:ascii="Arial" w:cs="Arial" w:eastAsia="Arial" w:hAnsi="Arial"/>
          <w:sz w:val="18"/>
          <w:szCs w:val="18"/>
          <w:color w:val="auto"/>
        </w:rPr>
        <w:t>. Invoices for recurring services provided to Rani for a flat fee, such as Occupancy Services and G&amp;A Services, as described in Exhibit A will not have any attachments as a backup. Instead the invoice will carry a reference to the Service Agreement and its Exhibit A. Rani shall remit timely payments to InCube. Terms of payment are set at Net-30.</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InCube may, from time to time, charge Rani certain fees to cover the cost of certain extraordinary expenses such as, but not limited to, the cost of HVAC repair, maintenance or replacement, or the construction and or modification of certain types of labs or cleanrooms specific to Rani’s usage, and any other additional fee or expense incurred on behalf of Rani and paid out by InCube for services specific to Rani. Any such additional costs shall be invoiced to Rani at cost.</w:t>
      </w:r>
    </w:p>
    <w:p>
      <w:pPr>
        <w:spacing w:after="0" w:line="187" w:lineRule="exact"/>
        <w:rPr>
          <w:sz w:val="20"/>
          <w:szCs w:val="20"/>
          <w:color w:val="auto"/>
        </w:rPr>
      </w:pPr>
    </w:p>
    <w:p>
      <w:pPr>
        <w:ind w:right="80" w:firstLine="436"/>
        <w:spacing w:after="0" w:line="257" w:lineRule="auto"/>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Standard of Care</w:t>
      </w:r>
      <w:r>
        <w:rPr>
          <w:rFonts w:ascii="Arial" w:cs="Arial" w:eastAsia="Arial" w:hAnsi="Arial"/>
          <w:sz w:val="18"/>
          <w:szCs w:val="18"/>
          <w:color w:val="auto"/>
        </w:rPr>
        <w:t>. In providing the Services hereunder, InCube shall use the same standard of skill and care that it uses in the course of undertaking similar services for itself; provided, however, nothing in this Agreement shall be constructed as a guaranty or warranty of any type on the part of InCube with respect to the adequacy of the Services, the skill or fitness of personnel performing the Services hereunder for any particular job, or the results achieved as a result of the Services performed. Each Party hereby acknowledges the provisions of Section 9, regarding limitations of liability for the Services to be rendered hereunder.</w:t>
      </w:r>
    </w:p>
    <w:p>
      <w:pPr>
        <w:spacing w:after="0" w:line="187" w:lineRule="exact"/>
        <w:rPr>
          <w:rFonts w:ascii="Arial" w:cs="Arial" w:eastAsia="Arial" w:hAnsi="Arial"/>
          <w:sz w:val="18"/>
          <w:szCs w:val="18"/>
          <w:color w:val="auto"/>
        </w:rPr>
      </w:pPr>
    </w:p>
    <w:p>
      <w:pPr>
        <w:ind w:left="620" w:hanging="184"/>
        <w:spacing w:after="0"/>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right="1140" w:firstLine="991"/>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Field of Use will mean</w:t>
      </w:r>
      <w:r>
        <w:rPr>
          <w:rFonts w:ascii="Arial" w:cs="Arial" w:eastAsia="Arial" w:hAnsi="Arial"/>
          <w:sz w:val="17"/>
          <w:szCs w:val="17"/>
          <w:color w:val="auto"/>
        </w:rPr>
        <w:t xml:space="preserve"> “ORAL DELIVERY OF BIOTHERAPEUTIC AGENTS SUCH AS PEPTIDES, PROTEINS &amp; ANTIBODIES” but excludes “SWALLOWABLE DEVICES THAT DO NOT DELIVER SUCH DRUGS ORALLY”.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00"/>
          </w:cols>
          <w:pgMar w:left="440" w:top="274" w:right="459" w:bottom="1440" w:gutter="0" w:footer="0" w:header="0"/>
        </w:sectPr>
      </w:pPr>
    </w:p>
    <w:bookmarkStart w:id="338" w:name="page339"/>
    <w:bookmarkEnd w:id="338"/>
    <w:p>
      <w:pPr>
        <w:ind w:right="16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8"/>
          <w:szCs w:val="18"/>
          <w:u w:val="single" w:color="auto"/>
          <w:color w:val="auto"/>
        </w:rPr>
        <w:t>IP Rights</w:t>
      </w:r>
      <w:r>
        <w:rPr>
          <w:rFonts w:ascii="Arial" w:cs="Arial" w:eastAsia="Arial" w:hAnsi="Arial"/>
          <w:sz w:val="18"/>
          <w:szCs w:val="18"/>
          <w:color w:val="auto"/>
        </w:rPr>
        <w:t>. Any and all inventions (whether or not patentable), works of authorship, designations, designs, know-how, and ideas made or conceived or reduced to practice,</w:t>
      </w:r>
    </w:p>
    <w:p>
      <w:pPr>
        <w:spacing w:after="0" w:line="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whole or in part, by (or on behalf of) InCube in its performance of the Services (“</w:t>
      </w:r>
      <w:r>
        <w:rPr>
          <w:rFonts w:ascii="Arial" w:cs="Arial" w:eastAsia="Arial" w:hAnsi="Arial"/>
          <w:sz w:val="16"/>
          <w:szCs w:val="16"/>
          <w:b w:val="1"/>
          <w:bCs w:val="1"/>
          <w:u w:val="single" w:color="auto"/>
          <w:color w:val="auto"/>
        </w:rPr>
        <w:t>Inventions</w:t>
      </w:r>
      <w:r>
        <w:rPr>
          <w:rFonts w:ascii="Arial" w:cs="Arial" w:eastAsia="Arial" w:hAnsi="Arial"/>
          <w:sz w:val="16"/>
          <w:szCs w:val="16"/>
          <w:color w:val="auto"/>
        </w:rPr>
        <w:t>”), and all intellectual property rights therein, shall be subject to that certain Intellectual Property Agreement between the Parties, dated June 14, 2012 (“</w:t>
      </w:r>
      <w:r>
        <w:rPr>
          <w:rFonts w:ascii="Arial" w:cs="Arial" w:eastAsia="Arial" w:hAnsi="Arial"/>
          <w:sz w:val="16"/>
          <w:szCs w:val="16"/>
          <w:b w:val="1"/>
          <w:bCs w:val="1"/>
          <w:u w:val="single" w:color="auto"/>
          <w:color w:val="auto"/>
        </w:rPr>
        <w:t>IPA</w:t>
      </w:r>
      <w:r>
        <w:rPr>
          <w:rFonts w:ascii="Arial" w:cs="Arial" w:eastAsia="Arial" w:hAnsi="Arial"/>
          <w:sz w:val="16"/>
          <w:szCs w:val="16"/>
          <w:color w:val="auto"/>
        </w:rPr>
        <w:t>”), including the assignments and licenses set forth therein, and shall be deemed InCube Inventions as defined in the IPA. InCube will promptly disclose all Inventions to Rani.</w:t>
      </w:r>
    </w:p>
    <w:p>
      <w:pPr>
        <w:spacing w:after="0" w:line="155" w:lineRule="exact"/>
        <w:rPr>
          <w:sz w:val="20"/>
          <w:szCs w:val="20"/>
          <w:color w:val="auto"/>
        </w:rPr>
      </w:pPr>
    </w:p>
    <w:p>
      <w:pPr>
        <w:ind w:right="200" w:firstLine="436"/>
        <w:spacing w:after="0" w:line="263" w:lineRule="auto"/>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InCube agrees to perform the Services as an independent contractor and not as an employee or agent of Rani, and all persons employed by InCube or permitted subcontractors of InCube, if any, shall perform the Services as employees or agents of InCube and not the employees or agents of Rani.</w:t>
      </w:r>
    </w:p>
    <w:p>
      <w:pPr>
        <w:spacing w:after="0" w:line="183" w:lineRule="exact"/>
        <w:rPr>
          <w:rFonts w:ascii="Arial" w:cs="Arial" w:eastAsia="Arial" w:hAnsi="Arial"/>
          <w:sz w:val="18"/>
          <w:szCs w:val="18"/>
          <w:color w:val="auto"/>
        </w:rPr>
      </w:pPr>
    </w:p>
    <w:p>
      <w:pPr>
        <w:ind w:left="620" w:hanging="184"/>
        <w:spacing w:after="0"/>
        <w:tabs>
          <w:tab w:leader="none" w:pos="62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Assignment and Subcontract</w:t>
      </w:r>
      <w:r>
        <w:rPr>
          <w:rFonts w:ascii="Arial" w:cs="Arial" w:eastAsia="Arial" w:hAnsi="Arial"/>
          <w:sz w:val="16"/>
          <w:szCs w:val="16"/>
          <w:color w:val="auto"/>
        </w:rPr>
        <w:t>. InCube may subcontract or delegate its duties under this Agreement to third parties without Rani’s prior written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w:t>
      </w:r>
    </w:p>
    <w:p>
      <w:pPr>
        <w:spacing w:after="0" w:line="210" w:lineRule="exact"/>
        <w:rPr>
          <w:rFonts w:ascii="Arial" w:cs="Arial" w:eastAsia="Arial" w:hAnsi="Arial"/>
          <w:sz w:val="16"/>
          <w:szCs w:val="16"/>
          <w:color w:val="auto"/>
        </w:rPr>
      </w:pPr>
    </w:p>
    <w:p>
      <w:pPr>
        <w:ind w:right="20" w:firstLine="436"/>
        <w:spacing w:after="0" w:line="253" w:lineRule="auto"/>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During the Term of this Agreement and for so long as Confidential Information (defined below) disclosed by one Party to the other remains proprietary or confidential, neither Party will make any use of or disclose any Confidential Information of the other Party, except for the purpose of providing the Services pursuant to this Agreement. For purposes of this Agreement, the term “</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shall mean any information that might reasonably be considered to be confidential, secret, sensitive, proprietary or private, including but not limited to business plans, inventions, processes, products or proposed products, studies, market analyses, distributor and customer lists, production techniques, product formulations, and internal documentation (whether or not marked “confidential”), but excluding information which is or becomes available to the general public through no fault of the receiving Party. Each Party will take reasonable steps to prevent the unauthorized disclosure of Confidential Information of the other Party by its employees and agents, including restricting access to Confidential Information to those employees and persons on a need-to-know-basis.</w:t>
      </w:r>
    </w:p>
    <w:p>
      <w:pPr>
        <w:spacing w:after="0" w:line="196" w:lineRule="exact"/>
        <w:rPr>
          <w:rFonts w:ascii="Arial" w:cs="Arial" w:eastAsia="Arial" w:hAnsi="Arial"/>
          <w:sz w:val="18"/>
          <w:szCs w:val="18"/>
          <w:color w:val="auto"/>
        </w:rPr>
      </w:pPr>
    </w:p>
    <w:p>
      <w:pPr>
        <w:ind w:right="120" w:firstLine="436"/>
        <w:spacing w:after="0" w:line="257" w:lineRule="auto"/>
        <w:tabs>
          <w:tab w:leader="none" w:pos="62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WILL EITHER PARTY BE LIABLE TO THE OTHER FOR ANY SPECIAL, INCIDENTAL, CONSEQUENTIAL OR INDIRECT DAMAGES ARISING IN ANY WAY OUT OF THIS AGREEMENT, HOWEVER CAUSED AND ON ANY THEORY OF LIABILITY, WHETHER BASED IN CONTRACT, TORT (INCLUDING NEGLIGENCE), OR OTHERWISE, NOTWITHSTANDING THE FACT THAT A PARTY IS ADVISED OF THE POSSIBILITY OF SUCH DAMAGES AND NOTWITHSTANDING THE FAILURE OF AN ESSENTIAL PURPOSE OF ANY LIMITED REMEDY.</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Term and Termination</w:t>
      </w:r>
      <w:r>
        <w:rPr>
          <w:rFonts w:ascii="Arial" w:cs="Arial" w:eastAsia="Arial" w:hAnsi="Arial"/>
          <w:sz w:val="18"/>
          <w:szCs w:val="18"/>
          <w:color w:val="auto"/>
        </w:rPr>
        <w:t>.</w:t>
      </w:r>
    </w:p>
    <w:p>
      <w:pPr>
        <w:spacing w:after="0" w:line="221"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be valid for a twelve (12) month period from the Effective Date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and upon expiration thereof, the Parties may renew this Agreement pursuant to the terms and conditions defined herein upon mutual consent, or as they may otherwise agree in writing.</w:t>
      </w:r>
    </w:p>
    <w:p>
      <w:pPr>
        <w:spacing w:after="0" w:line="18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Termination</w:t>
      </w:r>
      <w:r>
        <w:rPr>
          <w:rFonts w:ascii="Arial" w:cs="Arial" w:eastAsia="Arial" w:hAnsi="Arial"/>
          <w:sz w:val="18"/>
          <w:szCs w:val="18"/>
          <w:color w:val="auto"/>
        </w:rPr>
        <w:t>. Rani may terminate this Agreement upon ninety (90) days prior written notice for any or no reason. Termination of this Agreement for any reason shall be without prejudice to any rights that shall have accrued to the benefit of either Party prior to such termination and shall not relieve either Party of their rights and responsibilities, prior to such termination. Any termination shall be subject to the provisions of Section 11.4 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00"/>
          </w:cols>
          <w:pgMar w:left="440" w:top="274" w:right="459" w:bottom="1440" w:gutter="0" w:footer="0" w:header="0"/>
        </w:sectPr>
      </w:pPr>
    </w:p>
    <w:bookmarkStart w:id="339" w:name="page340"/>
    <w:bookmarkEnd w:id="339"/>
    <w:p>
      <w:pPr>
        <w:ind w:left="700" w:hanging="264"/>
        <w:spacing w:after="0"/>
        <w:tabs>
          <w:tab w:leader="none" w:pos="70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 accordance with and governed by California law, without reference to principles of conflicts of laws.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Further Assurance</w:t>
      </w:r>
      <w:r>
        <w:rPr>
          <w:rFonts w:ascii="Arial" w:cs="Arial" w:eastAsia="Arial" w:hAnsi="Arial"/>
          <w:sz w:val="18"/>
          <w:szCs w:val="18"/>
          <w:color w:val="auto"/>
        </w:rPr>
        <w:t>. At any time or from time to time on and after the Effective Date, either Party shall at the request of the other Party, execute, deliver and cooperate with the other Party’s reasonable request, and provide such records, data or other documents, consistent with the provisions of this Agreement.</w:t>
      </w:r>
    </w:p>
    <w:p>
      <w:pPr>
        <w:spacing w:after="0" w:line="184"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11.3 No Third Party Beneficiaries. The Parties intend that only InCube and Rani will benefit from and are entitled to enforce the provisions of this Agreement and that no third party beneficiary is intended under this Agreement. Neither Party shall be liable to the other Party or to any third person with respect to obligations or liabilities incurred by either Party in connection with their separate business operations unrelated to the matters covered by this Agreement.</w:t>
      </w:r>
    </w:p>
    <w:p>
      <w:pPr>
        <w:spacing w:after="0" w:line="187"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Survival</w:t>
      </w:r>
      <w:r>
        <w:rPr>
          <w:rFonts w:ascii="Arial" w:cs="Arial" w:eastAsia="Arial" w:hAnsi="Arial"/>
          <w:sz w:val="18"/>
          <w:szCs w:val="18"/>
          <w:color w:val="auto"/>
        </w:rPr>
        <w:t>. Any obligations and duties that by their nature extend beyond the expiration or earlier termination of this Agreement, including without limitation Sections 5, 6, 8, and 9, shall survive any such expiration or termination and remain in effect.</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Headings</w:t>
      </w:r>
      <w:r>
        <w:rPr>
          <w:rFonts w:ascii="Arial" w:cs="Arial" w:eastAsia="Arial" w:hAnsi="Arial"/>
          <w:sz w:val="18"/>
          <w:szCs w:val="18"/>
          <w:color w:val="auto"/>
        </w:rPr>
        <w:t>. All section headings herein are for convenience only and are in no way to be construed as part of this Agreement or as a limitation or expansion of the scope of the particular sections to which they refer.</w:t>
      </w:r>
    </w:p>
    <w:p>
      <w:pPr>
        <w:spacing w:after="0" w:line="170"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11.6 Integration. This Agreement represents the entire agreement and understanding of the Parties relating to the subject matter hereof and merges all prior or contemporaneous understandings (whether written, verbal or implied) with respect thereto. Each InCube invoice will include relevant documentation and paperwork substantiating the Services rendered to Rani. To the extent that any terms and conditions in the invoices or other documentation or paperwork conflict with those of this Agreement, the terms and conditions of this Agreement shall control.</w:t>
      </w:r>
    </w:p>
    <w:p>
      <w:pPr>
        <w:spacing w:after="0" w:line="17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Modification; Waiver</w:t>
      </w:r>
      <w:r>
        <w:rPr>
          <w:rFonts w:ascii="Arial" w:cs="Arial" w:eastAsia="Arial" w:hAnsi="Arial"/>
          <w:sz w:val="18"/>
          <w:szCs w:val="18"/>
          <w:color w:val="auto"/>
        </w:rPr>
        <w:t>. No amendment or modification hereof shall be valid or binding upon the Parties unless made in writing and signed by the duly authorized representatives of both Parties. The waiver by either Party of a breach of any provision of this Agreement or the failure by either Party to exercise any right hereunder shall not operate or be construed as a waiver of any subsequent breach of that right or as a waiver of any other right.</w:t>
      </w:r>
    </w:p>
    <w:p>
      <w:pPr>
        <w:spacing w:after="0" w:line="18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provisions of this Agreement shall be held to be unenforceable, invalid, or illegal by a court of competent jurisdiction, this Agreement shall continue in full force and effect without said provision. The Parties shall renegotiate those provisions in good faith to be valid, enforceable substitute provisions which provisions shall reflect as closely as possible the intent of the original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00"/>
          </w:cols>
          <w:pgMar w:left="440" w:top="274" w:right="459" w:bottom="1440" w:gutter="0" w:footer="0" w:header="0"/>
        </w:sectPr>
      </w:pPr>
    </w:p>
    <w:bookmarkStart w:id="340" w:name="page341"/>
    <w:bookmarkEnd w:id="340"/>
    <w:p>
      <w:pPr>
        <w:ind w:firstLine="99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to be given under this Agreement shall be delivered by registered or certified mail, postage prepaid, return receipt requested, to the address of the other Party set forth above, or to such other address as a Party may designate by written notice. Notice shall be deemed affective when received, or if not received by reason of fault of addressee, when delivered.</w:t>
      </w:r>
    </w:p>
    <w:p>
      <w:pPr>
        <w:spacing w:after="0" w:line="165" w:lineRule="exact"/>
        <w:rPr>
          <w:sz w:val="20"/>
          <w:szCs w:val="20"/>
          <w:color w:val="auto"/>
        </w:rPr>
      </w:pPr>
    </w:p>
    <w:p>
      <w:pPr>
        <w:jc w:val="both"/>
        <w:ind w:right="80" w:firstLine="991"/>
        <w:spacing w:after="0" w:line="259"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Resolution of Disputes</w:t>
      </w:r>
      <w:r>
        <w:rPr>
          <w:rFonts w:ascii="Arial" w:cs="Arial" w:eastAsia="Arial" w:hAnsi="Arial"/>
          <w:sz w:val="18"/>
          <w:szCs w:val="18"/>
          <w:color w:val="auto"/>
        </w:rPr>
        <w:t>. If any dispute arises pursuant to this Agreement, InCube and Rani shall attempt to resolve such dispute by good faith negotiation. Neither Party shall commence any legal action with respect to any such dispute unless such dispute has first been presented for resolution to the managing members of the respective Parties to this Agreement at a meeting between them and no resolution has been reached on such dispute within ninety (90) days following the date of such meeting.</w:t>
      </w:r>
    </w:p>
    <w:p>
      <w:pPr>
        <w:spacing w:after="0" w:line="187"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 originals, each of which shall be deemed an original instrument for all purposes, but all of which shall comprise one and the same instrument. This Agreement shall be enforceable in accordance with its terms when signed by the Party sought to be bound. This Agreement may be delivered by facsimile and a facsimile of this Agreement shall be deemed to be original for all purposes and binding as an original.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hereto have caused this Agreement to be duly executed, effective as of the Effective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Rani Therapeutics, LLC</w:t>
            </w:r>
          </w:p>
        </w:tc>
        <w:tc>
          <w:tcPr>
            <w:tcW w:w="5560" w:type="dxa"/>
            <w:vAlign w:val="bottom"/>
            <w:gridSpan w:val="3"/>
          </w:tcPr>
          <w:p>
            <w:pPr>
              <w:ind w:left="1140"/>
              <w:spacing w:after="0"/>
              <w:rPr>
                <w:sz w:val="20"/>
                <w:szCs w:val="20"/>
                <w:color w:val="auto"/>
              </w:rPr>
            </w:pPr>
            <w:r>
              <w:rPr>
                <w:rFonts w:ascii="Arial" w:cs="Arial" w:eastAsia="Arial" w:hAnsi="Arial"/>
                <w:sz w:val="18"/>
                <w:szCs w:val="18"/>
                <w:b w:val="1"/>
                <w:bCs w:val="1"/>
                <w:color w:val="auto"/>
              </w:rPr>
              <w:t>InCube Labs, LLC</w:t>
            </w:r>
          </w:p>
        </w:tc>
      </w:tr>
      <w:tr>
        <w:trPr>
          <w:trHeight w:val="418"/>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/s/ Svai Sanford</w:t>
            </w:r>
          </w:p>
        </w:tc>
        <w:tc>
          <w:tcPr>
            <w:tcW w:w="5560" w:type="dxa"/>
            <w:vAlign w:val="bottom"/>
            <w:gridSpan w:val="3"/>
          </w:tcPr>
          <w:p>
            <w:pPr>
              <w:ind w:left="1140"/>
              <w:spacing w:after="0"/>
              <w:rPr>
                <w:sz w:val="20"/>
                <w:szCs w:val="20"/>
                <w:color w:val="auto"/>
              </w:rPr>
            </w:pPr>
            <w:r>
              <w:rPr>
                <w:rFonts w:ascii="Arial" w:cs="Arial" w:eastAsia="Arial" w:hAnsi="Arial"/>
                <w:sz w:val="18"/>
                <w:szCs w:val="18"/>
                <w:i w:val="1"/>
                <w:iCs w:val="1"/>
                <w:color w:val="auto"/>
              </w:rPr>
              <w:t>/s/ Mir Imran</w:t>
            </w:r>
          </w:p>
        </w:tc>
      </w:tr>
      <w:tr>
        <w:trPr>
          <w:trHeight w:val="20"/>
        </w:trPr>
        <w:tc>
          <w:tcPr>
            <w:tcW w:w="300" w:type="dxa"/>
            <w:vAlign w:val="bottom"/>
            <w:shd w:val="clear" w:color="auto" w:fill="000000"/>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r>
      <w:tr>
        <w:trPr>
          <w:trHeight w:val="237"/>
        </w:trPr>
        <w:tc>
          <w:tcPr>
            <w:tcW w:w="4600" w:type="dxa"/>
            <w:vAlign w:val="bottom"/>
            <w:gridSpan w:val="2"/>
          </w:tcPr>
          <w:p>
            <w:pPr>
              <w:spacing w:after="0"/>
              <w:rPr>
                <w:sz w:val="20"/>
                <w:szCs w:val="20"/>
                <w:color w:val="auto"/>
              </w:rPr>
            </w:pPr>
            <w:r>
              <w:rPr>
                <w:rFonts w:ascii="Arial" w:cs="Arial" w:eastAsia="Arial" w:hAnsi="Arial"/>
                <w:sz w:val="18"/>
                <w:szCs w:val="18"/>
                <w:color w:val="auto"/>
              </w:rPr>
              <w:t>Signed</w:t>
            </w:r>
          </w:p>
        </w:tc>
        <w:tc>
          <w:tcPr>
            <w:tcW w:w="5560" w:type="dxa"/>
            <w:vAlign w:val="bottom"/>
            <w:gridSpan w:val="3"/>
          </w:tcPr>
          <w:p>
            <w:pPr>
              <w:ind w:left="1140"/>
              <w:spacing w:after="0"/>
              <w:rPr>
                <w:sz w:val="20"/>
                <w:szCs w:val="20"/>
                <w:color w:val="auto"/>
              </w:rPr>
            </w:pPr>
            <w:r>
              <w:rPr>
                <w:rFonts w:ascii="Arial" w:cs="Arial" w:eastAsia="Arial" w:hAnsi="Arial"/>
                <w:sz w:val="18"/>
                <w:szCs w:val="18"/>
                <w:color w:val="auto"/>
              </w:rPr>
              <w:t>Signed</w:t>
            </w:r>
          </w:p>
        </w:tc>
      </w:tr>
      <w:tr>
        <w:trPr>
          <w:trHeight w:val="418"/>
        </w:trPr>
        <w:tc>
          <w:tcPr>
            <w:tcW w:w="4600" w:type="dxa"/>
            <w:vAlign w:val="bottom"/>
            <w:gridSpan w:val="2"/>
          </w:tcPr>
          <w:p>
            <w:pPr>
              <w:spacing w:after="0"/>
              <w:rPr>
                <w:sz w:val="20"/>
                <w:szCs w:val="20"/>
                <w:color w:val="auto"/>
              </w:rPr>
            </w:pPr>
            <w:r>
              <w:rPr>
                <w:rFonts w:ascii="Arial" w:cs="Arial" w:eastAsia="Arial" w:hAnsi="Arial"/>
                <w:sz w:val="18"/>
                <w:szCs w:val="18"/>
                <w:color w:val="auto"/>
              </w:rPr>
              <w:t>By: Svai Sanford</w:t>
            </w:r>
          </w:p>
        </w:tc>
        <w:tc>
          <w:tcPr>
            <w:tcW w:w="5560" w:type="dxa"/>
            <w:vAlign w:val="bottom"/>
            <w:gridSpan w:val="3"/>
          </w:tcPr>
          <w:p>
            <w:pPr>
              <w:ind w:left="1140"/>
              <w:spacing w:after="0"/>
              <w:rPr>
                <w:sz w:val="20"/>
                <w:szCs w:val="20"/>
                <w:color w:val="auto"/>
              </w:rPr>
            </w:pPr>
            <w:r>
              <w:rPr>
                <w:rFonts w:ascii="Arial" w:cs="Arial" w:eastAsia="Arial" w:hAnsi="Arial"/>
                <w:sz w:val="18"/>
                <w:szCs w:val="18"/>
                <w:color w:val="auto"/>
              </w:rPr>
              <w:t>By: Mir Imran</w:t>
            </w:r>
          </w:p>
        </w:tc>
      </w:tr>
      <w:tr>
        <w:trPr>
          <w:trHeight w:val="398"/>
        </w:trPr>
        <w:tc>
          <w:tcPr>
            <w:tcW w:w="300" w:type="dxa"/>
            <w:vAlign w:val="bottom"/>
          </w:tcPr>
          <w:p>
            <w:pPr>
              <w:spacing w:after="0"/>
              <w:rPr>
                <w:sz w:val="24"/>
                <w:szCs w:val="24"/>
                <w:color w:val="auto"/>
              </w:rPr>
            </w:pPr>
          </w:p>
        </w:tc>
        <w:tc>
          <w:tcPr>
            <w:tcW w:w="4300" w:type="dxa"/>
            <w:vAlign w:val="bottom"/>
            <w:tcBorders>
              <w:top w:val="single" w:sz="8" w:color="auto"/>
            </w:tcBorders>
          </w:tcPr>
          <w:p>
            <w:pPr>
              <w:spacing w:after="0"/>
              <w:rPr>
                <w:sz w:val="24"/>
                <w:szCs w:val="24"/>
                <w:color w:val="auto"/>
              </w:rPr>
            </w:pPr>
          </w:p>
        </w:tc>
        <w:tc>
          <w:tcPr>
            <w:tcW w:w="1140" w:type="dxa"/>
            <w:vAlign w:val="bottom"/>
          </w:tcPr>
          <w:p>
            <w:pPr>
              <w:ind w:left="86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4"/>
                <w:szCs w:val="24"/>
                <w:color w:val="auto"/>
              </w:rPr>
            </w:pPr>
          </w:p>
        </w:tc>
        <w:tc>
          <w:tcPr>
            <w:tcW w:w="4120" w:type="dxa"/>
            <w:vAlign w:val="bottom"/>
            <w:tcBorders>
              <w:top w:val="single" w:sz="8" w:color="auto"/>
            </w:tcBorders>
          </w:tcPr>
          <w:p>
            <w:pPr>
              <w:spacing w:after="0"/>
              <w:rPr>
                <w:sz w:val="24"/>
                <w:szCs w:val="24"/>
                <w:color w:val="auto"/>
              </w:rPr>
            </w:pPr>
          </w:p>
        </w:tc>
      </w:tr>
      <w:tr>
        <w:trPr>
          <w:trHeight w:val="324"/>
        </w:trPr>
        <w:tc>
          <w:tcPr>
            <w:tcW w:w="4600" w:type="dxa"/>
            <w:vAlign w:val="bottom"/>
            <w:gridSpan w:val="2"/>
          </w:tcPr>
          <w:p>
            <w:pPr>
              <w:spacing w:after="0"/>
              <w:rPr>
                <w:sz w:val="20"/>
                <w:szCs w:val="20"/>
                <w:color w:val="auto"/>
              </w:rPr>
            </w:pPr>
            <w:r>
              <w:rPr>
                <w:rFonts w:ascii="Arial" w:cs="Arial" w:eastAsia="Arial" w:hAnsi="Arial"/>
                <w:sz w:val="18"/>
                <w:szCs w:val="18"/>
                <w:i w:val="1"/>
                <w:iCs w:val="1"/>
                <w:color w:val="auto"/>
              </w:rPr>
              <w:t>ICL Rani Therapeutics-Service Agreement.2019</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Pr>
          <w:p>
            <w:pPr>
              <w:spacing w:after="0"/>
              <w:rPr>
                <w:sz w:val="24"/>
                <w:szCs w:val="24"/>
                <w:color w:val="auto"/>
              </w:rPr>
            </w:pPr>
          </w:p>
        </w:tc>
      </w:tr>
    </w:tbl>
    <w:p>
      <w:pPr>
        <w:sectPr>
          <w:pgSz w:w="11900" w:h="16838" w:orient="portrait"/>
          <w:cols w:equalWidth="0" w:num="1">
            <w:col w:w="10940"/>
          </w:cols>
          <w:pgMar w:left="440" w:top="274" w:right="519" w:bottom="1440" w:gutter="0" w:footer="0" w:header="0"/>
        </w:sectPr>
      </w:pPr>
    </w:p>
    <w:bookmarkStart w:id="341" w:name="page342"/>
    <w:bookmarkEnd w:id="34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Service Rates – 2019</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(Effective January 1</w:t>
      </w:r>
      <w:r>
        <w:rPr>
          <w:rFonts w:ascii="Arial" w:cs="Arial" w:eastAsia="Arial" w:hAnsi="Arial"/>
          <w:sz w:val="15"/>
          <w:szCs w:val="15"/>
          <w:color w:val="auto"/>
        </w:rPr>
        <w:t>st</w:t>
      </w:r>
      <w:r>
        <w:rPr>
          <w:rFonts w:ascii="Arial" w:cs="Arial" w:eastAsia="Arial" w:hAnsi="Arial"/>
          <w:sz w:val="18"/>
          <w:szCs w:val="18"/>
          <w:color w:val="auto"/>
        </w:rPr>
        <w:t>, 2019)</w:t>
      </w:r>
    </w:p>
    <w:p>
      <w:pPr>
        <w:spacing w:after="0" w:line="248" w:lineRule="exact"/>
        <w:rPr>
          <w:sz w:val="20"/>
          <w:szCs w:val="20"/>
          <w:color w:val="auto"/>
        </w:rPr>
      </w:pPr>
    </w:p>
    <w:p>
      <w:pPr>
        <w:ind w:left="2224" w:right="40" w:hanging="2213"/>
        <w:spacing w:after="0" w:line="259" w:lineRule="auto"/>
        <w:tabs>
          <w:tab w:leader="none" w:pos="2204" w:val="left"/>
        </w:tabs>
        <w:rPr>
          <w:sz w:val="20"/>
          <w:szCs w:val="20"/>
          <w:color w:val="auto"/>
        </w:rPr>
      </w:pPr>
      <w:r>
        <w:rPr>
          <w:rFonts w:ascii="Arial" w:cs="Arial" w:eastAsia="Arial" w:hAnsi="Arial"/>
          <w:sz w:val="18"/>
          <w:szCs w:val="18"/>
          <w:b w:val="1"/>
          <w:bCs w:val="1"/>
          <w:color w:val="auto"/>
        </w:rPr>
        <w:t>Occupancy Services:</w:t>
      </w:r>
      <w:r>
        <w:rPr>
          <w:sz w:val="20"/>
          <w:szCs w:val="20"/>
          <w:color w:val="auto"/>
        </w:rPr>
        <w:tab/>
      </w:r>
      <w:r>
        <w:rPr>
          <w:rFonts w:ascii="Arial" w:cs="Arial" w:eastAsia="Arial" w:hAnsi="Arial"/>
          <w:sz w:val="18"/>
          <w:szCs w:val="18"/>
          <w:color w:val="auto"/>
        </w:rPr>
        <w:t>For occupancy services described in Section 2.1 of the Agreement, InCube will invoice Rani for approximately 22,000 square feet of occupancy at 2051 Ringwood Ave., San Jose, CA 95131 at a full-service rate of $4.00 per square foot. Rani shall pay a monthly flat fee of $88,000. This fee will be adjusted for any additional space. This fee will be subject to annual review and revision upon mutual consent of the Parties.</w:t>
      </w:r>
    </w:p>
    <w:p>
      <w:pPr>
        <w:spacing w:after="0" w:line="79" w:lineRule="exact"/>
        <w:rPr>
          <w:sz w:val="20"/>
          <w:szCs w:val="20"/>
          <w:color w:val="auto"/>
        </w:rPr>
      </w:pPr>
    </w:p>
    <w:p>
      <w:pPr>
        <w:ind w:left="2224" w:right="40" w:hanging="2213"/>
        <w:spacing w:after="0" w:line="257" w:lineRule="auto"/>
        <w:tabs>
          <w:tab w:leader="none" w:pos="2204" w:val="left"/>
        </w:tabs>
        <w:rPr>
          <w:sz w:val="20"/>
          <w:szCs w:val="20"/>
          <w:color w:val="auto"/>
        </w:rPr>
      </w:pPr>
      <w:r>
        <w:rPr>
          <w:rFonts w:ascii="Arial" w:cs="Arial" w:eastAsia="Arial" w:hAnsi="Arial"/>
          <w:sz w:val="18"/>
          <w:szCs w:val="18"/>
          <w:b w:val="1"/>
          <w:bCs w:val="1"/>
          <w:color w:val="auto"/>
        </w:rPr>
        <w:t>R&amp;D Services:</w:t>
      </w:r>
      <w:r>
        <w:rPr>
          <w:sz w:val="20"/>
          <w:szCs w:val="20"/>
          <w:color w:val="auto"/>
        </w:rPr>
        <w:tab/>
      </w:r>
      <w:r>
        <w:rPr>
          <w:rFonts w:ascii="Arial" w:cs="Arial" w:eastAsia="Arial" w:hAnsi="Arial"/>
          <w:sz w:val="18"/>
          <w:szCs w:val="18"/>
          <w:color w:val="auto"/>
        </w:rPr>
        <w:t>For R&amp;D services as described in Section 2.2 of the Agreement, InCube will invoice Rani monthly for the actual hours of the scientists, engineers, technicians, purchasing, legal and quality assurance personnel.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210" w:lineRule="exact"/>
        <w:rPr>
          <w:sz w:val="20"/>
          <w:szCs w:val="20"/>
          <w:color w:val="auto"/>
        </w:rPr>
      </w:pPr>
    </w:p>
    <w:tbl>
      <w:tblPr>
        <w:tblLayout w:type="fixed"/>
        <w:tblInd w:w="2204"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R&amp;D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Scientists and Engineers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150% of Salary +Fringe Benefits</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Quality Assurance</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Legal / Patent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Purchasing</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2019 New Hires*</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10% of Salary +Fringe Benefits</w:t>
            </w:r>
          </w:p>
        </w:tc>
      </w:tr>
    </w:tbl>
    <w:p>
      <w:pPr>
        <w:spacing w:after="0" w:line="107"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7"/>
          <w:szCs w:val="17"/>
          <w:color w:val="auto"/>
        </w:rPr>
      </w:pPr>
      <w:r>
        <w:rPr>
          <w:rFonts w:ascii="Arial" w:cs="Arial" w:eastAsia="Arial" w:hAnsi="Arial"/>
          <w:sz w:val="17"/>
          <w:szCs w:val="17"/>
          <w:color w:val="auto"/>
        </w:rPr>
        <w:t>2019 new hire markup of 10% will not apply to new hires who are replacing dedicated Rani employees that have left InCube Labs, LLC.</w:t>
      </w: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24"/>
          </w:cols>
          <w:pgMar w:left="436" w:top="270" w:right="439" w:bottom="1440" w:gutter="0" w:footer="0" w:header="0"/>
        </w:sectPr>
      </w:pPr>
    </w:p>
    <w:bookmarkStart w:id="342" w:name="page343"/>
    <w:bookmarkEnd w:id="342"/>
    <w:p>
      <w:pPr>
        <w:ind w:left="222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markup rate for new hire replacements will follow the same markup of the former dedicated Rani employee that he or she has replaced.</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InCube will attach the list of the R&amp;D employees’ hours with each invoice as documentation.</w:t>
      </w:r>
    </w:p>
    <w:p>
      <w:pPr>
        <w:spacing w:after="0" w:line="127" w:lineRule="exact"/>
        <w:rPr>
          <w:sz w:val="20"/>
          <w:szCs w:val="20"/>
          <w:color w:val="auto"/>
        </w:rPr>
      </w:pPr>
    </w:p>
    <w:p>
      <w:pPr>
        <w:jc w:val="both"/>
        <w:ind w:left="2220" w:right="40" w:hanging="2213"/>
        <w:spacing w:after="0" w:line="263" w:lineRule="auto"/>
        <w:tabs>
          <w:tab w:leader="none" w:pos="2200" w:val="left"/>
        </w:tabs>
        <w:rPr>
          <w:sz w:val="20"/>
          <w:szCs w:val="20"/>
          <w:color w:val="auto"/>
        </w:rPr>
      </w:pPr>
      <w:r>
        <w:rPr>
          <w:rFonts w:ascii="Arial" w:cs="Arial" w:eastAsia="Arial" w:hAnsi="Arial"/>
          <w:sz w:val="18"/>
          <w:szCs w:val="18"/>
          <w:b w:val="1"/>
          <w:bCs w:val="1"/>
          <w:color w:val="auto"/>
        </w:rPr>
        <w:t>G&amp;A Services:</w:t>
      </w:r>
      <w:r>
        <w:rPr>
          <w:sz w:val="20"/>
          <w:szCs w:val="20"/>
          <w:color w:val="auto"/>
        </w:rPr>
        <w:tab/>
      </w:r>
      <w:r>
        <w:rPr>
          <w:rFonts w:ascii="Arial" w:cs="Arial" w:eastAsia="Arial" w:hAnsi="Arial"/>
          <w:sz w:val="18"/>
          <w:szCs w:val="18"/>
          <w:color w:val="auto"/>
        </w:rPr>
        <w:t>For G&amp;A services as described in Section 2.3 of the Agreement, InCube will bill Rani for a monthly flat fee of $107,600. This fee will be subject to review and revision semiannually, upon mutual consent of the Parties. The fee comprises of the following components:</w:t>
      </w:r>
    </w:p>
    <w:p>
      <w:pPr>
        <w:spacing w:after="0" w:line="93" w:lineRule="exact"/>
        <w:rPr>
          <w:sz w:val="20"/>
          <w:szCs w:val="20"/>
          <w:color w:val="auto"/>
        </w:rPr>
      </w:pPr>
    </w:p>
    <w:p>
      <w:pPr>
        <w:ind w:left="2560" w:right="360" w:hanging="350"/>
        <w:spacing w:after="0" w:line="263" w:lineRule="auto"/>
        <w:tabs>
          <w:tab w:leader="none" w:pos="2542"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Accounting &amp; financial services: A monthly recurring charge of $50,800, based on a flat fee for the services of a 62% FTE controller, assistant controller, accounting manager, GL supervisor, and an AP staff. Dedicated CFO services will be billed at salary cost and fringe benefits at 22% of salary cost.</w:t>
      </w:r>
    </w:p>
    <w:p>
      <w:pPr>
        <w:spacing w:after="0" w:line="89" w:lineRule="exact"/>
        <w:rPr>
          <w:rFonts w:ascii="Arial" w:cs="Arial" w:eastAsia="Arial" w:hAnsi="Arial"/>
          <w:sz w:val="18"/>
          <w:szCs w:val="18"/>
          <w:color w:val="auto"/>
        </w:rPr>
      </w:pPr>
    </w:p>
    <w:p>
      <w:pPr>
        <w:ind w:left="2560" w:right="600" w:hanging="350"/>
        <w:spacing w:after="0" w:line="277" w:lineRule="auto"/>
        <w:tabs>
          <w:tab w:leader="none" w:pos="255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IT Services: A monthly recurring charge of $20,000, based on 62% of an FTE for the director of IT, a system administrator and assistant administrator.</w:t>
      </w:r>
    </w:p>
    <w:p>
      <w:pPr>
        <w:spacing w:after="0" w:line="75" w:lineRule="exact"/>
        <w:rPr>
          <w:rFonts w:ascii="Arial" w:cs="Arial" w:eastAsia="Arial" w:hAnsi="Arial"/>
          <w:sz w:val="18"/>
          <w:szCs w:val="18"/>
          <w:color w:val="auto"/>
        </w:rPr>
      </w:pPr>
    </w:p>
    <w:p>
      <w:pPr>
        <w:ind w:left="2560" w:hanging="350"/>
        <w:spacing w:after="0"/>
        <w:tabs>
          <w:tab w:leader="none" w:pos="25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Facility Services: A monthly recurring charge of $6,000 based on 62% of an FTE for the facilities director.</w:t>
      </w:r>
    </w:p>
    <w:p>
      <w:pPr>
        <w:spacing w:after="0" w:line="130" w:lineRule="exact"/>
        <w:rPr>
          <w:rFonts w:ascii="Arial" w:cs="Arial" w:eastAsia="Arial" w:hAnsi="Arial"/>
          <w:sz w:val="18"/>
          <w:szCs w:val="18"/>
          <w:color w:val="auto"/>
        </w:rPr>
      </w:pPr>
    </w:p>
    <w:p>
      <w:pPr>
        <w:ind w:left="2560" w:right="100" w:hanging="350"/>
        <w:spacing w:after="0" w:line="277" w:lineRule="auto"/>
        <w:tabs>
          <w:tab w:leader="none" w:pos="255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HR Services and Administrative Support: A monthly recurring charge of $30,800 based on 62% FTE HR director, a recruiting coordinator, and two administrative assistants.</w:t>
      </w:r>
    </w:p>
    <w:p>
      <w:pPr>
        <w:spacing w:after="0" w:line="72" w:lineRule="exact"/>
        <w:rPr>
          <w:sz w:val="20"/>
          <w:szCs w:val="20"/>
          <w:color w:val="auto"/>
        </w:rPr>
      </w:pPr>
    </w:p>
    <w:p>
      <w:pPr>
        <w:ind w:left="2220" w:right="640" w:hanging="2213"/>
        <w:spacing w:after="0" w:line="261" w:lineRule="auto"/>
        <w:tabs>
          <w:tab w:leader="none" w:pos="2200" w:val="left"/>
        </w:tabs>
        <w:rPr>
          <w:sz w:val="20"/>
          <w:szCs w:val="20"/>
          <w:color w:val="auto"/>
        </w:rPr>
      </w:pPr>
      <w:r>
        <w:rPr>
          <w:rFonts w:ascii="Arial" w:cs="Arial" w:eastAsia="Arial" w:hAnsi="Arial"/>
          <w:sz w:val="18"/>
          <w:szCs w:val="18"/>
          <w:b w:val="1"/>
          <w:bCs w:val="1"/>
          <w:color w:val="auto"/>
        </w:rPr>
        <w:t>Other Services:</w:t>
      </w:r>
      <w:r>
        <w:rPr>
          <w:sz w:val="20"/>
          <w:szCs w:val="20"/>
          <w:color w:val="auto"/>
        </w:rPr>
        <w:tab/>
      </w:r>
      <w:r>
        <w:rPr>
          <w:rFonts w:ascii="Arial" w:cs="Arial" w:eastAsia="Arial" w:hAnsi="Arial"/>
          <w:sz w:val="18"/>
          <w:szCs w:val="18"/>
          <w:color w:val="auto"/>
        </w:rPr>
        <w:t>For Other Services as described in Section 2.4 of the Agreement, InCube will invoice Rani for the actual hours of business development personnel and investor relations team</w:t>
      </w:r>
    </w:p>
    <w:p>
      <w:pPr>
        <w:jc w:val="both"/>
        <w:ind w:left="2220" w:right="100"/>
        <w:spacing w:after="0" w:line="277" w:lineRule="auto"/>
        <w:rPr>
          <w:sz w:val="20"/>
          <w:szCs w:val="20"/>
          <w:color w:val="auto"/>
        </w:rPr>
      </w:pPr>
      <w:r>
        <w:rPr>
          <w:rFonts w:ascii="Arial" w:cs="Arial" w:eastAsia="Arial" w:hAnsi="Arial"/>
          <w:sz w:val="17"/>
          <w:szCs w:val="17"/>
          <w:color w:val="auto"/>
        </w:rPr>
        <w:t>services.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191" w:lineRule="exact"/>
        <w:rPr>
          <w:sz w:val="20"/>
          <w:szCs w:val="20"/>
          <w:color w:val="auto"/>
        </w:rPr>
      </w:pPr>
    </w:p>
    <w:tbl>
      <w:tblPr>
        <w:tblLayout w:type="fixed"/>
        <w:tblInd w:w="2200"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Other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Investor Relations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50% of Salary +Fringe Benefits</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Business Development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50% of Salary +Fringe Benefits</w:t>
            </w:r>
          </w:p>
        </w:tc>
      </w:tr>
    </w:tbl>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 documentation, InCube will attach a list of such employees’ hours with each invoice.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ICL Rani Therapeutics-Service Agreement.2019</w:t>
      </w:r>
    </w:p>
    <w:p>
      <w:pPr>
        <w:sectPr>
          <w:pgSz w:w="11900" w:h="16838" w:orient="portrait"/>
          <w:cols w:equalWidth="0" w:num="1">
            <w:col w:w="11020"/>
          </w:cols>
          <w:pgMar w:left="440" w:top="274" w:right="43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Rani Therapeutics, LLC</w:t>
            </w:r>
          </w:p>
        </w:tc>
        <w:tc>
          <w:tcPr>
            <w:tcW w:w="1200" w:type="dxa"/>
            <w:vAlign w:val="bottom"/>
          </w:tcPr>
          <w:p>
            <w:pPr>
              <w:spacing w:after="0"/>
              <w:rPr>
                <w:sz w:val="20"/>
                <w:szCs w:val="20"/>
                <w:color w:val="auto"/>
              </w:rPr>
            </w:pP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InCube Labs, LLC</w:t>
            </w:r>
          </w:p>
        </w:tc>
        <w:tc>
          <w:tcPr>
            <w:tcW w:w="100" w:type="dxa"/>
            <w:vAlign w:val="bottom"/>
          </w:tcPr>
          <w:p>
            <w:pPr>
              <w:spacing w:after="0"/>
              <w:rPr>
                <w:sz w:val="20"/>
                <w:szCs w:val="20"/>
                <w:color w:val="auto"/>
              </w:rPr>
            </w:pPr>
          </w:p>
        </w:tc>
      </w:tr>
      <w:tr>
        <w:trPr>
          <w:trHeight w:val="418"/>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/s/ Svai Sanford</w:t>
            </w: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i w:val="1"/>
                <w:iCs w:val="1"/>
                <w:color w:val="auto"/>
              </w:rPr>
              <w:t>/s/ Mir Imran</w:t>
            </w:r>
          </w:p>
        </w:tc>
        <w:tc>
          <w:tcPr>
            <w:tcW w:w="100" w:type="dxa"/>
            <w:vAlign w:val="bottom"/>
          </w:tcPr>
          <w:p>
            <w:pPr>
              <w:spacing w:after="0"/>
              <w:rPr>
                <w:sz w:val="24"/>
                <w:szCs w:val="24"/>
                <w:color w:val="auto"/>
              </w:rPr>
            </w:pPr>
          </w:p>
        </w:tc>
      </w:tr>
      <w:tr>
        <w:trPr>
          <w:trHeight w:val="237"/>
        </w:trPr>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w:t>
            </w:r>
          </w:p>
        </w:tc>
        <w:tc>
          <w:tcPr>
            <w:tcW w:w="3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Signed</w:t>
            </w:r>
          </w:p>
        </w:tc>
        <w:tc>
          <w:tcPr>
            <w:tcW w:w="34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540" w:type="dxa"/>
            <w:vAlign w:val="bottom"/>
            <w:gridSpan w:val="3"/>
          </w:tcPr>
          <w:p>
            <w:pPr>
              <w:spacing w:after="0"/>
              <w:rPr>
                <w:sz w:val="20"/>
                <w:szCs w:val="20"/>
                <w:color w:val="auto"/>
              </w:rPr>
            </w:pPr>
            <w:r>
              <w:rPr>
                <w:rFonts w:ascii="Arial" w:cs="Arial" w:eastAsia="Arial" w:hAnsi="Arial"/>
                <w:sz w:val="18"/>
                <w:szCs w:val="18"/>
                <w:color w:val="auto"/>
              </w:rPr>
              <w:t>By: Svai Sanford, CFO</w:t>
            </w: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By: Mir Imran, President &amp; CEO</w:t>
            </w:r>
          </w:p>
        </w:tc>
        <w:tc>
          <w:tcPr>
            <w:tcW w:w="100" w:type="dxa"/>
            <w:vAlign w:val="bottom"/>
          </w:tcPr>
          <w:p>
            <w:pPr>
              <w:spacing w:after="0"/>
              <w:rPr>
                <w:sz w:val="24"/>
                <w:szCs w:val="24"/>
                <w:color w:val="auto"/>
              </w:rPr>
            </w:pPr>
          </w:p>
        </w:tc>
      </w:tr>
      <w:tr>
        <w:trPr>
          <w:trHeight w:val="418"/>
        </w:trPr>
        <w:tc>
          <w:tcPr>
            <w:tcW w:w="4540" w:type="dxa"/>
            <w:vAlign w:val="bottom"/>
            <w:gridSpan w:val="3"/>
          </w:tcPr>
          <w:p>
            <w:pPr>
              <w:spacing w:after="0"/>
              <w:rPr>
                <w:sz w:val="20"/>
                <w:szCs w:val="20"/>
                <w:color w:val="auto"/>
              </w:rPr>
            </w:pPr>
            <w:r>
              <w:rPr>
                <w:rFonts w:ascii="Arial" w:cs="Arial" w:eastAsia="Arial" w:hAnsi="Arial"/>
                <w:sz w:val="18"/>
                <w:szCs w:val="18"/>
                <w:color w:val="auto"/>
              </w:rPr>
              <w:t>Date: 01/15/2019</w:t>
            </w: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Date: 2/15/2019</w:t>
            </w:r>
          </w:p>
        </w:tc>
        <w:tc>
          <w:tcPr>
            <w:tcW w:w="1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b w:val="1"/>
                <w:bCs w:val="1"/>
                <w:color w:val="auto"/>
              </w:rPr>
              <w:t>InCube Labs, LLC</w:t>
            </w:r>
          </w:p>
        </w:tc>
        <w:tc>
          <w:tcPr>
            <w:tcW w:w="10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i w:val="1"/>
                <w:iCs w:val="1"/>
                <w:color w:val="auto"/>
              </w:rPr>
              <w:t>/s/ Gary Dang</w:t>
            </w:r>
          </w:p>
        </w:tc>
        <w:tc>
          <w:tcPr>
            <w:tcW w:w="100" w:type="dxa"/>
            <w:vAlign w:val="bottom"/>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Signed</w:t>
            </w:r>
          </w:p>
        </w:tc>
        <w:tc>
          <w:tcPr>
            <w:tcW w:w="3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By: Gary Dang, VP Finance &amp; Admin.</w:t>
            </w:r>
          </w:p>
        </w:tc>
        <w:tc>
          <w:tcPr>
            <w:tcW w:w="100" w:type="dxa"/>
            <w:vAlign w:val="bottom"/>
          </w:tcPr>
          <w:p>
            <w:pPr>
              <w:spacing w:after="0"/>
              <w:rPr>
                <w:sz w:val="24"/>
                <w:szCs w:val="24"/>
                <w:color w:val="auto"/>
              </w:rPr>
            </w:pPr>
          </w:p>
        </w:tc>
      </w:tr>
      <w:tr>
        <w:trPr>
          <w:trHeight w:val="418"/>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rPr>
              <w:t>Date: 01/15/2019</w:t>
            </w:r>
          </w:p>
        </w:tc>
        <w:tc>
          <w:tcPr>
            <w:tcW w:w="100" w:type="dxa"/>
            <w:vAlign w:val="bottom"/>
          </w:tcPr>
          <w:p>
            <w:pPr>
              <w:spacing w:after="0"/>
              <w:rPr>
                <w:sz w:val="24"/>
                <w:szCs w:val="24"/>
                <w:color w:val="auto"/>
              </w:rPr>
            </w:pPr>
          </w:p>
        </w:tc>
      </w:tr>
      <w:tr>
        <w:trPr>
          <w:trHeight w:val="398"/>
        </w:trPr>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24"/>
        </w:trPr>
        <w:tc>
          <w:tcPr>
            <w:tcW w:w="4540" w:type="dxa"/>
            <w:vAlign w:val="bottom"/>
            <w:gridSpan w:val="3"/>
          </w:tcPr>
          <w:p>
            <w:pPr>
              <w:spacing w:after="0"/>
              <w:rPr>
                <w:sz w:val="20"/>
                <w:szCs w:val="20"/>
                <w:color w:val="auto"/>
              </w:rPr>
            </w:pPr>
            <w:r>
              <w:rPr>
                <w:rFonts w:ascii="Arial" w:cs="Arial" w:eastAsia="Arial" w:hAnsi="Arial"/>
                <w:sz w:val="18"/>
                <w:szCs w:val="18"/>
                <w:i w:val="1"/>
                <w:iCs w:val="1"/>
                <w:color w:val="auto"/>
              </w:rPr>
              <w:t>ICL Rani Therapeutics-Service Agreement.2019</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80"/>
          </w:cols>
          <w:pgMar w:left="440" w:top="270" w:right="11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SERVICE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 INCUBE LABS, LLC AND RANI THERAPEUTICS, LLC</w:t>
      </w:r>
    </w:p>
    <w:p>
      <w:pPr>
        <w:spacing w:after="0" w:line="22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 xml:space="preserve">This Amendment No. 1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amends the Service Agreement with an effective date of January 1, 2019, by and between Rani Therapeutics, LLC </w:t>
      </w:r>
      <w:r>
        <w:rPr>
          <w:rFonts w:ascii="Arial" w:cs="Arial" w:eastAsia="Arial" w:hAnsi="Arial"/>
          <w:sz w:val="18"/>
          <w:szCs w:val="18"/>
          <w:b w:val="1"/>
          <w:bCs w:val="1"/>
          <w:color w:val="auto"/>
        </w:rPr>
        <w:t>(“Rani”)</w:t>
      </w:r>
      <w:r>
        <w:rPr>
          <w:rFonts w:ascii="Arial" w:cs="Arial" w:eastAsia="Arial" w:hAnsi="Arial"/>
          <w:sz w:val="18"/>
          <w:szCs w:val="18"/>
          <w:color w:val="auto"/>
        </w:rPr>
        <w:t xml:space="preserve"> and InCube Labs, LLC </w:t>
      </w:r>
      <w:r>
        <w:rPr>
          <w:rFonts w:ascii="Arial" w:cs="Arial" w:eastAsia="Arial" w:hAnsi="Arial"/>
          <w:sz w:val="18"/>
          <w:szCs w:val="18"/>
          <w:b w:val="1"/>
          <w:bCs w:val="1"/>
          <w:color w:val="auto"/>
        </w:rPr>
        <w:t>(“InCube”)</w:t>
      </w:r>
      <w:r>
        <w:rPr>
          <w:rFonts w:ascii="Arial" w:cs="Arial" w:eastAsia="Arial" w:hAnsi="Arial"/>
          <w:sz w:val="18"/>
          <w:szCs w:val="18"/>
          <w:color w:val="auto"/>
        </w:rPr>
        <w:t xml:space="preserve"> and is effective as of January 1, 2020.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Rani and InCube now wish to amend the Service Agreement in the manner set forth below.</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and covenants contained in this Amendment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Rani and InCube hereby agree as follows:</w:t>
      </w:r>
    </w:p>
    <w:p>
      <w:pPr>
        <w:spacing w:after="0" w:line="58" w:lineRule="exact"/>
        <w:rPr>
          <w:sz w:val="20"/>
          <w:szCs w:val="20"/>
          <w:color w:val="auto"/>
        </w:rPr>
      </w:pPr>
    </w:p>
    <w:p>
      <w:pPr>
        <w:ind w:right="200" w:firstLine="436"/>
        <w:spacing w:after="0" w:line="277" w:lineRule="auto"/>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Exhibit A of the Service Agreement is hereby deleted in its entirety and replaced with the attached Amended Exhibit A Service Rates — 2020.</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Full Force and Effect</w:t>
      </w:r>
      <w:r>
        <w:rPr>
          <w:rFonts w:ascii="Arial" w:cs="Arial" w:eastAsia="Arial" w:hAnsi="Arial"/>
          <w:sz w:val="16"/>
          <w:szCs w:val="16"/>
          <w:color w:val="auto"/>
        </w:rPr>
        <w:t>. To the extent not expressly amended hereby, the Service Agreement and the prior Amendment remain in full force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right="40" w:firstLine="436"/>
        <w:spacing w:after="0" w:line="277" w:lineRule="auto"/>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Amendment, together with the Service Agreement, represent the entire agreement of the parties and shall supersede any and all previous contracts, arrangements or understandings between the parties with respect to the subject matter herein.</w:t>
      </w:r>
    </w:p>
    <w:p>
      <w:pPr>
        <w:spacing w:after="0" w:line="170" w:lineRule="exact"/>
        <w:rPr>
          <w:rFonts w:ascii="Arial" w:cs="Arial" w:eastAsia="Arial" w:hAnsi="Arial"/>
          <w:sz w:val="18"/>
          <w:szCs w:val="18"/>
          <w:color w:val="auto"/>
        </w:rPr>
      </w:pPr>
    </w:p>
    <w:p>
      <w:pPr>
        <w:ind w:right="680" w:firstLine="436"/>
        <w:spacing w:after="0" w:line="277" w:lineRule="auto"/>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and interpreted under the laws of the State of California without reference to conflicts of law principles.</w:t>
      </w:r>
    </w:p>
    <w:p>
      <w:pPr>
        <w:spacing w:after="0" w:line="170" w:lineRule="exact"/>
        <w:rPr>
          <w:rFonts w:ascii="Arial" w:cs="Arial" w:eastAsia="Arial" w:hAnsi="Arial"/>
          <w:sz w:val="18"/>
          <w:szCs w:val="18"/>
          <w:color w:val="auto"/>
        </w:rPr>
      </w:pPr>
    </w:p>
    <w:p>
      <w:pPr>
        <w:ind w:right="40" w:firstLine="436"/>
        <w:spacing w:after="0" w:line="286" w:lineRule="auto"/>
        <w:tabs>
          <w:tab w:leader="none" w:pos="62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Amendment may not be altered, amended or modified in any way except by written consent of Rani and InCube. Waiver of any term or provision of this Amendment or forbearance to enforce any term or provision by any party shall not constitute a waiver as to any subsequent breach or failure of the same term or provision or a waiver of any other term or provision of this Amendment.</w:t>
      </w:r>
    </w:p>
    <w:p>
      <w:pPr>
        <w:spacing w:after="0" w:line="165" w:lineRule="exact"/>
        <w:rPr>
          <w:rFonts w:ascii="Arial" w:cs="Arial" w:eastAsia="Arial" w:hAnsi="Arial"/>
          <w:sz w:val="17"/>
          <w:szCs w:val="17"/>
          <w:color w:val="auto"/>
        </w:rPr>
      </w:pPr>
    </w:p>
    <w:p>
      <w:pPr>
        <w:ind w:right="340" w:firstLine="436"/>
        <w:spacing w:after="0" w:line="277" w:lineRule="auto"/>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each of which shall be declared an original, but all of which together shall constitute one and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Amendment to be executed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RANI THERAPEUTICS, LLC</w:t>
      </w:r>
    </w:p>
    <w:p>
      <w:pPr>
        <w:spacing w:after="0" w:line="1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Svai Sanford, CFO</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-10160</wp:posOffset>
            </wp:positionV>
            <wp:extent cx="189039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8903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-10160</wp:posOffset>
            </wp:positionV>
            <wp:extent cx="198310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983105" cy="8890"/>
                    </a:xfrm>
                    <a:prstGeom prst="rect">
                      <a:avLst/>
                    </a:prstGeom>
                    <a:noFill/>
                  </pic:spPr>
                </pic:pic>
              </a:graphicData>
            </a:graphic>
          </wp:anchor>
        </w:drawing>
      </w:r>
    </w:p>
    <w:p>
      <w:pPr>
        <w:spacing w:after="0" w:line="20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INCUBE LABS, LLC</w:t>
      </w:r>
    </w:p>
    <w:p>
      <w:pPr>
        <w:spacing w:after="0" w:line="1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Gary Dang, VP Finance</w:t>
      </w:r>
    </w:p>
    <w:p>
      <w:pPr>
        <w:spacing w:after="0" w:line="11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i w:val="1"/>
          <w:iCs w:val="1"/>
          <w:color w:val="auto"/>
        </w:rPr>
        <w:t>/s/ Gary Dang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4296410</wp:posOffset>
            </wp:positionH>
            <wp:positionV relativeFrom="paragraph">
              <wp:posOffset>-10160</wp:posOffset>
            </wp:positionV>
            <wp:extent cx="188214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882140"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4194810</wp:posOffset>
            </wp:positionH>
            <wp:positionV relativeFrom="paragraph">
              <wp:posOffset>-10160</wp:posOffset>
            </wp:positionV>
            <wp:extent cx="19831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983105" cy="8890"/>
                    </a:xfrm>
                    <a:prstGeom prst="rect">
                      <a:avLst/>
                    </a:prstGeom>
                    <a:noFill/>
                  </pic:spPr>
                </pic:pic>
              </a:graphicData>
            </a:graphic>
          </wp:anchor>
        </w:drawing>
      </w:r>
    </w:p>
    <w:p>
      <w:pPr>
        <w:spacing w:after="0" w:line="13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[Signature Page to Amendment No. 1 to Service Agreement]</w:t>
      </w:r>
    </w:p>
    <w:p>
      <w:pPr>
        <w:sectPr>
          <w:pgSz w:w="11900" w:h="16838" w:orient="portrait"/>
          <w:cols w:equalWidth="0" w:num="1">
            <w:col w:w="9620"/>
          </w:cols>
          <w:pgMar w:left="880" w:top="270" w:right="139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 Rates —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January 1, 2020 through December 31, 2020)</w:t>
      </w:r>
    </w:p>
    <w:p>
      <w:pPr>
        <w:spacing w:after="0" w:line="248" w:lineRule="exact"/>
        <w:rPr>
          <w:sz w:val="20"/>
          <w:szCs w:val="20"/>
          <w:color w:val="auto"/>
        </w:rPr>
      </w:pPr>
    </w:p>
    <w:p>
      <w:pPr>
        <w:ind w:left="2220" w:right="260" w:hanging="2213"/>
        <w:spacing w:after="0" w:line="275" w:lineRule="auto"/>
        <w:tabs>
          <w:tab w:leader="none" w:pos="2200" w:val="left"/>
        </w:tabs>
        <w:rPr>
          <w:sz w:val="20"/>
          <w:szCs w:val="20"/>
          <w:color w:val="auto"/>
        </w:rPr>
      </w:pPr>
      <w:r>
        <w:rPr>
          <w:rFonts w:ascii="Arial" w:cs="Arial" w:eastAsia="Arial" w:hAnsi="Arial"/>
          <w:sz w:val="18"/>
          <w:szCs w:val="18"/>
          <w:b w:val="1"/>
          <w:bCs w:val="1"/>
          <w:color w:val="auto"/>
        </w:rPr>
        <w:t>Occupancy Services:</w:t>
      </w:r>
      <w:r>
        <w:rPr>
          <w:sz w:val="20"/>
          <w:szCs w:val="20"/>
          <w:color w:val="auto"/>
        </w:rPr>
        <w:tab/>
      </w:r>
      <w:r>
        <w:rPr>
          <w:rFonts w:ascii="Arial" w:cs="Arial" w:eastAsia="Arial" w:hAnsi="Arial"/>
          <w:sz w:val="17"/>
          <w:szCs w:val="17"/>
          <w:color w:val="auto"/>
        </w:rPr>
        <w:t>For occupancy services described in Section 2.1 of the Agreement, InCube will invoice Rani for approximately 22,000 square feet of occupancy at 2051 Ringwood Ave., San Jose, CA 95131 at a full- service rate of $2.96 per square foot. Rani shall pay a monthly flat fee of $65,017.59. This fee will be adjusted for any additional space. InCube will also invoice Rani for common area costs shared by Rani and InCube at cost with no markup. These fees will be subject to semi-annual review and revision upon mutual consent of the Parties.</w:t>
      </w:r>
    </w:p>
    <w:p>
      <w:pPr>
        <w:spacing w:after="0" w:line="68" w:lineRule="exact"/>
        <w:rPr>
          <w:sz w:val="20"/>
          <w:szCs w:val="20"/>
          <w:color w:val="auto"/>
        </w:rPr>
      </w:pPr>
    </w:p>
    <w:p>
      <w:pPr>
        <w:ind w:left="2220" w:right="40" w:hanging="2213"/>
        <w:spacing w:after="0" w:line="257" w:lineRule="auto"/>
        <w:tabs>
          <w:tab w:leader="none" w:pos="2200" w:val="left"/>
        </w:tabs>
        <w:rPr>
          <w:sz w:val="20"/>
          <w:szCs w:val="20"/>
          <w:color w:val="auto"/>
        </w:rPr>
      </w:pPr>
      <w:r>
        <w:rPr>
          <w:rFonts w:ascii="Arial" w:cs="Arial" w:eastAsia="Arial" w:hAnsi="Arial"/>
          <w:sz w:val="18"/>
          <w:szCs w:val="18"/>
          <w:b w:val="1"/>
          <w:bCs w:val="1"/>
          <w:color w:val="auto"/>
        </w:rPr>
        <w:t>R&amp;D Services:</w:t>
      </w:r>
      <w:r>
        <w:rPr>
          <w:sz w:val="20"/>
          <w:szCs w:val="20"/>
          <w:color w:val="auto"/>
        </w:rPr>
        <w:tab/>
      </w:r>
      <w:r>
        <w:rPr>
          <w:rFonts w:ascii="Arial" w:cs="Arial" w:eastAsia="Arial" w:hAnsi="Arial"/>
          <w:sz w:val="18"/>
          <w:szCs w:val="18"/>
          <w:color w:val="auto"/>
        </w:rPr>
        <w:t>For R&amp;D services as described in Section 2.2 of the Agreement, InCube will invoice Rani monthly for the actual hours of the scientists, engineers, technicians, purchasing, legal and quality assurance personnel.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210" w:lineRule="exact"/>
        <w:rPr>
          <w:sz w:val="20"/>
          <w:szCs w:val="20"/>
          <w:color w:val="auto"/>
        </w:rPr>
      </w:pPr>
    </w:p>
    <w:tbl>
      <w:tblPr>
        <w:tblLayout w:type="fixed"/>
        <w:tblInd w:w="2200"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R&amp;D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Scientists and Engineers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75% of Salary</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Quality Assurance</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Legal / Patent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Purchasing</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bl>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InCube will attach the list of the R&amp;D employees’ hours with each invoice as documentation.</w:t>
      </w:r>
    </w:p>
    <w:p>
      <w:pPr>
        <w:sectPr>
          <w:pgSz w:w="11900" w:h="16838" w:orient="portrait"/>
          <w:cols w:equalWidth="0" w:num="1">
            <w:col w:w="11020"/>
          </w:cols>
          <w:pgMar w:left="440" w:top="270" w:right="439" w:bottom="1440" w:gutter="0" w:footer="0" w:header="0"/>
        </w:sectPr>
      </w:pPr>
    </w:p>
    <w:bookmarkStart w:id="347" w:name="page348"/>
    <w:bookmarkEnd w:id="347"/>
    <w:p>
      <w:pPr>
        <w:jc w:val="both"/>
        <w:ind w:left="2220" w:right="160" w:hanging="2213"/>
        <w:spacing w:after="0" w:line="263" w:lineRule="auto"/>
        <w:tabs>
          <w:tab w:leader="none" w:pos="2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G&amp;A Services:</w:t>
      </w:r>
      <w:r>
        <w:rPr>
          <w:sz w:val="20"/>
          <w:szCs w:val="20"/>
          <w:color w:val="auto"/>
        </w:rPr>
        <w:tab/>
      </w:r>
      <w:r>
        <w:rPr>
          <w:rFonts w:ascii="Arial" w:cs="Arial" w:eastAsia="Arial" w:hAnsi="Arial"/>
          <w:sz w:val="18"/>
          <w:szCs w:val="18"/>
          <w:color w:val="auto"/>
        </w:rPr>
        <w:t>For G&amp;A services as described in Section 2.3 of the Agreement, InCube will bill Rani for a monthly flat fee of $43,200. This fee will be subject to review and revision semi-annually, upon mutual consent of the Parties. The fee comprises of the following components:</w:t>
      </w:r>
    </w:p>
    <w:p>
      <w:pPr>
        <w:spacing w:after="0" w:line="93" w:lineRule="exact"/>
        <w:rPr>
          <w:sz w:val="20"/>
          <w:szCs w:val="20"/>
          <w:color w:val="auto"/>
        </w:rPr>
      </w:pPr>
    </w:p>
    <w:p>
      <w:pPr>
        <w:ind w:left="2560" w:right="60" w:hanging="350"/>
        <w:spacing w:after="0" w:line="277" w:lineRule="auto"/>
        <w:tabs>
          <w:tab w:leader="none" w:pos="254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Accounting &amp; financial services: A monthly recurring charge of $7,130, based on estimated shared services for a VP of Finance.</w:t>
      </w:r>
    </w:p>
    <w:p>
      <w:pPr>
        <w:spacing w:after="0" w:line="75" w:lineRule="exact"/>
        <w:rPr>
          <w:rFonts w:ascii="Arial" w:cs="Arial" w:eastAsia="Arial" w:hAnsi="Arial"/>
          <w:sz w:val="18"/>
          <w:szCs w:val="18"/>
          <w:color w:val="auto"/>
        </w:rPr>
      </w:pPr>
    </w:p>
    <w:p>
      <w:pPr>
        <w:ind w:left="2560" w:right="160" w:hanging="350"/>
        <w:spacing w:after="0" w:line="277" w:lineRule="auto"/>
        <w:tabs>
          <w:tab w:leader="none" w:pos="255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IT Services: A monthly recurring charge of $16,740, based on estimated shared services for an FTE for the director of IT, a system administrator and assistant administrator.</w:t>
      </w:r>
    </w:p>
    <w:p>
      <w:pPr>
        <w:spacing w:after="0" w:line="75" w:lineRule="exact"/>
        <w:rPr>
          <w:rFonts w:ascii="Arial" w:cs="Arial" w:eastAsia="Arial" w:hAnsi="Arial"/>
          <w:sz w:val="18"/>
          <w:szCs w:val="18"/>
          <w:color w:val="auto"/>
        </w:rPr>
      </w:pPr>
    </w:p>
    <w:p>
      <w:pPr>
        <w:ind w:left="2560" w:right="520" w:hanging="350"/>
        <w:spacing w:after="0" w:line="277" w:lineRule="auto"/>
        <w:tabs>
          <w:tab w:leader="none" w:pos="25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Facility Services: A monthly recurring charge of $5,330 based on estimated shared services for an FTE for the facilities director.</w:t>
      </w:r>
    </w:p>
    <w:p>
      <w:pPr>
        <w:spacing w:after="0" w:line="75" w:lineRule="exact"/>
        <w:rPr>
          <w:rFonts w:ascii="Arial" w:cs="Arial" w:eastAsia="Arial" w:hAnsi="Arial"/>
          <w:sz w:val="18"/>
          <w:szCs w:val="18"/>
          <w:color w:val="auto"/>
        </w:rPr>
      </w:pPr>
    </w:p>
    <w:p>
      <w:pPr>
        <w:ind w:left="2560" w:right="40" w:hanging="350"/>
        <w:spacing w:after="0" w:line="277" w:lineRule="auto"/>
        <w:tabs>
          <w:tab w:leader="none" w:pos="255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HR Services and Administrative Support: A monthly recurring charge of $14,000 based on estimated shared services for an FTE HR director and office manager.</w:t>
      </w:r>
    </w:p>
    <w:p>
      <w:pPr>
        <w:spacing w:after="0" w:line="72" w:lineRule="exact"/>
        <w:rPr>
          <w:sz w:val="20"/>
          <w:szCs w:val="20"/>
          <w:color w:val="auto"/>
        </w:rPr>
      </w:pPr>
    </w:p>
    <w:p>
      <w:pPr>
        <w:ind w:left="2220" w:right="80" w:hanging="2213"/>
        <w:spacing w:after="0" w:line="257" w:lineRule="auto"/>
        <w:tabs>
          <w:tab w:leader="none" w:pos="2200" w:val="left"/>
        </w:tabs>
        <w:rPr>
          <w:sz w:val="20"/>
          <w:szCs w:val="20"/>
          <w:color w:val="auto"/>
        </w:rPr>
      </w:pPr>
      <w:r>
        <w:rPr>
          <w:rFonts w:ascii="Arial" w:cs="Arial" w:eastAsia="Arial" w:hAnsi="Arial"/>
          <w:sz w:val="18"/>
          <w:szCs w:val="18"/>
          <w:b w:val="1"/>
          <w:bCs w:val="1"/>
          <w:color w:val="auto"/>
        </w:rPr>
        <w:t>Other Services:</w:t>
      </w:r>
      <w:r>
        <w:rPr>
          <w:sz w:val="20"/>
          <w:szCs w:val="20"/>
          <w:color w:val="auto"/>
        </w:rPr>
        <w:tab/>
      </w:r>
      <w:r>
        <w:rPr>
          <w:rFonts w:ascii="Arial" w:cs="Arial" w:eastAsia="Arial" w:hAnsi="Arial"/>
          <w:sz w:val="18"/>
          <w:szCs w:val="18"/>
          <w:color w:val="auto"/>
        </w:rPr>
        <w:t>For Other Services as described in Section 2.4 of the Agreement, InCube will invoice Rani for the actual hours of business development personnel and investor relations team services. The billing will be calculated using an hourly billing rate for each of its employee’s services. The hourly billing rate will be calculated by adding the employee’s salary, fringe benefits and markup and dividing the total by 2,080 hours. The computation of the employee’s fringe benefits and markup are outlined in the chart below:</w:t>
      </w:r>
    </w:p>
    <w:p>
      <w:pPr>
        <w:spacing w:after="0" w:line="210" w:lineRule="exact"/>
        <w:rPr>
          <w:sz w:val="20"/>
          <w:szCs w:val="20"/>
          <w:color w:val="auto"/>
        </w:rPr>
      </w:pPr>
    </w:p>
    <w:tbl>
      <w:tblPr>
        <w:tblLayout w:type="fixed"/>
        <w:tblInd w:w="2200" w:type="dxa"/>
        <w:tblCellMar>
          <w:top w:w="0" w:type="dxa"/>
          <w:left w:w="0" w:type="dxa"/>
          <w:bottom w:w="0" w:type="dxa"/>
          <w:right w:w="0" w:type="dxa"/>
        </w:tblCellMar>
      </w:tblPr>
      <w:tr>
        <w:trPr>
          <w:trHeight w:val="185"/>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Other Services:</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2"/>
              </w:rPr>
              <w:t>Fringe Benefits</w:t>
            </w:r>
          </w:p>
        </w:tc>
        <w:tc>
          <w:tcPr>
            <w:tcW w:w="200" w:type="dxa"/>
            <w:vAlign w:val="bottom"/>
          </w:tcPr>
          <w:p>
            <w:pPr>
              <w:spacing w:after="0"/>
              <w:rPr>
                <w:sz w:val="16"/>
                <w:szCs w:val="16"/>
                <w:color w:val="auto"/>
              </w:rPr>
            </w:pPr>
          </w:p>
        </w:tc>
        <w:tc>
          <w:tcPr>
            <w:tcW w:w="2640" w:type="dxa"/>
            <w:vAlign w:val="bottom"/>
          </w:tcPr>
          <w:p>
            <w:pPr>
              <w:ind w:left="980"/>
              <w:spacing w:after="0"/>
              <w:rPr>
                <w:sz w:val="20"/>
                <w:szCs w:val="20"/>
                <w:color w:val="auto"/>
              </w:rPr>
            </w:pPr>
            <w:r>
              <w:rPr>
                <w:rFonts w:ascii="Arial" w:cs="Arial" w:eastAsia="Arial" w:hAnsi="Arial"/>
                <w:sz w:val="14"/>
                <w:szCs w:val="14"/>
                <w:b w:val="1"/>
                <w:bCs w:val="1"/>
                <w:color w:val="auto"/>
              </w:rPr>
              <w:t>Markup %</w:t>
            </w:r>
          </w:p>
        </w:tc>
      </w:tr>
      <w:tr>
        <w:trPr>
          <w:trHeight w:val="195"/>
        </w:trPr>
        <w:tc>
          <w:tcPr>
            <w:tcW w:w="20" w:type="dxa"/>
            <w:vAlign w:val="bottom"/>
          </w:tcPr>
          <w:p>
            <w:pPr>
              <w:spacing w:after="0"/>
              <w:rPr>
                <w:sz w:val="16"/>
                <w:szCs w:val="16"/>
                <w:color w:val="auto"/>
              </w:rPr>
            </w:pPr>
          </w:p>
        </w:tc>
        <w:tc>
          <w:tcPr>
            <w:tcW w:w="2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Investor Relations</w:t>
            </w:r>
          </w:p>
        </w:tc>
        <w:tc>
          <w:tcPr>
            <w:tcW w:w="180" w:type="dxa"/>
            <w:vAlign w:val="bottom"/>
          </w:tcPr>
          <w:p>
            <w:pPr>
              <w:spacing w:after="0"/>
              <w:rPr>
                <w:sz w:val="16"/>
                <w:szCs w:val="16"/>
                <w:color w:val="auto"/>
              </w:rPr>
            </w:pPr>
          </w:p>
        </w:tc>
        <w:tc>
          <w:tcPr>
            <w:tcW w:w="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Cost</w:t>
            </w:r>
          </w:p>
        </w:tc>
        <w:tc>
          <w:tcPr>
            <w:tcW w:w="2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22% of Salary</w:t>
            </w:r>
          </w:p>
        </w:tc>
        <w:tc>
          <w:tcPr>
            <w:tcW w:w="200" w:type="dxa"/>
            <w:vAlign w:val="bottom"/>
          </w:tcPr>
          <w:p>
            <w:pPr>
              <w:spacing w:after="0"/>
              <w:rPr>
                <w:sz w:val="16"/>
                <w:szCs w:val="16"/>
                <w:color w:val="auto"/>
              </w:rPr>
            </w:pPr>
          </w:p>
        </w:tc>
        <w:tc>
          <w:tcPr>
            <w:tcW w:w="2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25% of Salary</w:t>
            </w:r>
          </w:p>
        </w:tc>
      </w:tr>
      <w:tr>
        <w:trPr>
          <w:trHeight w:val="230"/>
        </w:trPr>
        <w:tc>
          <w:tcPr>
            <w:tcW w:w="2700" w:type="dxa"/>
            <w:vAlign w:val="bottom"/>
            <w:gridSpan w:val="3"/>
          </w:tcPr>
          <w:p>
            <w:pPr>
              <w:spacing w:after="0"/>
              <w:rPr>
                <w:sz w:val="20"/>
                <w:szCs w:val="20"/>
                <w:color w:val="auto"/>
              </w:rPr>
            </w:pPr>
            <w:r>
              <w:rPr>
                <w:rFonts w:ascii="Arial" w:cs="Arial" w:eastAsia="Arial" w:hAnsi="Arial"/>
                <w:sz w:val="18"/>
                <w:szCs w:val="18"/>
                <w:color w:val="auto"/>
              </w:rPr>
              <w:t>Business Development</w:t>
            </w:r>
          </w:p>
        </w:tc>
        <w:tc>
          <w:tcPr>
            <w:tcW w:w="6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Cost</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22% of Salary</w:t>
            </w:r>
          </w:p>
        </w:tc>
        <w:tc>
          <w:tcPr>
            <w:tcW w:w="2840" w:type="dxa"/>
            <w:vAlign w:val="bottom"/>
            <w:gridSpan w:val="2"/>
          </w:tcPr>
          <w:p>
            <w:pPr>
              <w:ind w:left="200"/>
              <w:spacing w:after="0"/>
              <w:rPr>
                <w:sz w:val="20"/>
                <w:szCs w:val="20"/>
                <w:color w:val="auto"/>
              </w:rPr>
            </w:pPr>
            <w:r>
              <w:rPr>
                <w:rFonts w:ascii="Arial" w:cs="Arial" w:eastAsia="Arial" w:hAnsi="Arial"/>
                <w:sz w:val="18"/>
                <w:szCs w:val="18"/>
                <w:color w:val="auto"/>
              </w:rPr>
              <w:t>25% of Salary</w:t>
            </w:r>
          </w:p>
        </w:tc>
      </w:tr>
    </w:tbl>
    <w:p>
      <w:pPr>
        <w:spacing w:after="0" w:line="33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As documentation, InCube will attach a list of such employees’ hours with each invoice.</w:t>
      </w:r>
    </w:p>
    <w:p>
      <w:pPr>
        <w:sectPr>
          <w:pgSz w:w="11900" w:h="16838" w:orient="portrait"/>
          <w:cols w:equalWidth="0" w:num="1">
            <w:col w:w="11020"/>
          </w:cols>
          <w:pgMar w:left="440" w:top="378" w:right="4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September 15, 2020</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RANI THERAPEUTICS, LLC,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California limited liability company,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w:t>
      </w: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AVENUE VENTURE OPPORTUNITIES FUND, L.P.,</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Delaware limited partnership,</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as “</w:t>
      </w:r>
      <w:r>
        <w:rPr>
          <w:rFonts w:ascii="Arial" w:cs="Arial" w:eastAsia="Arial" w:hAnsi="Arial"/>
          <w:sz w:val="18"/>
          <w:szCs w:val="18"/>
          <w:b w:val="1"/>
          <w:bCs w:val="1"/>
          <w:u w:val="single" w:color="auto"/>
          <w:color w:val="auto"/>
        </w:rPr>
        <w:t>Lender</w:t>
      </w:r>
      <w:r>
        <w:rPr>
          <w:rFonts w:ascii="Arial" w:cs="Arial" w:eastAsia="Arial" w:hAnsi="Arial"/>
          <w:sz w:val="18"/>
          <w:szCs w:val="18"/>
          <w:b w:val="1"/>
          <w:bCs w:val="1"/>
          <w:color w:val="auto"/>
        </w:rPr>
        <w:t>”</w:t>
      </w:r>
    </w:p>
    <w:p>
      <w:pPr>
        <w:sectPr>
          <w:pgSz w:w="11900" w:h="16838" w:orient="portrait"/>
          <w:cols w:equalWidth="0" w:num="1">
            <w:col w:w="10020"/>
          </w:cols>
          <w:pgMar w:left="1440" w:top="121" w:right="439"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AND SECURITY AGREEMENT</w:t>
      </w:r>
    </w:p>
    <w:p>
      <w:pPr>
        <w:spacing w:after="0" w:line="229"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Borrower and Lender have entered or anticipate entering into one or more transactions pursuant to which Lender agrees to make available to Borrower a loan facility governed by the terms and conditions set forth in this document and one or more Supplements executed by Borrower and Lender which incorporate this document by reference. Each Supplement constitutes a supplement to and forms part of this document, and will be read and construed as one with this document, so that this document and the Supplement constitute a single agreement between the parties (collectively referred to as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parties agree as follows:</w:t>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 INTERPRETATION</w:t>
      </w:r>
    </w:p>
    <w:p>
      <w:pPr>
        <w:spacing w:after="0" w:line="117" w:lineRule="exact"/>
        <w:rPr>
          <w:sz w:val="20"/>
          <w:szCs w:val="20"/>
          <w:color w:val="auto"/>
        </w:rPr>
      </w:pPr>
    </w:p>
    <w:p>
      <w:pPr>
        <w:ind w:firstLine="360"/>
        <w:spacing w:after="0" w:line="266" w:lineRule="auto"/>
        <w:rPr>
          <w:sz w:val="20"/>
          <w:szCs w:val="20"/>
          <w:color w:val="auto"/>
        </w:rPr>
      </w:pPr>
      <w:r>
        <w:rPr>
          <w:rFonts w:ascii="Arial" w:cs="Arial" w:eastAsia="Arial" w:hAnsi="Arial"/>
          <w:sz w:val="18"/>
          <w:szCs w:val="18"/>
          <w:b w:val="1"/>
          <w:bCs w:val="1"/>
          <w:color w:val="auto"/>
        </w:rPr>
        <w:t>1.1 Definitions</w:t>
      </w:r>
      <w:r>
        <w:rPr>
          <w:rFonts w:ascii="Arial" w:cs="Arial" w:eastAsia="Arial" w:hAnsi="Arial"/>
          <w:sz w:val="18"/>
          <w:szCs w:val="18"/>
          <w:color w:val="auto"/>
        </w:rPr>
        <w:t>. The terms defined in Article 10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will have the meanings therein specified for purposes of this Agreement.</w:t>
      </w:r>
    </w:p>
    <w:p>
      <w:pPr>
        <w:spacing w:after="0" w:line="176" w:lineRule="exact"/>
        <w:rPr>
          <w:sz w:val="20"/>
          <w:szCs w:val="20"/>
          <w:color w:val="auto"/>
        </w:rPr>
      </w:pPr>
    </w:p>
    <w:p>
      <w:pPr>
        <w:ind w:right="160" w:firstLine="360"/>
        <w:spacing w:after="0" w:line="261" w:lineRule="auto"/>
        <w:rPr>
          <w:sz w:val="20"/>
          <w:szCs w:val="20"/>
          <w:color w:val="auto"/>
        </w:rPr>
      </w:pPr>
      <w:r>
        <w:rPr>
          <w:rFonts w:ascii="Arial" w:cs="Arial" w:eastAsia="Arial" w:hAnsi="Arial"/>
          <w:sz w:val="18"/>
          <w:szCs w:val="18"/>
          <w:b w:val="1"/>
          <w:bCs w:val="1"/>
          <w:color w:val="auto"/>
        </w:rPr>
        <w:t>1.2 Inconsistency</w:t>
      </w:r>
      <w:r>
        <w:rPr>
          <w:rFonts w:ascii="Arial" w:cs="Arial" w:eastAsia="Arial" w:hAnsi="Arial"/>
          <w:sz w:val="18"/>
          <w:szCs w:val="18"/>
          <w:color w:val="auto"/>
        </w:rPr>
        <w:t>. In the event of any inconsistency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any Supplement and this document, the provisions of the Supplement will be controlling for the purpose of all relevant transactions.</w:t>
      </w:r>
    </w:p>
    <w:p>
      <w:pPr>
        <w:spacing w:after="0" w:line="180"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b w:val="1"/>
          <w:bCs w:val="1"/>
          <w:color w:val="auto"/>
        </w:rPr>
        <w:t>1.3 Transparency Pledge</w:t>
      </w:r>
      <w:r>
        <w:rPr>
          <w:rFonts w:ascii="Arial" w:cs="Arial" w:eastAsia="Arial" w:hAnsi="Arial"/>
          <w:sz w:val="17"/>
          <w:szCs w:val="17"/>
          <w:color w:val="auto"/>
        </w:rPr>
        <w:t>. For the avoidance of doubt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this Agreement or in the other Loan Documents: (a) the occurrence of a Material Adverse Change or Material Adverse Effect shall not constitute an Event of Default or otherwise allow Lender to declare the outstanding Loans due and payable; (b) Lender shall not be entitled to (i) require Borrower’s investors or members of Borrower’s Board of Managers to make any additional written or verbal commitments of ongoing financial support, or (ii) require Borrower to conduct its banking or hold its deposits at any specific bank or financial institution; and (c) Borrower shall not be required to maintain any minimum tangible net worth, working capital, current ratio, quick asset ratio, liquidity ratio or debt-to-equity ratio or comply with any similar financial covenant.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THE COMMITMENT AND LOANS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2.1 The Commitment</w:t>
      </w:r>
      <w:r>
        <w:rPr>
          <w:rFonts w:ascii="Arial" w:cs="Arial" w:eastAsia="Arial" w:hAnsi="Arial"/>
          <w:sz w:val="16"/>
          <w:szCs w:val="16"/>
          <w:color w:val="auto"/>
        </w:rPr>
        <w:t>. Subject to the terms and conditions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Lender agrees to make term loans to Borrower from time to time from the Closing Date and to and including the Termination Date in an aggregate principal amount not exceeding the Commitment. The Commitment is not a revolving credit commitment, and Borrower does not have the right to repay and reborrow hereunder, provided that Borrower may prepay the Loans as set forth in the Supplement. Each Loan requested by Borrower to be made on a single Business Day shall be for a minimum principal amount set forth in the Supplement, except to the extent the remaining Commitment is a lesser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color w:val="auto"/>
        </w:rPr>
        <w:t>Notes Evidencing Loans; Repayment. Each Loan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evidenced by a separate Note payable to the order of Lender, in the total principal amount of the Loan. Principal and interest of each Loan shall be payable at the times and in the manner set forth in the Note and regularly scheduled payments thereof shall be effected by automatic debit of the appropriate funds from Borrower’s Primary Operating Account as specified in the Supplement hereto. Repayment of the Loans and payment of all other amounts owed to Lender will be paid by Borrower in the currency in which the same has been provided (i.e., United States Dollars).</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2.3 Procedures for Borrowing</w:t>
      </w:r>
      <w:r>
        <w:rPr>
          <w:rFonts w:ascii="Arial" w:cs="Arial" w:eastAsia="Arial" w:hAnsi="Arial"/>
          <w:sz w:val="18"/>
          <w:szCs w:val="18"/>
          <w:color w:val="auto"/>
        </w:rPr>
        <w:t>.</w:t>
      </w:r>
    </w:p>
    <w:p>
      <w:pPr>
        <w:spacing w:after="0" w:line="121" w:lineRule="exact"/>
        <w:rPr>
          <w:sz w:val="20"/>
          <w:szCs w:val="20"/>
          <w:color w:val="auto"/>
        </w:rPr>
      </w:pPr>
    </w:p>
    <w:p>
      <w:pPr>
        <w:ind w:firstLine="354"/>
        <w:spacing w:after="0" w:line="269" w:lineRule="auto"/>
        <w:tabs>
          <w:tab w:leader="none" w:pos="615" w:val="left"/>
        </w:tabs>
        <w:numPr>
          <w:ilvl w:val="0"/>
          <w:numId w:val="226"/>
        </w:numPr>
        <w:rPr>
          <w:rFonts w:ascii="Arial" w:cs="Arial" w:eastAsia="Arial" w:hAnsi="Arial"/>
          <w:sz w:val="17"/>
          <w:szCs w:val="17"/>
          <w:b w:val="1"/>
          <w:bCs w:val="1"/>
          <w:color w:val="auto"/>
        </w:rPr>
      </w:pPr>
      <w:r>
        <w:rPr>
          <w:rFonts w:ascii="Arial" w:cs="Arial" w:eastAsia="Arial" w:hAnsi="Arial"/>
          <w:sz w:val="17"/>
          <w:szCs w:val="17"/>
          <w:color w:val="auto"/>
        </w:rPr>
        <w:t>At least five (5) Business Days prior to a proposed Borrowing Date (or such lesser period of time as may be agreed upon by Lender in its sole discretion), Lender shall have received from Borrower a written request for a borrowing hereunder (a “</w:t>
      </w:r>
      <w:r>
        <w:rPr>
          <w:rFonts w:ascii="Arial" w:cs="Arial" w:eastAsia="Arial" w:hAnsi="Arial"/>
          <w:sz w:val="17"/>
          <w:szCs w:val="17"/>
          <w:b w:val="1"/>
          <w:bCs w:val="1"/>
          <w:u w:val="single" w:color="auto"/>
          <w:color w:val="auto"/>
        </w:rPr>
        <w:t>Borrowing Request</w:t>
      </w:r>
      <w:r>
        <w:rPr>
          <w:rFonts w:ascii="Arial" w:cs="Arial" w:eastAsia="Arial" w:hAnsi="Arial"/>
          <w:sz w:val="17"/>
          <w:szCs w:val="17"/>
          <w:color w:val="auto"/>
        </w:rPr>
        <w:t xml:space="preserve">”). Each Borrowing Request shall be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to the Supplement, shall be executed by a responsible executive or financial officer of Borrower, and shall state how much is requested, and shall be accompanied by such other information and documentation as Lender may reasonably request, including the executed Note(s) for the Loan(s) covered by the Borrowing Request.</w:t>
      </w:r>
    </w:p>
    <w:p>
      <w:pPr>
        <w:spacing w:after="0" w:line="185" w:lineRule="exact"/>
        <w:rPr>
          <w:rFonts w:ascii="Arial" w:cs="Arial" w:eastAsia="Arial" w:hAnsi="Arial"/>
          <w:sz w:val="17"/>
          <w:szCs w:val="17"/>
          <w:b w:val="1"/>
          <w:bCs w:val="1"/>
          <w:color w:val="auto"/>
        </w:rPr>
      </w:pPr>
    </w:p>
    <w:p>
      <w:pPr>
        <w:ind w:right="140" w:firstLine="354"/>
        <w:spacing w:after="0" w:line="301" w:lineRule="auto"/>
        <w:tabs>
          <w:tab w:leader="none" w:pos="625" w:val="left"/>
        </w:tabs>
        <w:numPr>
          <w:ilvl w:val="0"/>
          <w:numId w:val="226"/>
        </w:numPr>
        <w:rPr>
          <w:rFonts w:ascii="Arial" w:cs="Arial" w:eastAsia="Arial" w:hAnsi="Arial"/>
          <w:sz w:val="16"/>
          <w:szCs w:val="16"/>
          <w:b w:val="1"/>
          <w:bCs w:val="1"/>
          <w:color w:val="auto"/>
        </w:rPr>
      </w:pPr>
      <w:r>
        <w:rPr>
          <w:rFonts w:ascii="Arial" w:cs="Arial" w:eastAsia="Arial" w:hAnsi="Arial"/>
          <w:sz w:val="16"/>
          <w:szCs w:val="16"/>
          <w:color w:val="auto"/>
        </w:rPr>
        <w:t>No later than 1:00 p.m. Pacific Standard Time on the Borrowing Date, if Borrower has satisfied the conditions precedent in Article 4 by 9:00 a.m. Pacific Standard Time on such Borrowing Date, Lender shall make the Loan available to Borrower in immediately available funds.</w:t>
      </w:r>
    </w:p>
    <w:p>
      <w:pPr>
        <w:spacing w:after="0" w:line="2352" w:lineRule="exact"/>
        <w:rPr>
          <w:sz w:val="20"/>
          <w:szCs w:val="20"/>
          <w:color w:val="auto"/>
        </w:rPr>
      </w:pPr>
    </w:p>
    <w:p>
      <w:pPr>
        <w:sectPr>
          <w:pgSz w:w="11900" w:h="16838" w:orient="portrait"/>
          <w:cols w:equalWidth="0" w:num="2">
            <w:col w:w="5240" w:space="380"/>
            <w:col w:w="5380"/>
          </w:cols>
          <w:pgMar w:left="440" w:top="270" w:right="45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00"/>
          </w:cols>
          <w:pgMar w:left="440" w:top="270" w:right="459" w:bottom="1440" w:gutter="0" w:footer="0" w:header="0"/>
          <w:type w:val="continuous"/>
        </w:sectPr>
      </w:pPr>
    </w:p>
    <w:bookmarkStart w:id="350" w:name="page351"/>
    <w:bookmarkEnd w:id="350"/>
    <w:p>
      <w:pPr>
        <w:ind w:firstLine="360"/>
        <w:spacing w:after="0" w:line="274" w:lineRule="auto"/>
        <w:rPr>
          <w:sz w:val="20"/>
          <w:szCs w:val="20"/>
          <w:color w:val="auto"/>
        </w:rPr>
      </w:pPr>
      <w:r>
        <w:rPr>
          <w:rFonts w:ascii="Arial" w:cs="Arial" w:eastAsia="Arial" w:hAnsi="Arial"/>
          <w:sz w:val="17"/>
          <w:szCs w:val="17"/>
          <w:b w:val="1"/>
          <w:bCs w:val="1"/>
          <w:color w:val="auto"/>
        </w:rPr>
        <w:t>2.4 Interest</w:t>
      </w:r>
      <w:r>
        <w:rPr>
          <w:rFonts w:ascii="Arial" w:cs="Arial" w:eastAsia="Arial" w:hAnsi="Arial"/>
          <w:sz w:val="17"/>
          <w:szCs w:val="17"/>
          <w:color w:val="auto"/>
        </w:rPr>
        <w:t>. Except as otherwise specified in the applicable Note</w:t>
      </w:r>
      <w:r>
        <w:rPr>
          <w:rFonts w:ascii="Arial" w:cs="Arial" w:eastAsia="Arial" w:hAnsi="Arial"/>
          <w:sz w:val="17"/>
          <w:szCs w:val="17"/>
          <w:b w:val="1"/>
          <w:bCs w:val="1"/>
          <w:color w:val="auto"/>
        </w:rPr>
        <w:t xml:space="preserve"> </w:t>
      </w:r>
      <w:r>
        <w:rPr>
          <w:rFonts w:ascii="Arial" w:cs="Arial" w:eastAsia="Arial" w:hAnsi="Arial"/>
          <w:sz w:val="17"/>
          <w:szCs w:val="17"/>
          <w:color w:val="auto"/>
        </w:rPr>
        <w:t>and/or Supplement, Basic Interest on the outstanding principal balance of each Loan shall accrue daily at the Designated Rate from the Borrowing Date. If the outstanding principal balance of such Loan is not paid at maturity, interest shall accrue at the Default Rate until paid in full, as further set forth herein.</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2.5 Intentionally Omitted</w:t>
      </w:r>
      <w:r>
        <w:rPr>
          <w:rFonts w:ascii="Arial" w:cs="Arial" w:eastAsia="Arial" w:hAnsi="Arial"/>
          <w:sz w:val="18"/>
          <w:szCs w:val="18"/>
          <w:color w:val="auto"/>
        </w:rPr>
        <w:t>.</w:t>
      </w:r>
    </w:p>
    <w:p>
      <w:pPr>
        <w:spacing w:after="0" w:line="225" w:lineRule="exact"/>
        <w:rPr>
          <w:sz w:val="20"/>
          <w:szCs w:val="20"/>
          <w:color w:val="auto"/>
        </w:rPr>
      </w:pPr>
    </w:p>
    <w:p>
      <w:pPr>
        <w:ind w:right="140" w:firstLine="360"/>
        <w:spacing w:after="0" w:line="292" w:lineRule="auto"/>
        <w:rPr>
          <w:sz w:val="20"/>
          <w:szCs w:val="20"/>
          <w:color w:val="auto"/>
        </w:rPr>
      </w:pPr>
      <w:r>
        <w:rPr>
          <w:rFonts w:ascii="Arial" w:cs="Arial" w:eastAsia="Arial" w:hAnsi="Arial"/>
          <w:sz w:val="16"/>
          <w:szCs w:val="16"/>
          <w:b w:val="1"/>
          <w:bCs w:val="1"/>
          <w:color w:val="auto"/>
        </w:rPr>
        <w:t>2.6 Interest Rate Calculation</w:t>
      </w:r>
      <w:r>
        <w:rPr>
          <w:rFonts w:ascii="Arial" w:cs="Arial" w:eastAsia="Arial" w:hAnsi="Arial"/>
          <w:sz w:val="16"/>
          <w:szCs w:val="16"/>
          <w:color w:val="auto"/>
        </w:rPr>
        <w:t>. Basic Interest, along with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and fees under this Agreement and any Loan Document, shall be calculated for actual days elapsed on the basis of a 360-day year, which results in higher interest, charge or fee payments than if a 365-day year were used. In no event shall Borrower be obligated to pay Lender interest, charges or fees at a rate in excess of the highest rate permitted by applicable law from time to time in effect.</w:t>
      </w:r>
    </w:p>
    <w:p>
      <w:pPr>
        <w:spacing w:after="0" w:line="161" w:lineRule="exact"/>
        <w:rPr>
          <w:sz w:val="20"/>
          <w:szCs w:val="20"/>
          <w:color w:val="auto"/>
        </w:rPr>
      </w:pPr>
    </w:p>
    <w:p>
      <w:pPr>
        <w:ind w:right="160" w:firstLine="360"/>
        <w:spacing w:after="0" w:line="261" w:lineRule="auto"/>
        <w:rPr>
          <w:sz w:val="20"/>
          <w:szCs w:val="20"/>
          <w:color w:val="auto"/>
        </w:rPr>
      </w:pPr>
      <w:r>
        <w:rPr>
          <w:rFonts w:ascii="Arial" w:cs="Arial" w:eastAsia="Arial" w:hAnsi="Arial"/>
          <w:sz w:val="18"/>
          <w:szCs w:val="18"/>
          <w:b w:val="1"/>
          <w:bCs w:val="1"/>
          <w:color w:val="auto"/>
        </w:rPr>
        <w:t>2.7 Default Interest</w:t>
      </w:r>
      <w:r>
        <w:rPr>
          <w:rFonts w:ascii="Arial" w:cs="Arial" w:eastAsia="Arial" w:hAnsi="Arial"/>
          <w:sz w:val="18"/>
          <w:szCs w:val="18"/>
          <w:color w:val="auto"/>
        </w:rPr>
        <w:t>. Any unpaid payments in respect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shall bear interest from their respective maturities, whether scheduled or accelerated, at the Default Rate, Borrower shall pay such interest on demand.</w:t>
      </w:r>
    </w:p>
    <w:p>
      <w:pPr>
        <w:spacing w:after="0" w:line="180"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color w:val="auto"/>
        </w:rPr>
        <w:t>2.8 Late Charges</w:t>
      </w:r>
      <w:r>
        <w:rPr>
          <w:rFonts w:ascii="Arial" w:cs="Arial" w:eastAsia="Arial" w:hAnsi="Arial"/>
          <w:sz w:val="16"/>
          <w:szCs w:val="16"/>
          <w:color w:val="auto"/>
        </w:rPr>
        <w:t>. If Borrower is late in making any scheduled</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in respect of the Obligations by more than five (5) days, then Borrower agrees to pay a late charge of five percent (5%) of the payment due, but not less than fifty dollars ($50.00)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Agreement or any of the other Loan Documents or from exercising any other rights and remedies of Lender.</w:t>
      </w:r>
    </w:p>
    <w:p>
      <w:pPr>
        <w:spacing w:after="0" w:line="164"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b w:val="1"/>
          <w:bCs w:val="1"/>
          <w:color w:val="auto"/>
        </w:rPr>
        <w:t>2.9 Lender’s Records</w:t>
      </w:r>
      <w:r>
        <w:rPr>
          <w:rFonts w:ascii="Arial" w:cs="Arial" w:eastAsia="Arial" w:hAnsi="Arial"/>
          <w:sz w:val="17"/>
          <w:szCs w:val="17"/>
          <w:color w:val="auto"/>
        </w:rPr>
        <w:t>. Principal, Basic Interest and all other sums</w:t>
      </w:r>
      <w:r>
        <w:rPr>
          <w:rFonts w:ascii="Arial" w:cs="Arial" w:eastAsia="Arial" w:hAnsi="Arial"/>
          <w:sz w:val="17"/>
          <w:szCs w:val="17"/>
          <w:b w:val="1"/>
          <w:bCs w:val="1"/>
          <w:color w:val="auto"/>
        </w:rPr>
        <w:t xml:space="preserve"> </w:t>
      </w:r>
      <w:r>
        <w:rPr>
          <w:rFonts w:ascii="Arial" w:cs="Arial" w:eastAsia="Arial" w:hAnsi="Arial"/>
          <w:sz w:val="17"/>
          <w:szCs w:val="17"/>
          <w:color w:val="auto"/>
        </w:rPr>
        <w:t>owed under any Loan Document shall be evidenced by entries in records maintained by Lender for such purpose. Each payment on and any other credits with respect to principal, Basic Interest and all other sums outstanding under any Loan Document shall be evidenced by entries in such records. Absent manifest error, Lender’s records shall be conclusive evidence thereof.</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6"/>
          <w:szCs w:val="16"/>
          <w:b w:val="1"/>
          <w:bCs w:val="1"/>
          <w:color w:val="auto"/>
        </w:rPr>
        <w:t>2.10 Grant of Security Interests; Filing of Financing Statements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-233045</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4" w:lineRule="exact"/>
        <w:rPr>
          <w:sz w:val="20"/>
          <w:szCs w:val="20"/>
          <w:color w:val="auto"/>
        </w:rPr>
      </w:pPr>
    </w:p>
    <w:p>
      <w:pPr>
        <w:ind w:left="160" w:firstLine="354"/>
        <w:spacing w:after="0" w:line="271" w:lineRule="auto"/>
        <w:tabs>
          <w:tab w:leader="none" w:pos="775" w:val="left"/>
        </w:tabs>
        <w:numPr>
          <w:ilvl w:val="0"/>
          <w:numId w:val="227"/>
        </w:numPr>
        <w:rPr>
          <w:rFonts w:ascii="Arial" w:cs="Arial" w:eastAsia="Arial" w:hAnsi="Arial"/>
          <w:sz w:val="17"/>
          <w:szCs w:val="17"/>
          <w:b w:val="1"/>
          <w:bCs w:val="1"/>
          <w:color w:val="auto"/>
        </w:rPr>
      </w:pPr>
      <w:r>
        <w:rPr>
          <w:rFonts w:ascii="Arial" w:cs="Arial" w:eastAsia="Arial" w:hAnsi="Arial"/>
          <w:sz w:val="17"/>
          <w:szCs w:val="17"/>
          <w:color w:val="auto"/>
        </w:rPr>
        <w:t>To secure the timely payment and performance of all of Borrower’s Obligations, Borrower hereby grants to Lender continuing security interests in all of the Collateral. In connection with the foregoing, Borrower authorizes Lender to prepare and file any financing statements describing the Collateral without otherwise obtaining Borrower’s signature or consent with respect to the filing of such financing statements. Such financing statements may indicate the Collateral as “all assets of the Debtor” or words of similar effect.</w:t>
      </w:r>
    </w:p>
    <w:p>
      <w:pPr>
        <w:spacing w:after="0" w:line="178" w:lineRule="exact"/>
        <w:rPr>
          <w:rFonts w:ascii="Arial" w:cs="Arial" w:eastAsia="Arial" w:hAnsi="Arial"/>
          <w:sz w:val="17"/>
          <w:szCs w:val="17"/>
          <w:b w:val="1"/>
          <w:bCs w:val="1"/>
          <w:color w:val="auto"/>
        </w:rPr>
      </w:pPr>
    </w:p>
    <w:p>
      <w:pPr>
        <w:ind w:left="160" w:firstLine="354"/>
        <w:spacing w:after="0" w:line="283" w:lineRule="auto"/>
        <w:tabs>
          <w:tab w:leader="none" w:pos="785" w:val="left"/>
        </w:tabs>
        <w:numPr>
          <w:ilvl w:val="0"/>
          <w:numId w:val="227"/>
        </w:numPr>
        <w:rPr>
          <w:rFonts w:ascii="Arial" w:cs="Arial" w:eastAsia="Arial" w:hAnsi="Arial"/>
          <w:sz w:val="16"/>
          <w:szCs w:val="16"/>
          <w:b w:val="1"/>
          <w:bCs w:val="1"/>
          <w:color w:val="auto"/>
        </w:rPr>
      </w:pPr>
      <w:r>
        <w:rPr>
          <w:rFonts w:ascii="Arial" w:cs="Arial" w:eastAsia="Arial" w:hAnsi="Arial"/>
          <w:sz w:val="16"/>
          <w:szCs w:val="16"/>
          <w:color w:val="auto"/>
        </w:rPr>
        <w:t>In furtherance of Borrower’s grant of the security interests in the Collateral pursuant to Section 2.10(a) above, Borrower hereby pledges and grants to Lender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Lender’s request, the certificate or certificates for the Shares will be delivered to the Lender, accompanied by an instrument of assignment duly executed in blank by Borrower, unless such Shares have not been certificated.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Lender may effect the transfer of any securities included in the Collateral (including but not limited to the Shares) into the name of Lender and cause new certificates representing such securities to be issued in the name of Lender or its transferee(s). Borrower will execute and deliver such documents, and take or cause to be taken such actions, as Lender may reasonably request to perfect or continue the perfection of Lender’s security interest in the Shares. Except as provided in the following sentence, Borrower shall be entitled to exercise any voting rights with respect to the Shares and to give consents, waivers and ratifications in respect thereof, provided that no vote shall be cast or consent, waiver or ratification given or action taken which would constitute a violation of any of the terms of this Agreement. All such rights to vote and give consents, waivers and ratifications shall terminate upon the occurrence and continuance of an Event of Default and Lender’s written notice to Borrower of Lender’s intent to exercise its rights and remedies under this Agreement, including this Section 2.10(b).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280" w:space="180"/>
            <w:col w:w="5560"/>
          </w:cols>
          <w:pgMar w:left="440" w:top="324" w:right="439" w:bottom="1440" w:gutter="0" w:footer="0" w:header="0"/>
        </w:sectPr>
      </w:pPr>
    </w:p>
    <w:bookmarkStart w:id="351" w:name="page352"/>
    <w:bookmarkEnd w:id="351"/>
    <w:p>
      <w:pPr>
        <w:spacing w:after="0" w:line="4" w:lineRule="exact"/>
        <w:rPr>
          <w:sz w:val="20"/>
          <w:szCs w:val="20"/>
          <w:color w:val="auto"/>
        </w:rPr>
      </w:pPr>
    </w:p>
    <w:p>
      <w:pPr>
        <w:ind w:right="320" w:firstLine="356"/>
        <w:spacing w:after="0" w:line="301" w:lineRule="auto"/>
        <w:tabs>
          <w:tab w:leader="none" w:pos="604" w:val="left"/>
        </w:tabs>
        <w:numPr>
          <w:ilvl w:val="0"/>
          <w:numId w:val="228"/>
        </w:numPr>
        <w:rPr>
          <w:rFonts w:ascii="Arial" w:cs="Arial" w:eastAsia="Arial" w:hAnsi="Arial"/>
          <w:sz w:val="16"/>
          <w:szCs w:val="16"/>
          <w:b w:val="1"/>
          <w:bCs w:val="1"/>
          <w:color w:val="auto"/>
        </w:rPr>
      </w:pPr>
      <w:r>
        <w:rPr>
          <w:rFonts w:ascii="Arial" w:cs="Arial" w:eastAsia="Arial" w:hAnsi="Arial"/>
          <w:sz w:val="16"/>
          <w:szCs w:val="16"/>
          <w:color w:val="auto"/>
        </w:rPr>
        <w:t>Borrower is and shall remain absolutely and unconditionally liable for the performance of its Obligations, including, without limitation, any deficiency by reason of the failure of the Collateral to satisfy all amounts due Lender under any of the Loan Documents.</w:t>
      </w:r>
    </w:p>
    <w:p>
      <w:pPr>
        <w:spacing w:after="0" w:line="157" w:lineRule="exact"/>
        <w:rPr>
          <w:rFonts w:ascii="Arial" w:cs="Arial" w:eastAsia="Arial" w:hAnsi="Arial"/>
          <w:sz w:val="16"/>
          <w:szCs w:val="16"/>
          <w:b w:val="1"/>
          <w:bCs w:val="1"/>
          <w:color w:val="auto"/>
        </w:rPr>
      </w:pPr>
    </w:p>
    <w:p>
      <w:pPr>
        <w:ind w:right="120" w:firstLine="356"/>
        <w:spacing w:after="0" w:line="270" w:lineRule="auto"/>
        <w:tabs>
          <w:tab w:leader="none" w:pos="625" w:val="left"/>
        </w:tabs>
        <w:numPr>
          <w:ilvl w:val="0"/>
          <w:numId w:val="228"/>
        </w:numPr>
        <w:rPr>
          <w:rFonts w:ascii="Arial" w:cs="Arial" w:eastAsia="Arial" w:hAnsi="Arial"/>
          <w:sz w:val="17"/>
          <w:szCs w:val="17"/>
          <w:b w:val="1"/>
          <w:bCs w:val="1"/>
          <w:color w:val="auto"/>
        </w:rPr>
      </w:pPr>
      <w:r>
        <w:rPr>
          <w:rFonts w:ascii="Arial" w:cs="Arial" w:eastAsia="Arial" w:hAnsi="Arial"/>
          <w:sz w:val="17"/>
          <w:szCs w:val="17"/>
          <w:color w:val="auto"/>
        </w:rPr>
        <w:t>All Collateral pledged by Borrower under this Agreement and any Supplement shall secure the timely payment and performance of all Obligations. Except in connection with dispositions permitted by this Agreement or as otherwise expressly provided in this Agreement (in which case the Lien on the Collateral so transferred shall be automatically deemed released), no Collateral pledged under this Agreement or any Supplement shall be released until such time as all Obligations (other than inchoate indemnity obligations) have been satisfied and paid in full.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REPRESENTATIONS AND WARRANTIES</w:t>
      </w:r>
    </w:p>
    <w:p>
      <w:pPr>
        <w:spacing w:after="0" w:line="121" w:lineRule="exact"/>
        <w:rPr>
          <w:sz w:val="20"/>
          <w:szCs w:val="20"/>
          <w:color w:val="auto"/>
        </w:rPr>
      </w:pPr>
    </w:p>
    <w:p>
      <w:pPr>
        <w:ind w:right="340" w:firstLine="360"/>
        <w:spacing w:after="0" w:line="263" w:lineRule="auto"/>
        <w:rPr>
          <w:sz w:val="20"/>
          <w:szCs w:val="20"/>
          <w:color w:val="auto"/>
        </w:rPr>
      </w:pPr>
      <w:r>
        <w:rPr>
          <w:rFonts w:ascii="Arial" w:cs="Arial" w:eastAsia="Arial" w:hAnsi="Arial"/>
          <w:sz w:val="18"/>
          <w:szCs w:val="18"/>
          <w:color w:val="auto"/>
        </w:rPr>
        <w:t>Borrower represents and warrants that, except as set forth in the Supplement or the Schedule of Exceptions hereto, if any, as of the Closing Date and each Borrowing Date:</w:t>
      </w:r>
    </w:p>
    <w:p>
      <w:pPr>
        <w:spacing w:after="0" w:line="180"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b w:val="1"/>
          <w:bCs w:val="1"/>
          <w:color w:val="auto"/>
        </w:rPr>
        <w:t>3.1 Due Organization</w:t>
      </w:r>
      <w:r>
        <w:rPr>
          <w:rFonts w:ascii="Arial" w:cs="Arial" w:eastAsia="Arial" w:hAnsi="Arial"/>
          <w:sz w:val="17"/>
          <w:szCs w:val="17"/>
          <w:color w:val="auto"/>
        </w:rPr>
        <w:t>. Borrower is a limited liability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duly organized and validly existing in good standing under the laws of the jurisdiction of its formation, and is duly qualified to conduct business and is in good standing in each other jurisdiction in which its business is conducted or its properties are located, except where the failure to be so qualified or in good standing could not reasonably be expected to have a Material Adverse Effect.</w:t>
      </w:r>
    </w:p>
    <w:p>
      <w:pPr>
        <w:spacing w:after="0" w:line="172"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b w:val="1"/>
          <w:bCs w:val="1"/>
          <w:color w:val="auto"/>
        </w:rPr>
        <w:t>3.2 Authorization, Validity and Enforceability</w:t>
      </w:r>
      <w:r>
        <w:rPr>
          <w:rFonts w:ascii="Arial" w:cs="Arial" w:eastAsia="Arial" w:hAnsi="Arial"/>
          <w:sz w:val="16"/>
          <w:szCs w:val="16"/>
          <w:color w:val="auto"/>
        </w:rPr>
        <w:t>.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and performance of all Loan Documents executed by Borrower are within Borrower’s powers, have been duly authorized, and are not in conflict with Borrower’s certificate of formation or operating agreement, or the terms of any charter or other organizational document of Borrower, as amended from time to time; and all such Loan Documents constitute valid and binding obligations of Borrower, enforceable in accordance with their terms (except as may be limited by bankruptcy, insolvency and similar laws affecting the enforcement of creditors’ rights in general, and subject to general principles of equity).</w:t>
      </w:r>
    </w:p>
    <w:p>
      <w:pPr>
        <w:spacing w:after="0" w:line="20" w:lineRule="exact"/>
        <w:rPr>
          <w:sz w:val="20"/>
          <w:szCs w:val="20"/>
          <w:color w:val="auto"/>
        </w:rPr>
      </w:pPr>
      <w:r>
        <w:rPr>
          <w:sz w:val="20"/>
          <w:szCs w:val="20"/>
          <w:color w:val="auto"/>
        </w:rPr>
        <w:br w:type="column"/>
      </w:r>
    </w:p>
    <w:p>
      <w:pPr>
        <w:ind w:left="160" w:right="240" w:firstLine="360"/>
        <w:spacing w:after="0" w:line="294" w:lineRule="auto"/>
        <w:rPr>
          <w:sz w:val="20"/>
          <w:szCs w:val="20"/>
          <w:color w:val="auto"/>
        </w:rPr>
      </w:pPr>
      <w:r>
        <w:rPr>
          <w:rFonts w:ascii="Arial" w:cs="Arial" w:eastAsia="Arial" w:hAnsi="Arial"/>
          <w:sz w:val="16"/>
          <w:szCs w:val="16"/>
          <w:b w:val="1"/>
          <w:bCs w:val="1"/>
          <w:color w:val="auto"/>
        </w:rPr>
        <w:t>3.3 Compliance with Applicable Laws</w:t>
      </w:r>
      <w:r>
        <w:rPr>
          <w:rFonts w:ascii="Arial" w:cs="Arial" w:eastAsia="Arial" w:hAnsi="Arial"/>
          <w:sz w:val="16"/>
          <w:szCs w:val="16"/>
          <w:color w:val="auto"/>
        </w:rPr>
        <w:t>. Borrower has complied</w:t>
      </w:r>
      <w:r>
        <w:rPr>
          <w:rFonts w:ascii="Arial" w:cs="Arial" w:eastAsia="Arial" w:hAnsi="Arial"/>
          <w:sz w:val="16"/>
          <w:szCs w:val="16"/>
          <w:b w:val="1"/>
          <w:bCs w:val="1"/>
          <w:color w:val="auto"/>
        </w:rPr>
        <w:t xml:space="preserve"> </w:t>
      </w:r>
      <w:r>
        <w:rPr>
          <w:rFonts w:ascii="Arial" w:cs="Arial" w:eastAsia="Arial" w:hAnsi="Arial"/>
          <w:sz w:val="16"/>
          <w:szCs w:val="16"/>
          <w:color w:val="auto"/>
        </w:rPr>
        <w:t>with all licensing, permit and fictitious name requirements necessary to lawfully conduct the business in which it is engaged, and to any sales, leases or the furnishing of services by Borrower, including without limitation those requiring consumer or other disclosures, the noncompliance with which would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-974725</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0" w:lineRule="exact"/>
        <w:rPr>
          <w:sz w:val="20"/>
          <w:szCs w:val="20"/>
          <w:color w:val="auto"/>
        </w:rPr>
      </w:pPr>
    </w:p>
    <w:p>
      <w:pPr>
        <w:ind w:left="160" w:firstLine="360"/>
        <w:spacing w:after="0" w:line="289" w:lineRule="auto"/>
        <w:rPr>
          <w:sz w:val="20"/>
          <w:szCs w:val="20"/>
          <w:color w:val="auto"/>
        </w:rPr>
      </w:pPr>
      <w:r>
        <w:rPr>
          <w:rFonts w:ascii="Arial" w:cs="Arial" w:eastAsia="Arial" w:hAnsi="Arial"/>
          <w:sz w:val="16"/>
          <w:szCs w:val="16"/>
          <w:b w:val="1"/>
          <w:bCs w:val="1"/>
          <w:color w:val="auto"/>
        </w:rPr>
        <w:t>3.4 No Conflict</w:t>
      </w:r>
      <w:r>
        <w:rPr>
          <w:rFonts w:ascii="Arial" w:cs="Arial" w:eastAsia="Arial" w:hAnsi="Arial"/>
          <w:sz w:val="16"/>
          <w:szCs w:val="16"/>
          <w:color w:val="auto"/>
        </w:rPr>
        <w:t>. The execution, delivery, and performance by</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of all Loan Documents are not in conflict with any law, rule, regulation, order or directive, or any indenture or other material agreement or undertaking to which Borrower is a party or by which Borrower may be bound. Without limiting the generality of the foregoing, the issuance of the Warrant and the grant of registration rights in connection therewith do not violate any agreement or instrument by which Borrower is bound or require the consent of any holders of Borrower’s securities other than consents which have been obtained prior to the Closing Date.</w:t>
      </w:r>
    </w:p>
    <w:p>
      <w:pPr>
        <w:spacing w:after="0" w:line="166" w:lineRule="exact"/>
        <w:rPr>
          <w:sz w:val="20"/>
          <w:szCs w:val="20"/>
          <w:color w:val="auto"/>
        </w:rPr>
      </w:pPr>
    </w:p>
    <w:p>
      <w:pPr>
        <w:ind w:left="160" w:right="20" w:firstLine="360"/>
        <w:spacing w:after="0" w:line="273" w:lineRule="auto"/>
        <w:rPr>
          <w:sz w:val="20"/>
          <w:szCs w:val="20"/>
          <w:color w:val="auto"/>
        </w:rPr>
      </w:pPr>
      <w:r>
        <w:rPr>
          <w:rFonts w:ascii="Arial" w:cs="Arial" w:eastAsia="Arial" w:hAnsi="Arial"/>
          <w:sz w:val="17"/>
          <w:szCs w:val="17"/>
          <w:b w:val="1"/>
          <w:bCs w:val="1"/>
          <w:color w:val="auto"/>
        </w:rPr>
        <w:t>3.5 No Litigation, Claims or Proceedings</w:t>
      </w:r>
      <w:r>
        <w:rPr>
          <w:rFonts w:ascii="Arial" w:cs="Arial" w:eastAsia="Arial" w:hAnsi="Arial"/>
          <w:sz w:val="17"/>
          <w:szCs w:val="17"/>
          <w:color w:val="auto"/>
        </w:rPr>
        <w:t>. Except as disclosed in</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3.5 or otherwise disclosed to Lender as required pursuant to Section 5.1(a), there is no litigation, tax claim, proceeding or dispute pending, or, to the knowledge of Borrower, threatened in writing against or affecting Borrower, its property or the conduct of its business that, in each case, could reasonably be expected to result in liability or damages to Borrower in excess of $150,000.</w:t>
      </w:r>
    </w:p>
    <w:p>
      <w:pPr>
        <w:spacing w:after="0" w:line="172" w:lineRule="exact"/>
        <w:rPr>
          <w:sz w:val="20"/>
          <w:szCs w:val="20"/>
          <w:color w:val="auto"/>
        </w:rPr>
      </w:pPr>
    </w:p>
    <w:p>
      <w:pPr>
        <w:ind w:left="160" w:right="20" w:firstLine="360"/>
        <w:spacing w:after="0" w:line="273" w:lineRule="auto"/>
        <w:rPr>
          <w:sz w:val="20"/>
          <w:szCs w:val="20"/>
          <w:color w:val="auto"/>
        </w:rPr>
      </w:pPr>
      <w:r>
        <w:rPr>
          <w:rFonts w:ascii="Arial" w:cs="Arial" w:eastAsia="Arial" w:hAnsi="Arial"/>
          <w:sz w:val="17"/>
          <w:szCs w:val="17"/>
          <w:b w:val="1"/>
          <w:bCs w:val="1"/>
          <w:color w:val="auto"/>
        </w:rPr>
        <w:t>3.6 Correctness of Financial Statements</w:t>
      </w:r>
      <w:r>
        <w:rPr>
          <w:rFonts w:ascii="Arial" w:cs="Arial" w:eastAsia="Arial" w:hAnsi="Arial"/>
          <w:sz w:val="17"/>
          <w:szCs w:val="17"/>
          <w:color w:val="auto"/>
        </w:rPr>
        <w:t>. Borrower’s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which have been delivered to Lender fairly and accurately, in all material respects, reflect Borrower’s financial condition in accordance with GAAP (except with respect to unaudited financial statements, for the absence of footnotes and subject to normal year-end adjustments) as of the latest date of such financial statements; and, since that date there has been no Material Adverse Change.</w:t>
      </w:r>
    </w:p>
    <w:p>
      <w:pPr>
        <w:spacing w:after="0" w:line="172" w:lineRule="exact"/>
        <w:rPr>
          <w:sz w:val="20"/>
          <w:szCs w:val="20"/>
          <w:color w:val="auto"/>
        </w:rPr>
      </w:pPr>
    </w:p>
    <w:p>
      <w:pPr>
        <w:jc w:val="both"/>
        <w:ind w:left="160" w:right="400" w:firstLine="360"/>
        <w:spacing w:after="0" w:line="266" w:lineRule="auto"/>
        <w:rPr>
          <w:sz w:val="20"/>
          <w:szCs w:val="20"/>
          <w:color w:val="auto"/>
        </w:rPr>
      </w:pPr>
      <w:r>
        <w:rPr>
          <w:rFonts w:ascii="Arial" w:cs="Arial" w:eastAsia="Arial" w:hAnsi="Arial"/>
          <w:sz w:val="18"/>
          <w:szCs w:val="18"/>
          <w:b w:val="1"/>
          <w:bCs w:val="1"/>
          <w:color w:val="auto"/>
        </w:rPr>
        <w:t>3.7 No Subsidiaries</w:t>
      </w:r>
      <w:r>
        <w:rPr>
          <w:rFonts w:ascii="Arial" w:cs="Arial" w:eastAsia="Arial" w:hAnsi="Arial"/>
          <w:sz w:val="18"/>
          <w:szCs w:val="18"/>
          <w:color w:val="auto"/>
        </w:rPr>
        <w:t>. As of the Closing Date, Borrower is not a</w:t>
      </w:r>
      <w:r>
        <w:rPr>
          <w:rFonts w:ascii="Arial" w:cs="Arial" w:eastAsia="Arial" w:hAnsi="Arial"/>
          <w:sz w:val="18"/>
          <w:szCs w:val="18"/>
          <w:b w:val="1"/>
          <w:bCs w:val="1"/>
          <w:color w:val="auto"/>
        </w:rPr>
        <w:t xml:space="preserve"> </w:t>
      </w:r>
      <w:r>
        <w:rPr>
          <w:rFonts w:ascii="Arial" w:cs="Arial" w:eastAsia="Arial" w:hAnsi="Arial"/>
          <w:sz w:val="18"/>
          <w:szCs w:val="18"/>
          <w:color w:val="auto"/>
        </w:rPr>
        <w:t>majority owner of or in a control relationship with any other business entity, except for Rani Management.</w:t>
      </w:r>
    </w:p>
    <w:p>
      <w:pPr>
        <w:spacing w:after="0" w:line="176" w:lineRule="exact"/>
        <w:rPr>
          <w:sz w:val="20"/>
          <w:szCs w:val="20"/>
          <w:color w:val="auto"/>
        </w:rPr>
      </w:pPr>
    </w:p>
    <w:p>
      <w:pPr>
        <w:ind w:left="160" w:right="80" w:firstLine="360"/>
        <w:spacing w:after="0" w:line="261" w:lineRule="auto"/>
        <w:rPr>
          <w:sz w:val="20"/>
          <w:szCs w:val="20"/>
          <w:color w:val="auto"/>
        </w:rPr>
      </w:pPr>
      <w:r>
        <w:rPr>
          <w:rFonts w:ascii="Arial" w:cs="Arial" w:eastAsia="Arial" w:hAnsi="Arial"/>
          <w:sz w:val="18"/>
          <w:szCs w:val="18"/>
          <w:b w:val="1"/>
          <w:bCs w:val="1"/>
          <w:color w:val="auto"/>
        </w:rPr>
        <w:t>3.8 Environmental Matters</w:t>
      </w:r>
      <w:r>
        <w:rPr>
          <w:rFonts w:ascii="Arial" w:cs="Arial" w:eastAsia="Arial" w:hAnsi="Arial"/>
          <w:sz w:val="18"/>
          <w:szCs w:val="18"/>
          <w:color w:val="auto"/>
        </w:rPr>
        <w:t>. To its knowledge, Borrower is in</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with applicable Environmental Laws, except to the extent a failure to be in such compliance could not reasonably be expected to have a Material Adverse Effect.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280" w:space="180"/>
            <w:col w:w="5540"/>
          </w:cols>
          <w:pgMar w:left="440" w:top="324" w:right="459" w:bottom="1440" w:gutter="0" w:footer="0" w:header="0"/>
        </w:sectPr>
      </w:pPr>
    </w:p>
    <w:bookmarkStart w:id="352" w:name="page353"/>
    <w:bookmarkEnd w:id="352"/>
    <w:p>
      <w:pPr>
        <w:ind w:right="520" w:firstLine="360"/>
        <w:spacing w:after="0" w:line="282" w:lineRule="auto"/>
        <w:rPr>
          <w:sz w:val="20"/>
          <w:szCs w:val="20"/>
          <w:color w:val="auto"/>
        </w:rPr>
      </w:pPr>
      <w:r>
        <w:rPr>
          <w:rFonts w:ascii="Arial" w:cs="Arial" w:eastAsia="Arial" w:hAnsi="Arial"/>
          <w:sz w:val="18"/>
          <w:szCs w:val="18"/>
          <w:b w:val="1"/>
          <w:bCs w:val="1"/>
          <w:color w:val="auto"/>
        </w:rPr>
        <w:t>3.9 No Event of Default</w:t>
      </w:r>
      <w:r>
        <w:rPr>
          <w:rFonts w:ascii="Arial" w:cs="Arial" w:eastAsia="Arial" w:hAnsi="Arial"/>
          <w:sz w:val="18"/>
          <w:szCs w:val="18"/>
          <w:color w:val="auto"/>
        </w:rPr>
        <w:t>. No Default or Event of Default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and is continuing.</w:t>
      </w:r>
    </w:p>
    <w:p>
      <w:pPr>
        <w:spacing w:after="0" w:line="162" w:lineRule="exact"/>
        <w:rPr>
          <w:sz w:val="20"/>
          <w:szCs w:val="20"/>
          <w:color w:val="auto"/>
        </w:rPr>
      </w:pPr>
    </w:p>
    <w:p>
      <w:pPr>
        <w:ind w:right="80" w:firstLine="360"/>
        <w:spacing w:after="0" w:line="286" w:lineRule="auto"/>
        <w:rPr>
          <w:sz w:val="20"/>
          <w:szCs w:val="20"/>
          <w:color w:val="auto"/>
        </w:rPr>
      </w:pPr>
      <w:r>
        <w:rPr>
          <w:rFonts w:ascii="Arial" w:cs="Arial" w:eastAsia="Arial" w:hAnsi="Arial"/>
          <w:sz w:val="16"/>
          <w:szCs w:val="16"/>
          <w:b w:val="1"/>
          <w:bCs w:val="1"/>
          <w:color w:val="auto"/>
        </w:rPr>
        <w:t>3.10 Full Disclosure</w:t>
      </w:r>
      <w:r>
        <w:rPr>
          <w:rFonts w:ascii="Arial" w:cs="Arial" w:eastAsia="Arial" w:hAnsi="Arial"/>
          <w:sz w:val="16"/>
          <w:szCs w:val="16"/>
          <w:color w:val="auto"/>
        </w:rPr>
        <w:t>. None of the representations or warranties</w:t>
      </w:r>
      <w:r>
        <w:rPr>
          <w:rFonts w:ascii="Arial" w:cs="Arial" w:eastAsia="Arial" w:hAnsi="Arial"/>
          <w:sz w:val="16"/>
          <w:szCs w:val="16"/>
          <w:b w:val="1"/>
          <w:bCs w:val="1"/>
          <w:color w:val="auto"/>
        </w:rPr>
        <w:t xml:space="preserve"> </w:t>
      </w:r>
      <w:r>
        <w:rPr>
          <w:rFonts w:ascii="Arial" w:cs="Arial" w:eastAsia="Arial" w:hAnsi="Arial"/>
          <w:sz w:val="16"/>
          <w:szCs w:val="16"/>
          <w:color w:val="auto"/>
        </w:rPr>
        <w:t>made by Borrower in the Loan Documents as of the date such representations and warranties are made or deemed made, and none of the written statements contained in any exhibit, report, statement or certificate furnished by or on behalf of Borrower in connection with the Loan Documents (including disclosure materials delivered by or on behalf of Borrower to Lender prior to the Closing Date or pursuant to Section 5.2 hereof), taken as a whole, contains any untrue statement of a material fact or omits any material fact required to be stated therein or necessary to make the statements made therein, in light of the circumstances under which they are made, not misleading as of the time when made or delivered (it being recognized by Lender that projections and estimates as to future events provided by Borrower in good faith are not to be viewed as facts and that the actual results during the period or periods covered by any such projections and estimates may differ from projected or estimated results).</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3.11 Specific Representations Regarding Collateral</w:t>
      </w:r>
      <w:r>
        <w:rPr>
          <w:rFonts w:ascii="Arial" w:cs="Arial" w:eastAsia="Arial" w:hAnsi="Arial"/>
          <w:sz w:val="18"/>
          <w:szCs w:val="18"/>
          <w:color w:val="auto"/>
        </w:rPr>
        <w:t>.</w:t>
      </w:r>
    </w:p>
    <w:p>
      <w:pPr>
        <w:spacing w:after="0" w:line="121" w:lineRule="exact"/>
        <w:rPr>
          <w:sz w:val="20"/>
          <w:szCs w:val="20"/>
          <w:color w:val="auto"/>
        </w:rPr>
      </w:pPr>
    </w:p>
    <w:p>
      <w:pPr>
        <w:ind w:firstLine="356"/>
        <w:spacing w:after="0" w:line="272" w:lineRule="auto"/>
        <w:tabs>
          <w:tab w:leader="none" w:pos="615" w:val="left"/>
        </w:tabs>
        <w:numPr>
          <w:ilvl w:val="0"/>
          <w:numId w:val="229"/>
        </w:numPr>
        <w:rPr>
          <w:rFonts w:ascii="Arial" w:cs="Arial" w:eastAsia="Arial" w:hAnsi="Arial"/>
          <w:sz w:val="17"/>
          <w:szCs w:val="17"/>
          <w:b w:val="1"/>
          <w:bCs w:val="1"/>
          <w:color w:val="auto"/>
        </w:rPr>
      </w:pPr>
      <w:r>
        <w:rPr>
          <w:rFonts w:ascii="Arial" w:cs="Arial" w:eastAsia="Arial" w:hAnsi="Arial"/>
          <w:sz w:val="17"/>
          <w:szCs w:val="17"/>
          <w:color w:val="auto"/>
        </w:rPr>
        <w:t>Title. Except for the security interests created by this Agreement and Permitted Liens, (i) Borrower is and will be the unconditional legal and beneficial owner of the Collateral, and (ii) the Collateral is genuine and subject to no Liens. There exist no prior collateral assignments or encumbrances of record with the U.S. Patent and Trademark Office or U.S. Copyright Office affecting any Collateral in favor of any third party, other than Permitted Liens.</w:t>
      </w:r>
    </w:p>
    <w:p>
      <w:pPr>
        <w:spacing w:after="0" w:line="177" w:lineRule="exact"/>
        <w:rPr>
          <w:rFonts w:ascii="Arial" w:cs="Arial" w:eastAsia="Arial" w:hAnsi="Arial"/>
          <w:sz w:val="17"/>
          <w:szCs w:val="17"/>
          <w:b w:val="1"/>
          <w:bCs w:val="1"/>
          <w:color w:val="auto"/>
        </w:rPr>
      </w:pPr>
    </w:p>
    <w:p>
      <w:pPr>
        <w:ind w:right="60" w:firstLine="356"/>
        <w:spacing w:after="0" w:line="272" w:lineRule="auto"/>
        <w:tabs>
          <w:tab w:leader="none" w:pos="625" w:val="left"/>
        </w:tabs>
        <w:numPr>
          <w:ilvl w:val="0"/>
          <w:numId w:val="229"/>
        </w:numPr>
        <w:rPr>
          <w:rFonts w:ascii="Arial" w:cs="Arial" w:eastAsia="Arial" w:hAnsi="Arial"/>
          <w:sz w:val="17"/>
          <w:szCs w:val="17"/>
          <w:b w:val="1"/>
          <w:bCs w:val="1"/>
          <w:color w:val="auto"/>
        </w:rPr>
      </w:pPr>
      <w:r>
        <w:rPr>
          <w:rFonts w:ascii="Arial" w:cs="Arial" w:eastAsia="Arial" w:hAnsi="Arial"/>
          <w:sz w:val="17"/>
          <w:szCs w:val="17"/>
          <w:color w:val="auto"/>
        </w:rPr>
        <w:t>Rights to Payment. The names of the obligors, amount owing to Borrower, due dates and all other information with respect to the Rights to Payment are and will be correctly stated in all material respect sin all Records relating to the Rights to Payment. Borrower further represents and warrants, to its knowledge, that each Person appearing to be obligated on a Right to Payment has authority and capacity to contract and is bound as it appears to be.</w:t>
      </w:r>
    </w:p>
    <w:p>
      <w:pPr>
        <w:spacing w:after="0" w:line="177" w:lineRule="exact"/>
        <w:rPr>
          <w:rFonts w:ascii="Arial" w:cs="Arial" w:eastAsia="Arial" w:hAnsi="Arial"/>
          <w:sz w:val="17"/>
          <w:szCs w:val="17"/>
          <w:b w:val="1"/>
          <w:bCs w:val="1"/>
          <w:color w:val="auto"/>
        </w:rPr>
      </w:pPr>
    </w:p>
    <w:p>
      <w:pPr>
        <w:jc w:val="both"/>
        <w:ind w:firstLine="356"/>
        <w:spacing w:after="0" w:line="259" w:lineRule="auto"/>
        <w:tabs>
          <w:tab w:leader="none" w:pos="604"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Location of Collateral. As of the Closing Date, Borrower’s chief executive office, Inventory, Records, Equipment, and any other offices or places of business are located at the address(es) shown on the Supplement.</w:t>
      </w:r>
    </w:p>
    <w:p>
      <w:pPr>
        <w:spacing w:after="0" w:line="186" w:lineRule="exact"/>
        <w:rPr>
          <w:rFonts w:ascii="Arial" w:cs="Arial" w:eastAsia="Arial" w:hAnsi="Arial"/>
          <w:sz w:val="18"/>
          <w:szCs w:val="18"/>
          <w:b w:val="1"/>
          <w:bCs w:val="1"/>
          <w:color w:val="auto"/>
        </w:rPr>
      </w:pPr>
    </w:p>
    <w:p>
      <w:pPr>
        <w:jc w:val="both"/>
        <w:ind w:right="140" w:firstLine="356"/>
        <w:spacing w:after="0" w:line="263" w:lineRule="auto"/>
        <w:tabs>
          <w:tab w:leader="none" w:pos="625"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Business Names. Other than its full corporate name, Borrower has not conducted business using any trade names or fictitious business names except as shown on the Supplement.</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b w:val="1"/>
          <w:bCs w:val="1"/>
          <w:color w:val="auto"/>
        </w:rPr>
        <w:t>3.12 Copyrights, Patents, Trademarks and Licenses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-247650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1" w:lineRule="exact"/>
        <w:rPr>
          <w:sz w:val="20"/>
          <w:szCs w:val="20"/>
          <w:color w:val="auto"/>
        </w:rPr>
      </w:pPr>
    </w:p>
    <w:p>
      <w:pPr>
        <w:ind w:left="160" w:firstLine="354"/>
        <w:spacing w:after="0" w:line="273" w:lineRule="auto"/>
        <w:tabs>
          <w:tab w:leader="none" w:pos="775" w:val="left"/>
        </w:tabs>
        <w:numPr>
          <w:ilvl w:val="0"/>
          <w:numId w:val="230"/>
        </w:numPr>
        <w:rPr>
          <w:rFonts w:ascii="Arial" w:cs="Arial" w:eastAsia="Arial" w:hAnsi="Arial"/>
          <w:sz w:val="17"/>
          <w:szCs w:val="17"/>
          <w:b w:val="1"/>
          <w:bCs w:val="1"/>
          <w:color w:val="auto"/>
        </w:rPr>
      </w:pPr>
      <w:r>
        <w:rPr>
          <w:rFonts w:ascii="Arial" w:cs="Arial" w:eastAsia="Arial" w:hAnsi="Arial"/>
          <w:sz w:val="17"/>
          <w:szCs w:val="17"/>
          <w:color w:val="auto"/>
        </w:rPr>
        <w:t>Borrower owns or is licensed or otherwise has the right to use all of the patents, trademarks, service marks, trade names, copyrights, contractual franchises, authorizations and other similar rights that are reasonably necessary for the operation of its business, without known conflict with the rights of any other Person, except as could not reasonably be expected to have a Material Adverse Effect.</w:t>
      </w:r>
    </w:p>
    <w:p>
      <w:pPr>
        <w:spacing w:after="0" w:line="177" w:lineRule="exact"/>
        <w:rPr>
          <w:rFonts w:ascii="Arial" w:cs="Arial" w:eastAsia="Arial" w:hAnsi="Arial"/>
          <w:sz w:val="17"/>
          <w:szCs w:val="17"/>
          <w:b w:val="1"/>
          <w:bCs w:val="1"/>
          <w:color w:val="auto"/>
        </w:rPr>
      </w:pPr>
    </w:p>
    <w:p>
      <w:pPr>
        <w:ind w:left="160" w:right="20" w:firstLine="354"/>
        <w:spacing w:after="0" w:line="275" w:lineRule="auto"/>
        <w:tabs>
          <w:tab w:leader="none" w:pos="785" w:val="left"/>
        </w:tabs>
        <w:numPr>
          <w:ilvl w:val="0"/>
          <w:numId w:val="230"/>
        </w:numPr>
        <w:rPr>
          <w:rFonts w:ascii="Arial" w:cs="Arial" w:eastAsia="Arial" w:hAnsi="Arial"/>
          <w:sz w:val="17"/>
          <w:szCs w:val="17"/>
          <w:b w:val="1"/>
          <w:bCs w:val="1"/>
          <w:color w:val="auto"/>
        </w:rPr>
      </w:pPr>
      <w:r>
        <w:rPr>
          <w:rFonts w:ascii="Arial" w:cs="Arial" w:eastAsia="Arial" w:hAnsi="Arial"/>
          <w:sz w:val="17"/>
          <w:szCs w:val="17"/>
          <w:color w:val="auto"/>
        </w:rPr>
        <w:t>To Borrower’s knowledge, no slogan or other advertising device, product, process, method, substance, part or other material now employed, or now contemplated to be employed, by Borrower infringes upon any rights held by any other Person, except as could not reasonably be expected to have a Material Adverse Effect.</w:t>
      </w:r>
    </w:p>
    <w:p>
      <w:pPr>
        <w:spacing w:after="0" w:line="176" w:lineRule="exact"/>
        <w:rPr>
          <w:rFonts w:ascii="Arial" w:cs="Arial" w:eastAsia="Arial" w:hAnsi="Arial"/>
          <w:sz w:val="17"/>
          <w:szCs w:val="17"/>
          <w:b w:val="1"/>
          <w:bCs w:val="1"/>
          <w:color w:val="auto"/>
        </w:rPr>
      </w:pPr>
    </w:p>
    <w:p>
      <w:pPr>
        <w:ind w:left="160" w:right="200" w:firstLine="354"/>
        <w:spacing w:after="0" w:line="255" w:lineRule="auto"/>
        <w:tabs>
          <w:tab w:leader="none" w:pos="764" w:val="left"/>
        </w:tabs>
        <w:numPr>
          <w:ilvl w:val="0"/>
          <w:numId w:val="230"/>
        </w:numPr>
        <w:rPr>
          <w:rFonts w:ascii="Arial" w:cs="Arial" w:eastAsia="Arial" w:hAnsi="Arial"/>
          <w:sz w:val="18"/>
          <w:szCs w:val="18"/>
          <w:b w:val="1"/>
          <w:bCs w:val="1"/>
          <w:color w:val="auto"/>
        </w:rPr>
      </w:pPr>
      <w:r>
        <w:rPr>
          <w:rFonts w:ascii="Arial" w:cs="Arial" w:eastAsia="Arial" w:hAnsi="Arial"/>
          <w:sz w:val="18"/>
          <w:szCs w:val="18"/>
          <w:color w:val="auto"/>
        </w:rPr>
        <w:t>No claim or litigation regarding any of the foregoing is pending or, to Borrower’s knowledge, threatened in writing, and, to Borrower’s knowledge, no patent, invention, device, application, principle or any statute, law, rule, regulation, standard or code is pending or proposed which, in either case, could reasonably be expected to have a Material Adverse Effect.</w:t>
      </w:r>
    </w:p>
    <w:p>
      <w:pPr>
        <w:spacing w:after="0" w:line="188" w:lineRule="exact"/>
        <w:rPr>
          <w:sz w:val="20"/>
          <w:szCs w:val="20"/>
          <w:color w:val="auto"/>
        </w:rPr>
      </w:pPr>
    </w:p>
    <w:p>
      <w:pPr>
        <w:ind w:left="160" w:firstLine="360"/>
        <w:spacing w:after="0" w:line="268" w:lineRule="auto"/>
        <w:rPr>
          <w:sz w:val="20"/>
          <w:szCs w:val="20"/>
          <w:color w:val="auto"/>
        </w:rPr>
      </w:pPr>
      <w:r>
        <w:rPr>
          <w:rFonts w:ascii="Arial" w:cs="Arial" w:eastAsia="Arial" w:hAnsi="Arial"/>
          <w:sz w:val="17"/>
          <w:szCs w:val="17"/>
          <w:b w:val="1"/>
          <w:bCs w:val="1"/>
          <w:color w:val="auto"/>
        </w:rPr>
        <w:t>3.13 Regulatory Compliance</w:t>
      </w:r>
      <w:r>
        <w:rPr>
          <w:rFonts w:ascii="Arial" w:cs="Arial" w:eastAsia="Arial" w:hAnsi="Arial"/>
          <w:sz w:val="17"/>
          <w:szCs w:val="17"/>
          <w:color w:val="auto"/>
        </w:rPr>
        <w:t>. Borrower has met the minimum</w:t>
      </w:r>
      <w:r>
        <w:rPr>
          <w:rFonts w:ascii="Arial" w:cs="Arial" w:eastAsia="Arial" w:hAnsi="Arial"/>
          <w:sz w:val="17"/>
          <w:szCs w:val="17"/>
          <w:b w:val="1"/>
          <w:bCs w:val="1"/>
          <w:color w:val="auto"/>
        </w:rPr>
        <w:t xml:space="preserve"> </w:t>
      </w:r>
      <w:r>
        <w:rPr>
          <w:rFonts w:ascii="Arial" w:cs="Arial" w:eastAsia="Arial" w:hAnsi="Arial"/>
          <w:sz w:val="17"/>
          <w:szCs w:val="17"/>
          <w:color w:val="auto"/>
        </w:rPr>
        <w:t>funding requirements of ERISA with respect to any employee benefit plans subject to ERISA. No event has occurred resulting from Borrower’s failure to comply with ERISA that is reasonably likely to result in Borrower’s incurring any liability that could reasonably be expected to have a Material Adverse Effect. Borrower is not required to be registered as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complied in all material respects with all the provisions of the Federal Fair Labor Standards Act.</w:t>
      </w:r>
    </w:p>
    <w:p>
      <w:pPr>
        <w:spacing w:after="0" w:line="184" w:lineRule="exact"/>
        <w:rPr>
          <w:sz w:val="20"/>
          <w:szCs w:val="20"/>
          <w:color w:val="auto"/>
        </w:rPr>
      </w:pPr>
    </w:p>
    <w:p>
      <w:pPr>
        <w:ind w:left="160" w:right="100" w:firstLine="360"/>
        <w:spacing w:after="0" w:line="314" w:lineRule="auto"/>
        <w:rPr>
          <w:sz w:val="20"/>
          <w:szCs w:val="20"/>
          <w:color w:val="auto"/>
        </w:rPr>
      </w:pPr>
      <w:r>
        <w:rPr>
          <w:rFonts w:ascii="Arial" w:cs="Arial" w:eastAsia="Arial" w:hAnsi="Arial"/>
          <w:sz w:val="16"/>
          <w:szCs w:val="16"/>
          <w:b w:val="1"/>
          <w:bCs w:val="1"/>
          <w:color w:val="auto"/>
        </w:rPr>
        <w:t>3.14 Shares</w:t>
      </w:r>
      <w:r>
        <w:rPr>
          <w:rFonts w:ascii="Arial" w:cs="Arial" w:eastAsia="Arial" w:hAnsi="Arial"/>
          <w:sz w:val="16"/>
          <w:szCs w:val="16"/>
          <w:color w:val="auto"/>
        </w:rPr>
        <w:t>. Borrower has full power and authority to create a first</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Lien on the Shares and no disability or contractual obligation exists that would prohibit Borrower from pledging the Shares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5280" w:space="180"/>
            <w:col w:w="5540"/>
          </w:cols>
          <w:pgMar w:left="440" w:top="324" w:right="459" w:bottom="1440" w:gutter="0" w:footer="0" w:header="0"/>
        </w:sectPr>
      </w:pPr>
    </w:p>
    <w:bookmarkStart w:id="353" w:name="page354"/>
    <w:bookmarkEnd w:id="353"/>
    <w:p>
      <w:pPr>
        <w:spacing w:after="0" w:line="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(in writing) suit, action, arbitration, administrative or other proceeding, and Borrower knows of no reasonable grounds for the institution of any such proceedings.</w:t>
      </w:r>
    </w:p>
    <w:p>
      <w:pPr>
        <w:spacing w:after="0" w:line="174" w:lineRule="exact"/>
        <w:rPr>
          <w:sz w:val="20"/>
          <w:szCs w:val="20"/>
          <w:color w:val="auto"/>
        </w:rPr>
      </w:pPr>
    </w:p>
    <w:p>
      <w:pPr>
        <w:ind w:right="60" w:firstLine="360"/>
        <w:spacing w:after="0" w:line="286" w:lineRule="auto"/>
        <w:rPr>
          <w:sz w:val="20"/>
          <w:szCs w:val="20"/>
          <w:color w:val="auto"/>
        </w:rPr>
      </w:pPr>
      <w:r>
        <w:rPr>
          <w:rFonts w:ascii="Arial" w:cs="Arial" w:eastAsia="Arial" w:hAnsi="Arial"/>
          <w:sz w:val="16"/>
          <w:szCs w:val="16"/>
          <w:b w:val="1"/>
          <w:bCs w:val="1"/>
          <w:color w:val="auto"/>
        </w:rPr>
        <w:t>3.15 Compliance with Anti-Corruption Laws</w:t>
      </w:r>
      <w:r>
        <w:rPr>
          <w:rFonts w:ascii="Arial" w:cs="Arial" w:eastAsia="Arial" w:hAnsi="Arial"/>
          <w:sz w:val="16"/>
          <w:szCs w:val="16"/>
          <w:color w:val="auto"/>
        </w:rPr>
        <w:t>. Borrower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taken any action that would cause a violation of any anti-corruption law, including but not limited to, the Foreign Corrupt Practices Act, the United Kingdom Bribery Act, and all other applicable anti-corruption laws. Borrower, its employees, and, to its knowledge, its agents and representatives have not, directly or indirectly, 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in violation of applicable law. None of Borrower’s principals or staff are officers, employees or representatives of governments, government agencies, or government-owned or controlled enterprises.</w:t>
      </w:r>
    </w:p>
    <w:p>
      <w:pPr>
        <w:spacing w:after="0" w:line="171" w:lineRule="exact"/>
        <w:rPr>
          <w:sz w:val="20"/>
          <w:szCs w:val="20"/>
          <w:color w:val="auto"/>
        </w:rPr>
      </w:pPr>
    </w:p>
    <w:p>
      <w:pPr>
        <w:ind w:right="160" w:firstLine="360"/>
        <w:spacing w:after="0" w:line="266" w:lineRule="auto"/>
        <w:rPr>
          <w:sz w:val="20"/>
          <w:szCs w:val="20"/>
          <w:color w:val="auto"/>
        </w:rPr>
      </w:pPr>
      <w:r>
        <w:rPr>
          <w:rFonts w:ascii="Arial" w:cs="Arial" w:eastAsia="Arial" w:hAnsi="Arial"/>
          <w:sz w:val="18"/>
          <w:szCs w:val="18"/>
          <w:b w:val="1"/>
          <w:bCs w:val="1"/>
          <w:color w:val="auto"/>
        </w:rPr>
        <w:t>3.16 Survival</w:t>
      </w:r>
      <w:r>
        <w:rPr>
          <w:rFonts w:ascii="Arial" w:cs="Arial" w:eastAsia="Arial" w:hAnsi="Arial"/>
          <w:sz w:val="18"/>
          <w:szCs w:val="18"/>
          <w:color w:val="auto"/>
        </w:rPr>
        <w:t>. The representations and warranties of Borrower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 survive the execution and delivery of this Agreement.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CONDITIONS PRECEDENT</w:t>
      </w:r>
    </w:p>
    <w:p>
      <w:pPr>
        <w:spacing w:after="0" w:line="117" w:lineRule="exact"/>
        <w:rPr>
          <w:sz w:val="20"/>
          <w:szCs w:val="20"/>
          <w:color w:val="auto"/>
        </w:rPr>
      </w:pPr>
    </w:p>
    <w:p>
      <w:pPr>
        <w:ind w:right="20" w:firstLine="360"/>
        <w:spacing w:after="0" w:line="274" w:lineRule="auto"/>
        <w:rPr>
          <w:sz w:val="20"/>
          <w:szCs w:val="20"/>
          <w:color w:val="auto"/>
        </w:rPr>
      </w:pPr>
      <w:r>
        <w:rPr>
          <w:rFonts w:ascii="Arial" w:cs="Arial" w:eastAsia="Arial" w:hAnsi="Arial"/>
          <w:sz w:val="17"/>
          <w:szCs w:val="17"/>
          <w:b w:val="1"/>
          <w:bCs w:val="1"/>
          <w:color w:val="auto"/>
        </w:rPr>
        <w:t>4.1 Conditions to First Loan</w:t>
      </w:r>
      <w:r>
        <w:rPr>
          <w:rFonts w:ascii="Arial" w:cs="Arial" w:eastAsia="Arial" w:hAnsi="Arial"/>
          <w:sz w:val="17"/>
          <w:szCs w:val="17"/>
          <w:color w:val="auto"/>
        </w:rPr>
        <w:t>. The obligation of Lender to make its</w:t>
      </w:r>
      <w:r>
        <w:rPr>
          <w:rFonts w:ascii="Arial" w:cs="Arial" w:eastAsia="Arial" w:hAnsi="Arial"/>
          <w:sz w:val="17"/>
          <w:szCs w:val="17"/>
          <w:b w:val="1"/>
          <w:bCs w:val="1"/>
          <w:color w:val="auto"/>
        </w:rPr>
        <w:t xml:space="preserve"> </w:t>
      </w:r>
      <w:r>
        <w:rPr>
          <w:rFonts w:ascii="Arial" w:cs="Arial" w:eastAsia="Arial" w:hAnsi="Arial"/>
          <w:sz w:val="17"/>
          <w:szCs w:val="17"/>
          <w:color w:val="auto"/>
        </w:rPr>
        <w:t>first Loan hereunder is, in addition to the conditions precedent specified in Section 4.2 and in any Supplement, subject to the fulfillment of the following conditions and to the receipt by Lender of the documents described below, duly executed and in form and substance satisfactory to Lender and its counsel:</w:t>
      </w:r>
    </w:p>
    <w:p>
      <w:pPr>
        <w:spacing w:after="0" w:line="65" w:lineRule="exact"/>
        <w:rPr>
          <w:sz w:val="20"/>
          <w:szCs w:val="20"/>
          <w:color w:val="auto"/>
        </w:rPr>
      </w:pPr>
    </w:p>
    <w:p>
      <w:pPr>
        <w:ind w:right="60" w:firstLine="356"/>
        <w:spacing w:after="0" w:line="266" w:lineRule="auto"/>
        <w:tabs>
          <w:tab w:leader="none" w:pos="614"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Resolutions</w:t>
      </w:r>
      <w:r>
        <w:rPr>
          <w:rFonts w:ascii="Arial" w:cs="Arial" w:eastAsia="Arial" w:hAnsi="Arial"/>
          <w:sz w:val="18"/>
          <w:szCs w:val="18"/>
          <w:color w:val="auto"/>
        </w:rPr>
        <w:t>. A certified copy of the resolutions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Managers of Borrower authorizing the execution, delivery and performance by Borrower of the Loan Documents.</w:t>
      </w:r>
    </w:p>
    <w:p>
      <w:pPr>
        <w:spacing w:after="0" w:line="175" w:lineRule="exact"/>
        <w:rPr>
          <w:rFonts w:ascii="Arial" w:cs="Arial" w:eastAsia="Arial" w:hAnsi="Arial"/>
          <w:sz w:val="18"/>
          <w:szCs w:val="18"/>
          <w:b w:val="1"/>
          <w:bCs w:val="1"/>
          <w:color w:val="auto"/>
        </w:rPr>
      </w:pPr>
    </w:p>
    <w:p>
      <w:pPr>
        <w:ind w:right="160" w:firstLine="356"/>
        <w:spacing w:after="0" w:line="281" w:lineRule="auto"/>
        <w:tabs>
          <w:tab w:leader="none" w:pos="625" w:val="left"/>
        </w:tabs>
        <w:numPr>
          <w:ilvl w:val="0"/>
          <w:numId w:val="231"/>
        </w:numPr>
        <w:rPr>
          <w:rFonts w:ascii="Arial" w:cs="Arial" w:eastAsia="Arial" w:hAnsi="Arial"/>
          <w:sz w:val="17"/>
          <w:szCs w:val="17"/>
          <w:b w:val="1"/>
          <w:bCs w:val="1"/>
          <w:color w:val="auto"/>
        </w:rPr>
      </w:pPr>
      <w:r>
        <w:rPr>
          <w:rFonts w:ascii="Arial" w:cs="Arial" w:eastAsia="Arial" w:hAnsi="Arial"/>
          <w:sz w:val="17"/>
          <w:szCs w:val="17"/>
          <w:b w:val="1"/>
          <w:bCs w:val="1"/>
          <w:color w:val="auto"/>
        </w:rPr>
        <w:t>Incumbency and Signatures</w:t>
      </w:r>
      <w:r>
        <w:rPr>
          <w:rFonts w:ascii="Arial" w:cs="Arial" w:eastAsia="Arial" w:hAnsi="Arial"/>
          <w:sz w:val="17"/>
          <w:szCs w:val="17"/>
          <w:color w:val="auto"/>
        </w:rPr>
        <w:t>. A certificate of the secretary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certifying the names of the officer or officers of Borrower authorized to sign the Loan Documents, together with a sample of the true signature of each such officer.</w:t>
      </w:r>
    </w:p>
    <w:p>
      <w:pPr>
        <w:spacing w:after="0" w:line="20" w:lineRule="exact"/>
        <w:rPr>
          <w:sz w:val="20"/>
          <w:szCs w:val="20"/>
          <w:color w:val="auto"/>
        </w:rPr>
      </w:pPr>
      <w:r>
        <w:rPr>
          <w:sz w:val="20"/>
          <w:szCs w:val="20"/>
          <w:color w:val="auto"/>
        </w:rPr>
        <w:br w:type="column"/>
      </w:r>
    </w:p>
    <w:p>
      <w:pPr>
        <w:ind w:left="160" w:right="160" w:firstLine="354"/>
        <w:spacing w:after="0" w:line="266" w:lineRule="auto"/>
        <w:tabs>
          <w:tab w:leader="none" w:pos="76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Legal Opinion</w:t>
      </w:r>
      <w:r>
        <w:rPr>
          <w:rFonts w:ascii="Arial" w:cs="Arial" w:eastAsia="Arial" w:hAnsi="Arial"/>
          <w:sz w:val="18"/>
          <w:szCs w:val="18"/>
          <w:color w:val="auto"/>
        </w:rPr>
        <w:t>. The opinion of legal counsel for Borrower as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matters as Lender may reasonably request, in form and substance reasonably satisfactory to Lender.</w:t>
      </w:r>
    </w:p>
    <w:p>
      <w:pPr>
        <w:spacing w:after="0" w:line="175" w:lineRule="exact"/>
        <w:rPr>
          <w:rFonts w:ascii="Arial" w:cs="Arial" w:eastAsia="Arial" w:hAnsi="Arial"/>
          <w:sz w:val="18"/>
          <w:szCs w:val="18"/>
          <w:b w:val="1"/>
          <w:bCs w:val="1"/>
          <w:color w:val="auto"/>
        </w:rPr>
      </w:pPr>
    </w:p>
    <w:p>
      <w:pPr>
        <w:ind w:left="160" w:right="80" w:firstLine="354"/>
        <w:spacing w:after="0" w:line="281" w:lineRule="auto"/>
        <w:tabs>
          <w:tab w:leader="none" w:pos="785"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Charter Documents</w:t>
      </w:r>
      <w:r>
        <w:rPr>
          <w:rFonts w:ascii="Arial" w:cs="Arial" w:eastAsia="Arial" w:hAnsi="Arial"/>
          <w:sz w:val="17"/>
          <w:szCs w:val="17"/>
          <w:color w:val="auto"/>
        </w:rPr>
        <w:t>. Copies of the organizational and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of Borrower (e.g., Certificate of Formation and Operating Agreement), as amended through the Closing Date, certified by an officer of Borrower as being true, correct and complete.</w:t>
      </w:r>
    </w:p>
    <w:p>
      <w:pPr>
        <w:spacing w:after="0" w:line="164" w:lineRule="exact"/>
        <w:rPr>
          <w:rFonts w:ascii="Arial" w:cs="Arial" w:eastAsia="Arial" w:hAnsi="Arial"/>
          <w:sz w:val="17"/>
          <w:szCs w:val="17"/>
          <w:b w:val="1"/>
          <w:bCs w:val="1"/>
          <w:color w:val="auto"/>
        </w:rPr>
      </w:pPr>
    </w:p>
    <w:p>
      <w:pPr>
        <w:ind w:left="160" w:right="160" w:firstLine="354"/>
        <w:spacing w:after="0" w:line="289" w:lineRule="auto"/>
        <w:tabs>
          <w:tab w:leader="none" w:pos="764"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This Agreement</w:t>
      </w:r>
      <w:r>
        <w:rPr>
          <w:rFonts w:ascii="Arial" w:cs="Arial" w:eastAsia="Arial" w:hAnsi="Arial"/>
          <w:sz w:val="17"/>
          <w:szCs w:val="17"/>
          <w:color w:val="auto"/>
        </w:rPr>
        <w:t>. Counterparts of this Agreement and the initial</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 with all schedules completed and attached thereto, and disclosing such information as is acceptable to Lender.</w:t>
      </w:r>
    </w:p>
    <w:p>
      <w:pPr>
        <w:spacing w:after="0" w:line="157" w:lineRule="exact"/>
        <w:rPr>
          <w:rFonts w:ascii="Arial" w:cs="Arial" w:eastAsia="Arial" w:hAnsi="Arial"/>
          <w:sz w:val="17"/>
          <w:szCs w:val="17"/>
          <w:b w:val="1"/>
          <w:bCs w:val="1"/>
          <w:color w:val="auto"/>
        </w:rPr>
      </w:pPr>
    </w:p>
    <w:p>
      <w:pPr>
        <w:jc w:val="both"/>
        <w:ind w:left="160" w:right="80" w:firstLine="354"/>
        <w:spacing w:after="0" w:line="303" w:lineRule="auto"/>
        <w:tabs>
          <w:tab w:leader="none" w:pos="745" w:val="left"/>
        </w:tabs>
        <w:numPr>
          <w:ilvl w:val="0"/>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Financing Statements</w:t>
      </w:r>
      <w:r>
        <w:rPr>
          <w:rFonts w:ascii="Arial" w:cs="Arial" w:eastAsia="Arial" w:hAnsi="Arial"/>
          <w:sz w:val="16"/>
          <w:szCs w:val="16"/>
          <w:color w:val="auto"/>
        </w:rPr>
        <w:t>. Filing copies (or other evidence of filing</w:t>
      </w:r>
      <w:r>
        <w:rPr>
          <w:rFonts w:ascii="Arial" w:cs="Arial" w:eastAsia="Arial" w:hAnsi="Arial"/>
          <w:sz w:val="16"/>
          <w:szCs w:val="16"/>
          <w:b w:val="1"/>
          <w:bCs w:val="1"/>
          <w:color w:val="auto"/>
        </w:rPr>
        <w:t xml:space="preserve"> </w:t>
      </w:r>
      <w:r>
        <w:rPr>
          <w:rFonts w:ascii="Arial" w:cs="Arial" w:eastAsia="Arial" w:hAnsi="Arial"/>
          <w:sz w:val="16"/>
          <w:szCs w:val="16"/>
          <w:color w:val="auto"/>
        </w:rPr>
        <w:t>satisfactory to Lender and its counsel) of such UCC financing statements, collateral assignments, account control agreements, and termination statements, with respect to the Collateral as Lender shall request.</w:t>
      </w:r>
    </w:p>
    <w:p>
      <w:pPr>
        <w:spacing w:after="0" w:line="150" w:lineRule="exact"/>
        <w:rPr>
          <w:rFonts w:ascii="Arial" w:cs="Arial" w:eastAsia="Arial" w:hAnsi="Arial"/>
          <w:sz w:val="16"/>
          <w:szCs w:val="16"/>
          <w:b w:val="1"/>
          <w:bCs w:val="1"/>
          <w:color w:val="auto"/>
        </w:rPr>
      </w:pPr>
    </w:p>
    <w:p>
      <w:pPr>
        <w:ind w:left="160" w:firstLine="354"/>
        <w:spacing w:after="0" w:line="266" w:lineRule="auto"/>
        <w:tabs>
          <w:tab w:leader="none" w:pos="77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An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Security Agreement executed by Borrower in form and substance reasonably satisfactory to Lender.</w:t>
      </w:r>
    </w:p>
    <w:p>
      <w:pPr>
        <w:spacing w:after="0" w:line="175" w:lineRule="exact"/>
        <w:rPr>
          <w:rFonts w:ascii="Arial" w:cs="Arial" w:eastAsia="Arial" w:hAnsi="Arial"/>
          <w:sz w:val="18"/>
          <w:szCs w:val="18"/>
          <w:b w:val="1"/>
          <w:bCs w:val="1"/>
          <w:color w:val="auto"/>
        </w:rPr>
      </w:pPr>
    </w:p>
    <w:p>
      <w:pPr>
        <w:jc w:val="both"/>
        <w:ind w:left="160" w:right="180" w:firstLine="354"/>
        <w:spacing w:after="0" w:line="261" w:lineRule="auto"/>
        <w:tabs>
          <w:tab w:leader="none" w:pos="78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Lien Searches</w:t>
      </w:r>
      <w:r>
        <w:rPr>
          <w:rFonts w:ascii="Arial" w:cs="Arial" w:eastAsia="Arial" w:hAnsi="Arial"/>
          <w:sz w:val="18"/>
          <w:szCs w:val="18"/>
          <w:color w:val="auto"/>
        </w:rPr>
        <w:t>. UCC lien, judgment, bankruptcy and tax lien</w:t>
      </w:r>
      <w:r>
        <w:rPr>
          <w:rFonts w:ascii="Arial" w:cs="Arial" w:eastAsia="Arial" w:hAnsi="Arial"/>
          <w:sz w:val="18"/>
          <w:szCs w:val="18"/>
          <w:b w:val="1"/>
          <w:bCs w:val="1"/>
          <w:color w:val="auto"/>
        </w:rPr>
        <w:t xml:space="preserve"> </w:t>
      </w:r>
      <w:r>
        <w:rPr>
          <w:rFonts w:ascii="Arial" w:cs="Arial" w:eastAsia="Arial" w:hAnsi="Arial"/>
          <w:sz w:val="18"/>
          <w:szCs w:val="18"/>
          <w:color w:val="auto"/>
        </w:rPr>
        <w:t>searches of Borrower from such jurisdictions or offices as Lender may reasonably request, all as of a date reasonably satisfactory to Lender and its counsel.</w:t>
      </w:r>
    </w:p>
    <w:p>
      <w:pPr>
        <w:spacing w:after="0" w:line="179" w:lineRule="exact"/>
        <w:rPr>
          <w:rFonts w:ascii="Arial" w:cs="Arial" w:eastAsia="Arial" w:hAnsi="Arial"/>
          <w:sz w:val="18"/>
          <w:szCs w:val="18"/>
          <w:b w:val="1"/>
          <w:bCs w:val="1"/>
          <w:color w:val="auto"/>
        </w:rPr>
      </w:pPr>
    </w:p>
    <w:p>
      <w:pPr>
        <w:ind w:left="160" w:right="460" w:firstLine="354"/>
        <w:spacing w:after="0" w:line="281" w:lineRule="auto"/>
        <w:tabs>
          <w:tab w:leader="none" w:pos="735" w:val="left"/>
        </w:tabs>
        <w:numPr>
          <w:ilvl w:val="0"/>
          <w:numId w:val="232"/>
        </w:numPr>
        <w:rPr>
          <w:rFonts w:ascii="Arial" w:cs="Arial" w:eastAsia="Arial" w:hAnsi="Arial"/>
          <w:sz w:val="17"/>
          <w:szCs w:val="17"/>
          <w:b w:val="1"/>
          <w:bCs w:val="1"/>
          <w:color w:val="auto"/>
        </w:rPr>
      </w:pPr>
      <w:r>
        <w:rPr>
          <w:rFonts w:ascii="Arial" w:cs="Arial" w:eastAsia="Arial" w:hAnsi="Arial"/>
          <w:sz w:val="17"/>
          <w:szCs w:val="17"/>
          <w:b w:val="1"/>
          <w:bCs w:val="1"/>
          <w:color w:val="auto"/>
        </w:rPr>
        <w:t>Good Standing Certificate</w:t>
      </w:r>
      <w:r>
        <w:rPr>
          <w:rFonts w:ascii="Arial" w:cs="Arial" w:eastAsia="Arial" w:hAnsi="Arial"/>
          <w:sz w:val="17"/>
          <w:szCs w:val="17"/>
          <w:color w:val="auto"/>
        </w:rPr>
        <w:t>. A certificate of status or good</w:t>
      </w:r>
      <w:r>
        <w:rPr>
          <w:rFonts w:ascii="Arial" w:cs="Arial" w:eastAsia="Arial" w:hAnsi="Arial"/>
          <w:sz w:val="17"/>
          <w:szCs w:val="17"/>
          <w:b w:val="1"/>
          <w:bCs w:val="1"/>
          <w:color w:val="auto"/>
        </w:rPr>
        <w:t xml:space="preserve"> </w:t>
      </w:r>
      <w:r>
        <w:rPr>
          <w:rFonts w:ascii="Arial" w:cs="Arial" w:eastAsia="Arial" w:hAnsi="Arial"/>
          <w:sz w:val="17"/>
          <w:szCs w:val="17"/>
          <w:color w:val="auto"/>
        </w:rPr>
        <w:t>standing of Borrower as of a date acceptable to Lender from the jurisdiction of Borrower’s organization and any foreign jurisdictions where Borrower is qualified to do business.</w:t>
      </w:r>
    </w:p>
    <w:p>
      <w:pPr>
        <w:spacing w:after="0" w:line="164" w:lineRule="exact"/>
        <w:rPr>
          <w:rFonts w:ascii="Arial" w:cs="Arial" w:eastAsia="Arial" w:hAnsi="Arial"/>
          <w:sz w:val="17"/>
          <w:szCs w:val="17"/>
          <w:b w:val="1"/>
          <w:bCs w:val="1"/>
          <w:color w:val="auto"/>
        </w:rPr>
      </w:pPr>
    </w:p>
    <w:p>
      <w:pPr>
        <w:ind w:left="160" w:right="200" w:firstLine="354"/>
        <w:spacing w:after="0" w:line="266" w:lineRule="auto"/>
        <w:tabs>
          <w:tab w:leader="none" w:pos="74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Warrant</w:t>
      </w:r>
      <w:r>
        <w:rPr>
          <w:rFonts w:ascii="Arial" w:cs="Arial" w:eastAsia="Arial" w:hAnsi="Arial"/>
          <w:sz w:val="18"/>
          <w:szCs w:val="18"/>
          <w:color w:val="auto"/>
        </w:rPr>
        <w:t>. The Warrant issued by Borrower exercisable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number, type and class of shares of Borrower’s units, and for an initial exercise price as is specified therein.</w:t>
      </w:r>
    </w:p>
    <w:p>
      <w:pPr>
        <w:spacing w:after="0" w:line="175" w:lineRule="exact"/>
        <w:rPr>
          <w:rFonts w:ascii="Arial" w:cs="Arial" w:eastAsia="Arial" w:hAnsi="Arial"/>
          <w:sz w:val="18"/>
          <w:szCs w:val="18"/>
          <w:b w:val="1"/>
          <w:bCs w:val="1"/>
          <w:color w:val="auto"/>
        </w:rPr>
      </w:pPr>
    </w:p>
    <w:p>
      <w:pPr>
        <w:ind w:left="160" w:right="40" w:firstLine="354"/>
        <w:spacing w:after="0" w:line="282" w:lineRule="auto"/>
        <w:tabs>
          <w:tab w:leader="none" w:pos="78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Certificates</w:t>
      </w:r>
      <w:r>
        <w:rPr>
          <w:rFonts w:ascii="Arial" w:cs="Arial" w:eastAsia="Arial" w:hAnsi="Arial"/>
          <w:sz w:val="18"/>
          <w:szCs w:val="18"/>
          <w:color w:val="auto"/>
        </w:rPr>
        <w:t>. Insurance certificates showing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loss payee or additional insured.</w:t>
      </w:r>
    </w:p>
    <w:p>
      <w:pPr>
        <w:spacing w:after="0" w:line="161" w:lineRule="exact"/>
        <w:rPr>
          <w:rFonts w:ascii="Arial" w:cs="Arial" w:eastAsia="Arial" w:hAnsi="Arial"/>
          <w:sz w:val="18"/>
          <w:szCs w:val="18"/>
          <w:b w:val="1"/>
          <w:bCs w:val="1"/>
          <w:color w:val="auto"/>
        </w:rPr>
      </w:pPr>
    </w:p>
    <w:p>
      <w:pPr>
        <w:ind w:left="160" w:right="220" w:firstLine="354"/>
        <w:spacing w:after="0" w:line="266" w:lineRule="auto"/>
        <w:tabs>
          <w:tab w:leader="none" w:pos="735"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w:t>
      </w:r>
      <w:r>
        <w:rPr>
          <w:rFonts w:ascii="Arial" w:cs="Arial" w:eastAsia="Arial" w:hAnsi="Arial"/>
          <w:sz w:val="18"/>
          <w:szCs w:val="18"/>
          <w:color w:val="auto"/>
        </w:rPr>
        <w:t>. Such other documents and instruments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Lender may reasonably request to effectuate the intents and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-5902325</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260" w:space="200"/>
            <w:col w:w="5540"/>
          </w:cols>
          <w:pgMar w:left="440" w:top="324" w:right="459" w:bottom="1440" w:gutter="0" w:footer="0" w:header="0"/>
        </w:sectPr>
      </w:pPr>
    </w:p>
    <w:bookmarkStart w:id="354" w:name="page355"/>
    <w:bookmarkEnd w:id="354"/>
    <w:p>
      <w:pPr>
        <w:jc w:val="both"/>
        <w:ind w:left="4" w:right="40" w:firstLine="360"/>
        <w:spacing w:after="0" w:line="266" w:lineRule="auto"/>
        <w:rPr>
          <w:sz w:val="20"/>
          <w:szCs w:val="20"/>
          <w:color w:val="auto"/>
        </w:rPr>
      </w:pPr>
      <w:r>
        <w:rPr>
          <w:rFonts w:ascii="Arial" w:cs="Arial" w:eastAsia="Arial" w:hAnsi="Arial"/>
          <w:sz w:val="18"/>
          <w:szCs w:val="18"/>
          <w:b w:val="1"/>
          <w:bCs w:val="1"/>
          <w:color w:val="auto"/>
        </w:rPr>
        <w:t>4.2 Conditions to All Loans</w:t>
      </w:r>
      <w:r>
        <w:rPr>
          <w:rFonts w:ascii="Arial" w:cs="Arial" w:eastAsia="Arial" w:hAnsi="Arial"/>
          <w:sz w:val="18"/>
          <w:szCs w:val="18"/>
          <w:color w:val="auto"/>
        </w:rPr>
        <w:t>. The obligation of Lender to make its</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Loan and each subsequent Loan is subject to the following further conditions precedent that:</w:t>
      </w:r>
    </w:p>
    <w:p>
      <w:pPr>
        <w:spacing w:after="0" w:line="68" w:lineRule="exact"/>
        <w:rPr>
          <w:sz w:val="20"/>
          <w:szCs w:val="20"/>
          <w:color w:val="auto"/>
        </w:rPr>
      </w:pPr>
    </w:p>
    <w:p>
      <w:pPr>
        <w:ind w:left="4" w:right="40" w:firstLine="356"/>
        <w:spacing w:after="0" w:line="272" w:lineRule="auto"/>
        <w:tabs>
          <w:tab w:leader="none" w:pos="618"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No Default</w:t>
      </w:r>
      <w:r>
        <w:rPr>
          <w:rFonts w:ascii="Arial" w:cs="Arial" w:eastAsia="Arial" w:hAnsi="Arial"/>
          <w:sz w:val="17"/>
          <w:szCs w:val="17"/>
          <w:color w:val="auto"/>
        </w:rPr>
        <w:t>. No Default or Event of Default has occurred and is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or will result from the making of any such Loan, and the representations and warranties of Borrower contained in Article 3 of this Agreement and Part 3 of the Supplement are true and correct in all material respects as of the Borrowing Date of such Loan, except to the extent such representations and warranties relate solely to an earlier date (in which case the same are true and correct in all material respects as of such date).</w:t>
      </w:r>
    </w:p>
    <w:p>
      <w:pPr>
        <w:spacing w:after="0" w:line="171" w:lineRule="exact"/>
        <w:rPr>
          <w:rFonts w:ascii="Arial" w:cs="Arial" w:eastAsia="Arial" w:hAnsi="Arial"/>
          <w:sz w:val="17"/>
          <w:szCs w:val="17"/>
          <w:b w:val="1"/>
          <w:bCs w:val="1"/>
          <w:color w:val="auto"/>
        </w:rPr>
      </w:pPr>
    </w:p>
    <w:p>
      <w:pPr>
        <w:ind w:left="4" w:firstLine="356"/>
        <w:spacing w:after="0" w:line="347" w:lineRule="auto"/>
        <w:tabs>
          <w:tab w:leader="none" w:pos="629"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No Material Adverse Change</w:t>
      </w:r>
      <w:r>
        <w:rPr>
          <w:rFonts w:ascii="Arial" w:cs="Arial" w:eastAsia="Arial" w:hAnsi="Arial"/>
          <w:sz w:val="16"/>
          <w:szCs w:val="16"/>
          <w:color w:val="auto"/>
        </w:rPr>
        <w:t>. No event has occurred that has</w:t>
      </w:r>
      <w:r>
        <w:rPr>
          <w:rFonts w:ascii="Arial" w:cs="Arial" w:eastAsia="Arial" w:hAnsi="Arial"/>
          <w:sz w:val="16"/>
          <w:szCs w:val="16"/>
          <w:b w:val="1"/>
          <w:bCs w:val="1"/>
          <w:color w:val="auto"/>
        </w:rPr>
        <w:t xml:space="preserve"> </w:t>
      </w:r>
      <w:r>
        <w:rPr>
          <w:rFonts w:ascii="Arial" w:cs="Arial" w:eastAsia="Arial" w:hAnsi="Arial"/>
          <w:sz w:val="16"/>
          <w:szCs w:val="16"/>
          <w:color w:val="auto"/>
        </w:rPr>
        <w:t>had or could reasonably be expected to have a Material Adverse Change.</w:t>
      </w:r>
    </w:p>
    <w:p>
      <w:pPr>
        <w:spacing w:after="0" w:line="115" w:lineRule="exact"/>
        <w:rPr>
          <w:rFonts w:ascii="Arial" w:cs="Arial" w:eastAsia="Arial" w:hAnsi="Arial"/>
          <w:sz w:val="16"/>
          <w:szCs w:val="16"/>
          <w:b w:val="1"/>
          <w:bCs w:val="1"/>
          <w:color w:val="auto"/>
        </w:rPr>
      </w:pPr>
    </w:p>
    <w:p>
      <w:pPr>
        <w:ind w:left="4" w:right="40" w:firstLine="356"/>
        <w:spacing w:after="0" w:line="282" w:lineRule="auto"/>
        <w:tabs>
          <w:tab w:leader="none" w:pos="608"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Request</w:t>
      </w:r>
      <w:r>
        <w:rPr>
          <w:rFonts w:ascii="Arial" w:cs="Arial" w:eastAsia="Arial" w:hAnsi="Arial"/>
          <w:sz w:val="18"/>
          <w:szCs w:val="18"/>
          <w:color w:val="auto"/>
        </w:rPr>
        <w:t>. Borrower shall have delivered to Lender a</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Request for such Loan.</w:t>
      </w:r>
    </w:p>
    <w:p>
      <w:pPr>
        <w:spacing w:after="0" w:line="161" w:lineRule="exact"/>
        <w:rPr>
          <w:rFonts w:ascii="Arial" w:cs="Arial" w:eastAsia="Arial" w:hAnsi="Arial"/>
          <w:sz w:val="18"/>
          <w:szCs w:val="18"/>
          <w:b w:val="1"/>
          <w:bCs w:val="1"/>
          <w:color w:val="auto"/>
        </w:rPr>
      </w:pPr>
    </w:p>
    <w:p>
      <w:pPr>
        <w:jc w:val="both"/>
        <w:ind w:left="4" w:right="720" w:firstLine="356"/>
        <w:spacing w:after="0" w:line="266" w:lineRule="auto"/>
        <w:tabs>
          <w:tab w:leader="none" w:pos="629"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Borrower shall have delivered an executed Note</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such Loan, substantially in the form attached to the Supplement as an exhibit.</w:t>
      </w:r>
    </w:p>
    <w:p>
      <w:pPr>
        <w:spacing w:after="0" w:line="175" w:lineRule="exact"/>
        <w:rPr>
          <w:rFonts w:ascii="Arial" w:cs="Arial" w:eastAsia="Arial" w:hAnsi="Arial"/>
          <w:sz w:val="18"/>
          <w:szCs w:val="18"/>
          <w:b w:val="1"/>
          <w:bCs w:val="1"/>
          <w:color w:val="auto"/>
        </w:rPr>
      </w:pPr>
    </w:p>
    <w:p>
      <w:pPr>
        <w:ind w:left="4" w:right="100" w:firstLine="356"/>
        <w:spacing w:after="0" w:line="274" w:lineRule="auto"/>
        <w:tabs>
          <w:tab w:leader="none" w:pos="608"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Lien Filings</w:t>
      </w:r>
      <w:r>
        <w:rPr>
          <w:rFonts w:ascii="Arial" w:cs="Arial" w:eastAsia="Arial" w:hAnsi="Arial"/>
          <w:sz w:val="17"/>
          <w:szCs w:val="17"/>
          <w:color w:val="auto"/>
        </w:rPr>
        <w:t>. Borrower shall have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such amendments or supplements to this Agreement and additional Security Documents, financing statements and third party waivers as Lender may reasonably request in connection with the proposed Loan, in order to create, protect or perfect or to maintain the perfection of Lender’s Liens on the Collateral.</w:t>
      </w:r>
    </w:p>
    <w:p>
      <w:pPr>
        <w:spacing w:after="0" w:line="173" w:lineRule="exact"/>
        <w:rPr>
          <w:rFonts w:ascii="Arial" w:cs="Arial" w:eastAsia="Arial" w:hAnsi="Arial"/>
          <w:sz w:val="17"/>
          <w:szCs w:val="17"/>
          <w:b w:val="1"/>
          <w:bCs w:val="1"/>
          <w:color w:val="auto"/>
        </w:rPr>
      </w:pPr>
    </w:p>
    <w:p>
      <w:pPr>
        <w:ind w:left="4" w:firstLine="356"/>
        <w:spacing w:after="0" w:line="285" w:lineRule="auto"/>
        <w:tabs>
          <w:tab w:leader="none" w:pos="589"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VCOC Limitation</w:t>
      </w:r>
      <w:r>
        <w:rPr>
          <w:rFonts w:ascii="Arial" w:cs="Arial" w:eastAsia="Arial" w:hAnsi="Arial"/>
          <w:sz w:val="16"/>
          <w:szCs w:val="16"/>
          <w:color w:val="auto"/>
        </w:rPr>
        <w:t>. Lender shall not be obligated to make any</w:t>
      </w:r>
      <w:r>
        <w:rPr>
          <w:rFonts w:ascii="Arial" w:cs="Arial" w:eastAsia="Arial" w:hAnsi="Arial"/>
          <w:sz w:val="16"/>
          <w:szCs w:val="16"/>
          <w:b w:val="1"/>
          <w:bCs w:val="1"/>
          <w:color w:val="auto"/>
        </w:rPr>
        <w:t xml:space="preserve"> </w:t>
      </w:r>
      <w:r>
        <w:rPr>
          <w:rFonts w:ascii="Arial" w:cs="Arial" w:eastAsia="Arial" w:hAnsi="Arial"/>
          <w:sz w:val="16"/>
          <w:szCs w:val="16"/>
          <w:color w:val="auto"/>
        </w:rPr>
        <w:t>Loan under its Commitment if at the time of or after giving effect to the proposed Loan Lender would no longer qualify as: (i) a “venture capital operating company” under U.S. Department of Labor Regulations Section 2510.3-101(d), Title 29 of the Code of Federal Regulations, as amended; and (ii) a “business development company” under the provisions of federal Investment Company Act of 1940, as amended; and</w:t>
      </w:r>
    </w:p>
    <w:p>
      <w:pPr>
        <w:ind w:left="4" w:right="480" w:hanging="4"/>
        <w:spacing w:after="0" w:line="260" w:lineRule="auto"/>
        <w:tabs>
          <w:tab w:leader="none" w:pos="31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 “regulated investment company” under the provisions of the Internal Revenue Code of 1986, as amended.</w:t>
      </w:r>
    </w:p>
    <w:p>
      <w:pPr>
        <w:spacing w:after="0" w:line="181" w:lineRule="exact"/>
        <w:rPr>
          <w:rFonts w:ascii="Arial" w:cs="Arial" w:eastAsia="Arial" w:hAnsi="Arial"/>
          <w:sz w:val="18"/>
          <w:szCs w:val="18"/>
          <w:color w:val="auto"/>
        </w:rPr>
      </w:pPr>
    </w:p>
    <w:p>
      <w:pPr>
        <w:ind w:left="4" w:right="20" w:firstLine="356"/>
        <w:spacing w:after="0" w:line="314" w:lineRule="auto"/>
        <w:tabs>
          <w:tab w:leader="none" w:pos="618" w:val="left"/>
        </w:tabs>
        <w:numPr>
          <w:ilvl w:val="1"/>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Projections</w:t>
      </w:r>
      <w:r>
        <w:rPr>
          <w:rFonts w:ascii="Arial" w:cs="Arial" w:eastAsia="Arial" w:hAnsi="Arial"/>
          <w:sz w:val="16"/>
          <w:szCs w:val="16"/>
          <w:color w:val="auto"/>
        </w:rPr>
        <w:t>. Borrower shall have delivered to Lender</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business plan and/or financial projections or forecasts as most recently approved by Borrower’s Board of Managers.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ARTICLE 5 - AFFIRMATIVE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-247650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During the term of this Agreement and until its performance of all</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Obligations (other than inchoate indemnity obligations), Borrower will:</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5.1 Notice to Lender</w:t>
      </w:r>
      <w:r>
        <w:rPr>
          <w:rFonts w:ascii="Arial" w:cs="Arial" w:eastAsia="Arial" w:hAnsi="Arial"/>
          <w:sz w:val="17"/>
          <w:szCs w:val="17"/>
          <w:color w:val="auto"/>
        </w:rPr>
        <w:t>. Promptly give written notice to Lender of:</w:t>
      </w:r>
    </w:p>
    <w:p>
      <w:pPr>
        <w:spacing w:after="0" w:line="133" w:lineRule="exact"/>
        <w:rPr>
          <w:sz w:val="20"/>
          <w:szCs w:val="20"/>
          <w:color w:val="auto"/>
        </w:rPr>
      </w:pPr>
    </w:p>
    <w:p>
      <w:pPr>
        <w:ind w:left="160" w:firstLine="354"/>
        <w:spacing w:after="0" w:line="270" w:lineRule="auto"/>
        <w:tabs>
          <w:tab w:leader="none" w:pos="775"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Any litigation or administrative or regulatory proceeding affecting Borrower where the amount claimed against Borrower is at the Threshold Amount or more, or where the granting of the relief requested could reasonably be expected to have a Material Adverse Effect; or of the acquisition by Borrower of any commercial tort claim where the amount claimed by Borrower equals or exceeds the Threshold Amount, including brief details of such claim and such other information as Lender may reasonably request to enable Lender to better perfect its Lien in such commercial tort claim as Collateral.</w:t>
      </w:r>
    </w:p>
    <w:p>
      <w:pPr>
        <w:spacing w:after="0" w:line="180" w:lineRule="exact"/>
        <w:rPr>
          <w:rFonts w:ascii="Arial" w:cs="Arial" w:eastAsia="Arial" w:hAnsi="Arial"/>
          <w:sz w:val="17"/>
          <w:szCs w:val="17"/>
          <w:b w:val="1"/>
          <w:bCs w:val="1"/>
          <w:color w:val="auto"/>
        </w:rPr>
      </w:pPr>
    </w:p>
    <w:p>
      <w:pPr>
        <w:ind w:left="780" w:hanging="266"/>
        <w:spacing w:after="0"/>
        <w:tabs>
          <w:tab w:leader="none" w:pos="78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Any dispute which may exist between Borrower and any</w:t>
      </w:r>
    </w:p>
    <w:p>
      <w:pPr>
        <w:spacing w:after="0" w:line="23" w:lineRule="exact"/>
        <w:rPr>
          <w:rFonts w:ascii="Arial" w:cs="Arial" w:eastAsia="Arial" w:hAnsi="Arial"/>
          <w:sz w:val="18"/>
          <w:szCs w:val="18"/>
          <w:b w:val="1"/>
          <w:bCs w:val="1"/>
          <w:color w:val="auto"/>
        </w:rPr>
      </w:pPr>
    </w:p>
    <w:p>
      <w:pPr>
        <w:ind w:left="160" w:right="6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governmental or regulatory authority that could reasonably be expected to result in a Material Adverse Effect.</w:t>
      </w:r>
    </w:p>
    <w:p>
      <w:pPr>
        <w:spacing w:after="0" w:line="185" w:lineRule="exact"/>
        <w:rPr>
          <w:rFonts w:ascii="Arial" w:cs="Arial" w:eastAsia="Arial" w:hAnsi="Arial"/>
          <w:sz w:val="18"/>
          <w:szCs w:val="18"/>
          <w:b w:val="1"/>
          <w:bCs w:val="1"/>
          <w:color w:val="auto"/>
        </w:rPr>
      </w:pPr>
    </w:p>
    <w:p>
      <w:pPr>
        <w:ind w:left="760" w:hanging="246"/>
        <w:spacing w:after="0"/>
        <w:tabs>
          <w:tab w:leader="none" w:pos="7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The occurrence of any Default or any Event of Default.</w:t>
      </w:r>
    </w:p>
    <w:p>
      <w:pPr>
        <w:spacing w:after="0" w:line="225" w:lineRule="exact"/>
        <w:rPr>
          <w:rFonts w:ascii="Arial" w:cs="Arial" w:eastAsia="Arial" w:hAnsi="Arial"/>
          <w:sz w:val="18"/>
          <w:szCs w:val="18"/>
          <w:b w:val="1"/>
          <w:bCs w:val="1"/>
          <w:color w:val="auto"/>
        </w:rPr>
      </w:pPr>
    </w:p>
    <w:p>
      <w:pPr>
        <w:ind w:left="160" w:right="240" w:firstLine="354"/>
        <w:spacing w:after="0" w:line="273" w:lineRule="auto"/>
        <w:tabs>
          <w:tab w:leader="none" w:pos="785"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Any change in the location of any of Borrower’s places of business or Collateral at least ten (10) days in advance of such change (except for changes in location of (i) items of movable property such as laptop computers and (ii) other Collateral with a book value less than $100,000), or of the establishment of any new, or the discontinuance of any existing, place of business.</w:t>
      </w:r>
    </w:p>
    <w:p>
      <w:pPr>
        <w:spacing w:after="0" w:line="177" w:lineRule="exact"/>
        <w:rPr>
          <w:rFonts w:ascii="Arial" w:cs="Arial" w:eastAsia="Arial" w:hAnsi="Arial"/>
          <w:sz w:val="17"/>
          <w:szCs w:val="17"/>
          <w:b w:val="1"/>
          <w:bCs w:val="1"/>
          <w:color w:val="auto"/>
        </w:rPr>
      </w:pPr>
    </w:p>
    <w:p>
      <w:pPr>
        <w:ind w:left="160" w:right="120" w:firstLine="354"/>
        <w:spacing w:after="0" w:line="301" w:lineRule="auto"/>
        <w:tabs>
          <w:tab w:leader="none" w:pos="764" w:val="left"/>
        </w:tabs>
        <w:numPr>
          <w:ilvl w:val="0"/>
          <w:numId w:val="235"/>
        </w:numPr>
        <w:rPr>
          <w:rFonts w:ascii="Arial" w:cs="Arial" w:eastAsia="Arial" w:hAnsi="Arial"/>
          <w:sz w:val="16"/>
          <w:szCs w:val="16"/>
          <w:b w:val="1"/>
          <w:bCs w:val="1"/>
          <w:color w:val="auto"/>
        </w:rPr>
      </w:pPr>
      <w:r>
        <w:rPr>
          <w:rFonts w:ascii="Arial" w:cs="Arial" w:eastAsia="Arial" w:hAnsi="Arial"/>
          <w:sz w:val="16"/>
          <w:szCs w:val="16"/>
          <w:color w:val="auto"/>
        </w:rPr>
        <w:t>Any dispute or default by Borrower or any other party under any joint venture, partnering, distribution, cross-licensing, strategic alliance, collaborative research or manufacturing, license or similar agreement which could reasonably be expected to have a Material Adverse Effect.</w:t>
      </w:r>
    </w:p>
    <w:p>
      <w:pPr>
        <w:spacing w:after="0" w:line="157" w:lineRule="exact"/>
        <w:rPr>
          <w:rFonts w:ascii="Arial" w:cs="Arial" w:eastAsia="Arial" w:hAnsi="Arial"/>
          <w:sz w:val="16"/>
          <w:szCs w:val="16"/>
          <w:b w:val="1"/>
          <w:bCs w:val="1"/>
          <w:color w:val="auto"/>
        </w:rPr>
      </w:pPr>
    </w:p>
    <w:p>
      <w:pPr>
        <w:ind w:left="160" w:right="500" w:firstLine="354"/>
        <w:spacing w:after="0" w:line="308" w:lineRule="auto"/>
        <w:tabs>
          <w:tab w:leader="none" w:pos="745"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Any other matter which has resulted or could reasonably be expected to result in a Material Adverse Change.</w:t>
      </w:r>
    </w:p>
    <w:p>
      <w:pPr>
        <w:spacing w:after="0" w:line="146" w:lineRule="exact"/>
        <w:rPr>
          <w:rFonts w:ascii="Arial" w:cs="Arial" w:eastAsia="Arial" w:hAnsi="Arial"/>
          <w:sz w:val="17"/>
          <w:szCs w:val="17"/>
          <w:b w:val="1"/>
          <w:bCs w:val="1"/>
          <w:color w:val="auto"/>
        </w:rPr>
      </w:pPr>
    </w:p>
    <w:p>
      <w:pPr>
        <w:ind w:left="760" w:hanging="246"/>
        <w:spacing w:after="0"/>
        <w:tabs>
          <w:tab w:leader="none" w:pos="760" w:val="left"/>
        </w:tabs>
        <w:numPr>
          <w:ilvl w:val="0"/>
          <w:numId w:val="235"/>
        </w:numPr>
        <w:rPr>
          <w:rFonts w:ascii="Arial" w:cs="Arial" w:eastAsia="Arial" w:hAnsi="Arial"/>
          <w:sz w:val="18"/>
          <w:szCs w:val="18"/>
          <w:b w:val="1"/>
          <w:bCs w:val="1"/>
          <w:color w:val="auto"/>
        </w:rPr>
      </w:pPr>
      <w:r>
        <w:rPr>
          <w:rFonts w:ascii="Arial" w:cs="Arial" w:eastAsia="Arial" w:hAnsi="Arial"/>
          <w:sz w:val="18"/>
          <w:szCs w:val="18"/>
          <w:color w:val="auto"/>
        </w:rPr>
        <w:t>Any Subsidiary Borrower intends to acquire or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5264" w:space="200"/>
            <w:col w:w="5540"/>
          </w:cols>
          <w:pgMar w:left="436" w:top="324" w:right="459" w:bottom="1440" w:gutter="0" w:footer="0" w:header="0"/>
        </w:sectPr>
      </w:pPr>
    </w:p>
    <w:bookmarkStart w:id="355" w:name="page356"/>
    <w:bookmarkEnd w:id="355"/>
    <w:p>
      <w:pPr>
        <w:ind w:right="340" w:firstLine="360"/>
        <w:spacing w:after="0" w:line="281" w:lineRule="auto"/>
        <w:rPr>
          <w:sz w:val="20"/>
          <w:szCs w:val="20"/>
          <w:color w:val="auto"/>
        </w:rPr>
      </w:pPr>
      <w:r>
        <w:rPr>
          <w:rFonts w:ascii="Arial" w:cs="Arial" w:eastAsia="Arial" w:hAnsi="Arial"/>
          <w:sz w:val="17"/>
          <w:szCs w:val="17"/>
          <w:b w:val="1"/>
          <w:bCs w:val="1"/>
          <w:color w:val="auto"/>
        </w:rPr>
        <w:t>5.2 Financial Statements</w:t>
      </w:r>
      <w:r>
        <w:rPr>
          <w:rFonts w:ascii="Arial" w:cs="Arial" w:eastAsia="Arial" w:hAnsi="Arial"/>
          <w:sz w:val="17"/>
          <w:szCs w:val="17"/>
          <w:color w:val="auto"/>
        </w:rPr>
        <w:t>. Deliver to Lender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Lender, in form and detail satisfactory to Lender the following financial and other information, which Borrower warrants shall be accurate and complete in all material respects:</w:t>
      </w:r>
    </w:p>
    <w:p>
      <w:pPr>
        <w:spacing w:after="0" w:line="57" w:lineRule="exact"/>
        <w:rPr>
          <w:sz w:val="20"/>
          <w:szCs w:val="20"/>
          <w:color w:val="auto"/>
        </w:rPr>
      </w:pPr>
    </w:p>
    <w:p>
      <w:pPr>
        <w:ind w:right="20" w:firstLine="356"/>
        <w:spacing w:after="0" w:line="286" w:lineRule="auto"/>
        <w:tabs>
          <w:tab w:leader="none" w:pos="614"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Monthly Financial Statements</w:t>
      </w:r>
      <w:r>
        <w:rPr>
          <w:rFonts w:ascii="Arial" w:cs="Arial" w:eastAsia="Arial" w:hAnsi="Arial"/>
          <w:sz w:val="16"/>
          <w:szCs w:val="16"/>
          <w:color w:val="auto"/>
        </w:rPr>
        <w:t>. As soon as available but no</w:t>
      </w:r>
      <w:r>
        <w:rPr>
          <w:rFonts w:ascii="Arial" w:cs="Arial" w:eastAsia="Arial" w:hAnsi="Arial"/>
          <w:sz w:val="16"/>
          <w:szCs w:val="16"/>
          <w:b w:val="1"/>
          <w:bCs w:val="1"/>
          <w:color w:val="auto"/>
        </w:rPr>
        <w:t xml:space="preserve"> </w:t>
      </w:r>
      <w:r>
        <w:rPr>
          <w:rFonts w:ascii="Arial" w:cs="Arial" w:eastAsia="Arial" w:hAnsi="Arial"/>
          <w:sz w:val="16"/>
          <w:szCs w:val="16"/>
          <w:color w:val="auto"/>
        </w:rPr>
        <w:t>later than thirty (30) days after the end of each month, Borrower’s unaudited balance sheet as of the end of such period, and Borrower’s unaudited income statement and cash flow statement for such period and for that portion of Borrower’s financial reporting year ending with such period, prepared in accordance with GAAP (except for the absence of footnotes and subject to normal year-end audit adjustments) and attested by a responsible financial officer of Borrower as being complete and correct in all material respects and fairly presenting Borrower’s financial condition and the results of Borrower’s operations as of the date(s) and for the period(s) covered thereby. After a Qualified Public Offering, and during such time as Borrower maintains a market capitalization reasonably determined by Lender, the foregoing interim financial statements shall be delivered no later than 45 days after each of the first three fiscal quarters of each fiscal year.</w:t>
      </w:r>
    </w:p>
    <w:p>
      <w:pPr>
        <w:spacing w:after="0" w:line="167" w:lineRule="exact"/>
        <w:rPr>
          <w:rFonts w:ascii="Arial" w:cs="Arial" w:eastAsia="Arial" w:hAnsi="Arial"/>
          <w:sz w:val="16"/>
          <w:szCs w:val="16"/>
          <w:b w:val="1"/>
          <w:bCs w:val="1"/>
          <w:color w:val="auto"/>
        </w:rPr>
      </w:pPr>
    </w:p>
    <w:p>
      <w:pPr>
        <w:ind w:right="180" w:firstLine="356"/>
        <w:spacing w:after="0" w:line="269" w:lineRule="auto"/>
        <w:tabs>
          <w:tab w:leader="none" w:pos="625"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Year-End Financial Statements</w:t>
      </w:r>
      <w:r>
        <w:rPr>
          <w:rFonts w:ascii="Arial" w:cs="Arial" w:eastAsia="Arial" w:hAnsi="Arial"/>
          <w:sz w:val="17"/>
          <w:szCs w:val="17"/>
          <w:color w:val="auto"/>
        </w:rPr>
        <w:t>. As soon as available but no</w:t>
      </w:r>
      <w:r>
        <w:rPr>
          <w:rFonts w:ascii="Arial" w:cs="Arial" w:eastAsia="Arial" w:hAnsi="Arial"/>
          <w:sz w:val="17"/>
          <w:szCs w:val="17"/>
          <w:b w:val="1"/>
          <w:bCs w:val="1"/>
          <w:color w:val="auto"/>
        </w:rPr>
        <w:t xml:space="preserve"> </w:t>
      </w:r>
      <w:r>
        <w:rPr>
          <w:rFonts w:ascii="Arial" w:cs="Arial" w:eastAsia="Arial" w:hAnsi="Arial"/>
          <w:sz w:val="17"/>
          <w:szCs w:val="17"/>
          <w:color w:val="auto"/>
        </w:rPr>
        <w:t>later than one hundred twenty (120) days after the end of each fiscal year, a complete copy of Borrower’s audit report, which shall include balance sheet, income statement, statement of changes in equity and statement of cash flows for such year, prepared in accordance with GAAP and certified by an independent certified public accountant selected by Borrower and satisfactory to Lender (the “</w:t>
      </w:r>
      <w:r>
        <w:rPr>
          <w:rFonts w:ascii="Arial" w:cs="Arial" w:eastAsia="Arial" w:hAnsi="Arial"/>
          <w:sz w:val="17"/>
          <w:szCs w:val="17"/>
          <w:b w:val="1"/>
          <w:bCs w:val="1"/>
          <w:u w:val="single" w:color="auto"/>
          <w:color w:val="auto"/>
        </w:rPr>
        <w:t>Accountant</w:t>
      </w:r>
      <w:r>
        <w:rPr>
          <w:rFonts w:ascii="Arial" w:cs="Arial" w:eastAsia="Arial" w:hAnsi="Arial"/>
          <w:sz w:val="17"/>
          <w:szCs w:val="17"/>
          <w:color w:val="auto"/>
        </w:rPr>
        <w:t>”). With the exception of a qualification as to going concerns, the Accountant’s certification shall not be qualified or limited due to a restricted or limited examination by the Accountant of any material portion of Borrower’s records.</w:t>
      </w:r>
    </w:p>
    <w:p>
      <w:pPr>
        <w:spacing w:after="0" w:line="181" w:lineRule="exact"/>
        <w:rPr>
          <w:rFonts w:ascii="Arial" w:cs="Arial" w:eastAsia="Arial" w:hAnsi="Arial"/>
          <w:sz w:val="17"/>
          <w:szCs w:val="17"/>
          <w:b w:val="1"/>
          <w:bCs w:val="1"/>
          <w:color w:val="auto"/>
        </w:rPr>
      </w:pPr>
    </w:p>
    <w:p>
      <w:pPr>
        <w:ind w:firstLine="356"/>
        <w:spacing w:after="0" w:line="291" w:lineRule="auto"/>
        <w:tabs>
          <w:tab w:leader="none" w:pos="604"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Certificates</w:t>
      </w:r>
      <w:r>
        <w:rPr>
          <w:rFonts w:ascii="Arial" w:cs="Arial" w:eastAsia="Arial" w:hAnsi="Arial"/>
          <w:sz w:val="16"/>
          <w:szCs w:val="16"/>
          <w:color w:val="auto"/>
        </w:rPr>
        <w:t>. Simultaneously with the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set of financial statements referred to in paragraphs (a) and (b) above, a certificate of the chief financial officer of Borrower (or other executive officer)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Supplement (a “</w:t>
      </w:r>
      <w:r>
        <w:rPr>
          <w:rFonts w:ascii="Arial" w:cs="Arial" w:eastAsia="Arial" w:hAnsi="Arial"/>
          <w:sz w:val="16"/>
          <w:szCs w:val="16"/>
          <w:b w:val="1"/>
          <w:bCs w:val="1"/>
          <w:u w:val="single" w:color="auto"/>
          <w:color w:val="auto"/>
        </w:rPr>
        <w:t>Compliance Certificate</w:t>
      </w:r>
      <w:r>
        <w:rPr>
          <w:rFonts w:ascii="Arial" w:cs="Arial" w:eastAsia="Arial" w:hAnsi="Arial"/>
          <w:sz w:val="16"/>
          <w:szCs w:val="16"/>
          <w:color w:val="auto"/>
        </w:rPr>
        <w:t>”) stating, among other things, whether any Default or Event of Default exists on the date of such certificate, and if so, setting forth the details thereof and the action which Borrower is taking or proposes to take with respect thereto.</w:t>
      </w:r>
    </w:p>
    <w:p>
      <w:pPr>
        <w:spacing w:after="0" w:line="159" w:lineRule="exact"/>
        <w:rPr>
          <w:rFonts w:ascii="Arial" w:cs="Arial" w:eastAsia="Arial" w:hAnsi="Arial"/>
          <w:sz w:val="16"/>
          <w:szCs w:val="16"/>
          <w:b w:val="1"/>
          <w:bCs w:val="1"/>
          <w:color w:val="auto"/>
        </w:rPr>
      </w:pPr>
    </w:p>
    <w:p>
      <w:pPr>
        <w:ind w:right="60" w:firstLine="356"/>
        <w:spacing w:after="0" w:line="281" w:lineRule="auto"/>
        <w:tabs>
          <w:tab w:leader="none" w:pos="625"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Government Required Reports</w:t>
      </w:r>
      <w:r>
        <w:rPr>
          <w:rFonts w:ascii="Arial" w:cs="Arial" w:eastAsia="Arial" w:hAnsi="Arial"/>
          <w:sz w:val="17"/>
          <w:szCs w:val="17"/>
          <w:color w:val="auto"/>
        </w:rPr>
        <w:t>. Within thirty (30)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each month, after sending, issuing, making available, or filing, copies of all reports, proxy statements, and financial statements that Borrower sends or makes available generally to all of its</w:t>
      </w:r>
    </w:p>
    <w:p>
      <w:pPr>
        <w:spacing w:after="0" w:line="20" w:lineRule="exact"/>
        <w:rPr>
          <w:sz w:val="20"/>
          <w:szCs w:val="20"/>
          <w:color w:val="auto"/>
        </w:rPr>
      </w:pPr>
      <w:r>
        <w:rPr>
          <w:sz w:val="20"/>
          <w:szCs w:val="20"/>
          <w:color w:val="auto"/>
        </w:rPr>
        <w:br w:type="column"/>
      </w:r>
    </w:p>
    <w:p>
      <w:pPr>
        <w:ind w:left="160" w:right="60"/>
        <w:spacing w:after="0" w:line="268" w:lineRule="auto"/>
        <w:rPr>
          <w:sz w:val="20"/>
          <w:szCs w:val="20"/>
          <w:color w:val="auto"/>
        </w:rPr>
      </w:pPr>
      <w:r>
        <w:rPr>
          <w:rFonts w:ascii="Arial" w:cs="Arial" w:eastAsia="Arial" w:hAnsi="Arial"/>
          <w:sz w:val="17"/>
          <w:szCs w:val="17"/>
          <w:color w:val="auto"/>
        </w:rPr>
        <w:t>stockholders (in their capacities as such), and, not later than five (5) days after actual filing or the date such filing was first due, all registration statements and reports that Borrower files or is required to file with the Securities and Exchange Commission, or any other equivalent governmental or regulatory authority having similar authority. Documents required to be delivered pursuant to the terms of this Section 5.2 (to the extent any such documents are included in materials otherwise filed with the Securities and Exchange Commission or other equivalent governmental or regulatory authority having similar authority) may be delivered electronically and if so delivered, shall be deemed to have been delivered on the date on which Borrower posts such documents, or provides a link thereto, on Borrower’s website on the internet at Borrower’s website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-1920875</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2" w:lineRule="exact"/>
        <w:rPr>
          <w:sz w:val="20"/>
          <w:szCs w:val="20"/>
          <w:color w:val="auto"/>
        </w:rPr>
      </w:pPr>
    </w:p>
    <w:p>
      <w:pPr>
        <w:ind w:left="160" w:right="80" w:firstLine="354"/>
        <w:spacing w:after="0" w:line="272" w:lineRule="auto"/>
        <w:tabs>
          <w:tab w:leader="none" w:pos="764"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Other Information</w:t>
      </w:r>
      <w:r>
        <w:rPr>
          <w:rFonts w:ascii="Arial" w:cs="Arial" w:eastAsia="Arial" w:hAnsi="Arial"/>
          <w:sz w:val="17"/>
          <w:szCs w:val="17"/>
          <w:color w:val="auto"/>
        </w:rPr>
        <w:t>. Such other statements, lists of property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budgets (as updated), sales projections, forecasts, reports, 409A valuation reports (as updated), operating plans, financial exhibits, capitalization tables (as updated) and information relating to equity and debt financings consummated after the Closing Date (including post-closing capitalization table(s)), or other information as Lender may from time to time reasonably request and as prepared by Borrower in the ordinary course of business.</w:t>
      </w:r>
    </w:p>
    <w:p>
      <w:pPr>
        <w:spacing w:after="0" w:line="171" w:lineRule="exact"/>
        <w:rPr>
          <w:rFonts w:ascii="Arial" w:cs="Arial" w:eastAsia="Arial" w:hAnsi="Arial"/>
          <w:sz w:val="17"/>
          <w:szCs w:val="17"/>
          <w:b w:val="1"/>
          <w:bCs w:val="1"/>
          <w:color w:val="auto"/>
        </w:rPr>
      </w:pPr>
    </w:p>
    <w:p>
      <w:pPr>
        <w:ind w:left="160" w:firstLine="354"/>
        <w:spacing w:after="0" w:line="287" w:lineRule="auto"/>
        <w:tabs>
          <w:tab w:leader="none" w:pos="745"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Board Packages</w:t>
      </w:r>
      <w:r>
        <w:rPr>
          <w:rFonts w:ascii="Arial" w:cs="Arial" w:eastAsia="Arial" w:hAnsi="Arial"/>
          <w:sz w:val="16"/>
          <w:szCs w:val="16"/>
          <w:color w:val="auto"/>
        </w:rPr>
        <w:t>. In addition to the information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5.2(e), Borrower will promptly provide Lender with copies of all notices, minutes, consents and other materials, financial or otherwise, which Borrower provides to its Board of Managers (collectively, “</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Packages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Borrower need not provide Lender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copies of routine Board actions, such as option and stock grants under Borrower’s equity incentive plan in the normal course of business;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Board Packages may be redacted to preserve the attorney-client or similar privilege or protect attorney work product, to protect highly confidential proprietary information to avoid violation of any confidentiality obligations owed to third parties, or for other similar reasons or if such redacted material relates to Lender (or Borrower’s strategy regarding the Loans or Lender).</w:t>
      </w:r>
    </w:p>
    <w:p>
      <w:pPr>
        <w:spacing w:after="0" w:line="164" w:lineRule="exact"/>
        <w:rPr>
          <w:sz w:val="20"/>
          <w:szCs w:val="20"/>
          <w:color w:val="auto"/>
        </w:rPr>
      </w:pPr>
    </w:p>
    <w:p>
      <w:pPr>
        <w:ind w:left="160" w:right="20" w:firstLine="360"/>
        <w:spacing w:after="0" w:line="258" w:lineRule="auto"/>
        <w:rPr>
          <w:sz w:val="20"/>
          <w:szCs w:val="20"/>
          <w:color w:val="auto"/>
        </w:rPr>
      </w:pPr>
      <w:r>
        <w:rPr>
          <w:rFonts w:ascii="Arial" w:cs="Arial" w:eastAsia="Arial" w:hAnsi="Arial"/>
          <w:sz w:val="18"/>
          <w:szCs w:val="18"/>
          <w:b w:val="1"/>
          <w:bCs w:val="1"/>
          <w:color w:val="auto"/>
        </w:rPr>
        <w:t>5.3 Managerial Assistance from Lender</w:t>
      </w:r>
      <w:r>
        <w:rPr>
          <w:rFonts w:ascii="Arial" w:cs="Arial" w:eastAsia="Arial" w:hAnsi="Arial"/>
          <w:sz w:val="18"/>
          <w:szCs w:val="18"/>
          <w:color w:val="auto"/>
        </w:rPr>
        <w:t>. Permit Lender to</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participate in, and substantially influence the conduct of management of Borrower through the exercise of “management rights,” as that term is defined in 29 C.F.R. § 2510.3-101(d), including without limitation the following rights:</w:t>
      </w:r>
    </w:p>
    <w:p>
      <w:pPr>
        <w:spacing w:after="0" w:line="79" w:lineRule="exact"/>
        <w:rPr>
          <w:sz w:val="20"/>
          <w:szCs w:val="20"/>
          <w:color w:val="auto"/>
        </w:rPr>
      </w:pPr>
    </w:p>
    <w:p>
      <w:pPr>
        <w:ind w:left="160" w:right="520" w:firstLine="354"/>
        <w:spacing w:after="0" w:line="308" w:lineRule="auto"/>
        <w:tabs>
          <w:tab w:leader="none" w:pos="775" w:val="left"/>
        </w:tabs>
        <w:numPr>
          <w:ilvl w:val="0"/>
          <w:numId w:val="238"/>
        </w:numPr>
        <w:rPr>
          <w:rFonts w:ascii="Arial" w:cs="Arial" w:eastAsia="Arial" w:hAnsi="Arial"/>
          <w:sz w:val="17"/>
          <w:szCs w:val="17"/>
          <w:b w:val="1"/>
          <w:bCs w:val="1"/>
          <w:color w:val="auto"/>
        </w:rPr>
      </w:pPr>
      <w:r>
        <w:rPr>
          <w:rFonts w:ascii="Arial" w:cs="Arial" w:eastAsia="Arial" w:hAnsi="Arial"/>
          <w:sz w:val="17"/>
          <w:szCs w:val="17"/>
          <w:color w:val="auto"/>
        </w:rPr>
        <w:t>Borrower agrees that (i) it will make its officers, managers, employees and affiliates available at such times as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260" w:space="200"/>
            <w:col w:w="5540"/>
          </w:cols>
          <w:pgMar w:left="440" w:top="324" w:right="459" w:bottom="1440" w:gutter="0" w:footer="0" w:header="0"/>
        </w:sectPr>
      </w:pPr>
    </w:p>
    <w:bookmarkStart w:id="356" w:name="page357"/>
    <w:bookmarkEnd w:id="356"/>
    <w:p>
      <w:pPr>
        <w:spacing w:after="0" w:line="4"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 xml:space="preserve">Lender may reasonably request for Lender to consult with and advise as to the conduct of Borrower’s business, its equipment and financing plans, and its financial condition and prospects, (ii) Lender shall have the right to inspect Borrower’s books, records, facilities and properties at reasonable times during normal business hours on reasonable advance notice, and (iii) Lender shall be entitled to recommend prospective candidates for election or nomination for election to Borrower’s Board of Managers and Borrower shall give due consideration to (but shall not be bound by) such recommendations, it being the intention of the parties that Lender shall be entitled through such rights, </w:t>
      </w:r>
      <w:r>
        <w:rPr>
          <w:rFonts w:ascii="Arial" w:cs="Arial" w:eastAsia="Arial" w:hAnsi="Arial"/>
          <w:sz w:val="16"/>
          <w:szCs w:val="16"/>
          <w:i w:val="1"/>
          <w:iCs w:val="1"/>
          <w:color w:val="auto"/>
        </w:rPr>
        <w:t>inter alia</w:t>
      </w:r>
      <w:r>
        <w:rPr>
          <w:rFonts w:ascii="Arial" w:cs="Arial" w:eastAsia="Arial" w:hAnsi="Arial"/>
          <w:sz w:val="16"/>
          <w:szCs w:val="16"/>
          <w:color w:val="auto"/>
        </w:rPr>
        <w:t>, to furnish “significant managerial assistance”, as defined in Section 2(a)(47) of the Investment Company Act of 1940, to Borrower.</w:t>
      </w:r>
    </w:p>
    <w:p>
      <w:pPr>
        <w:spacing w:after="0" w:line="168" w:lineRule="exact"/>
        <w:rPr>
          <w:sz w:val="20"/>
          <w:szCs w:val="20"/>
          <w:color w:val="auto"/>
        </w:rPr>
      </w:pPr>
    </w:p>
    <w:p>
      <w:pPr>
        <w:ind w:left="4" w:right="120" w:firstLine="356"/>
        <w:spacing w:after="0" w:line="254" w:lineRule="auto"/>
        <w:tabs>
          <w:tab w:leader="none" w:pos="629"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Without limiting the generality of (a) above, if Lender reasonably believes that financial or other developments affecting Borrower have impaired or are likely to impair Borrower’s ability to perform its obligations under this Agreement, permit Lender reasonable access to Borrower’s management and/or Board of Managers and opportunity to present Lender’s views with respect to such developments.</w:t>
      </w:r>
    </w:p>
    <w:p>
      <w:pPr>
        <w:spacing w:after="0" w:line="195" w:lineRule="exact"/>
        <w:rPr>
          <w:sz w:val="20"/>
          <w:szCs w:val="20"/>
          <w:color w:val="auto"/>
        </w:rPr>
      </w:pPr>
    </w:p>
    <w:p>
      <w:pPr>
        <w:ind w:left="4" w:right="180"/>
        <w:spacing w:after="0" w:line="279" w:lineRule="auto"/>
        <w:rPr>
          <w:sz w:val="20"/>
          <w:szCs w:val="20"/>
          <w:color w:val="auto"/>
        </w:rPr>
      </w:pPr>
      <w:r>
        <w:rPr>
          <w:rFonts w:ascii="Arial" w:cs="Arial" w:eastAsia="Arial" w:hAnsi="Arial"/>
          <w:sz w:val="17"/>
          <w:szCs w:val="17"/>
          <w:color w:val="auto"/>
        </w:rPr>
        <w:t>Lender shall cooperate with Borrower to ensure that the exercise of Lender’s rights shall not disrupt the business of Borrower. The rights enumerated above shall not be construed as giving Lender control over Borrower’s management or policies.</w:t>
      </w:r>
    </w:p>
    <w:p>
      <w:pPr>
        <w:spacing w:after="0" w:line="171" w:lineRule="exact"/>
        <w:rPr>
          <w:sz w:val="20"/>
          <w:szCs w:val="20"/>
          <w:color w:val="auto"/>
        </w:rPr>
      </w:pPr>
    </w:p>
    <w:p>
      <w:pPr>
        <w:ind w:left="4" w:right="40"/>
        <w:spacing w:after="0" w:line="267" w:lineRule="auto"/>
        <w:rPr>
          <w:sz w:val="20"/>
          <w:szCs w:val="20"/>
          <w:color w:val="auto"/>
        </w:rPr>
      </w:pPr>
      <w:r>
        <w:rPr>
          <w:rFonts w:ascii="Arial" w:cs="Arial" w:eastAsia="Arial" w:hAnsi="Arial"/>
          <w:sz w:val="17"/>
          <w:szCs w:val="17"/>
          <w:color w:val="auto"/>
        </w:rPr>
        <w:t>The rights granted in this Section 5.3 shall terminate upon the earliest to occur of (a) Borrower becoming subject to the periodic reporting requirements of Section 12(g) or 15(d) of the Securities Exchange Act of 1934, as amended, (b) consummation of a sale of Borrower’s securities pursuant to a registration statement filed by Borrower under the Securities Act of 1933, as amended, in connection with a firm commitment underwritten public offering of Borrower’s securities,</w:t>
      </w:r>
    </w:p>
    <w:p>
      <w:pPr>
        <w:spacing w:after="0" w:line="4" w:lineRule="exact"/>
        <w:rPr>
          <w:sz w:val="20"/>
          <w:szCs w:val="20"/>
          <w:color w:val="auto"/>
        </w:rPr>
      </w:pPr>
    </w:p>
    <w:p>
      <w:pPr>
        <w:ind w:left="4" w:right="40" w:hanging="4"/>
        <w:spacing w:after="0" w:line="281" w:lineRule="auto"/>
        <w:tabs>
          <w:tab w:leader="none" w:pos="249" w:val="left"/>
        </w:tabs>
        <w:numPr>
          <w:ilvl w:val="0"/>
          <w:numId w:val="240"/>
        </w:numPr>
        <w:rPr>
          <w:rFonts w:ascii="Arial" w:cs="Arial" w:eastAsia="Arial" w:hAnsi="Arial"/>
          <w:sz w:val="16"/>
          <w:szCs w:val="16"/>
          <w:color w:val="auto"/>
        </w:rPr>
      </w:pPr>
      <w:r>
        <w:rPr>
          <w:rFonts w:ascii="Arial" w:cs="Arial" w:eastAsia="Arial" w:hAnsi="Arial"/>
          <w:sz w:val="16"/>
          <w:szCs w:val="16"/>
          <w:color w:val="auto"/>
        </w:rPr>
        <w:t>such time as Lender and its affiliates do not own any of the following that were issued by Borrower pursuant to this Agreement: (i) the Notes;</w:t>
      </w:r>
    </w:p>
    <w:p>
      <w:pPr>
        <w:spacing w:after="0" w:line="1" w:lineRule="exact"/>
        <w:rPr>
          <w:rFonts w:ascii="Arial" w:cs="Arial" w:eastAsia="Arial" w:hAnsi="Arial"/>
          <w:sz w:val="16"/>
          <w:szCs w:val="16"/>
          <w:color w:val="auto"/>
        </w:rPr>
      </w:pPr>
    </w:p>
    <w:p>
      <w:pPr>
        <w:ind w:left="4" w:right="80" w:hanging="4"/>
        <w:spacing w:after="0" w:line="251" w:lineRule="auto"/>
        <w:tabs>
          <w:tab w:leader="none" w:pos="26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Warrant; and (iii) the shares acquired pursuant to such Warrant, and (d) the consummation of a merger or consolidation of Borrower that is effected (i) for independent business reasons unrelated to extinguishing such rights and (ii) for purposes other than (A) the reincorporation of Borrower in a different state or (B) the formation of a holding company that will be owned exclusively by Borrower’s stockholders and will hold all of the outstanding shares of capital stock of Borrower’s successor.</w:t>
      </w:r>
    </w:p>
    <w:p>
      <w:pPr>
        <w:spacing w:after="0" w:line="20" w:lineRule="exact"/>
        <w:rPr>
          <w:sz w:val="20"/>
          <w:szCs w:val="20"/>
          <w:color w:val="auto"/>
        </w:rPr>
      </w:pPr>
      <w:r>
        <w:rPr>
          <w:sz w:val="20"/>
          <w:szCs w:val="20"/>
          <w:color w:val="auto"/>
        </w:rPr>
        <w:br w:type="column"/>
      </w:r>
    </w:p>
    <w:p>
      <w:pPr>
        <w:ind w:left="160" w:firstLine="360"/>
        <w:spacing w:after="0" w:line="258" w:lineRule="auto"/>
        <w:rPr>
          <w:sz w:val="20"/>
          <w:szCs w:val="20"/>
          <w:color w:val="auto"/>
        </w:rPr>
      </w:pPr>
      <w:r>
        <w:rPr>
          <w:rFonts w:ascii="Arial" w:cs="Arial" w:eastAsia="Arial" w:hAnsi="Arial"/>
          <w:sz w:val="18"/>
          <w:szCs w:val="18"/>
          <w:b w:val="1"/>
          <w:bCs w:val="1"/>
          <w:color w:val="auto"/>
        </w:rPr>
        <w:t>5.4 Existence</w:t>
      </w:r>
      <w:r>
        <w:rPr>
          <w:rFonts w:ascii="Arial" w:cs="Arial" w:eastAsia="Arial" w:hAnsi="Arial"/>
          <w:sz w:val="18"/>
          <w:szCs w:val="18"/>
          <w:color w:val="auto"/>
        </w:rPr>
        <w:t>. Maintain and preserve Borrower’s existence,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business, and all rights and privileges the loss of which could reasonably be expected to result in a Material Adverse Effect; and keep all Borrower’s property in good working order and condition, ordinary wear and tear and obsolescence excepted.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-822960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3" w:lineRule="exact"/>
        <w:rPr>
          <w:sz w:val="20"/>
          <w:szCs w:val="20"/>
          <w:color w:val="auto"/>
        </w:rPr>
      </w:pPr>
    </w:p>
    <w:p>
      <w:pPr>
        <w:ind w:left="160" w:right="80" w:firstLine="360"/>
        <w:spacing w:after="0" w:line="287" w:lineRule="auto"/>
        <w:rPr>
          <w:sz w:val="20"/>
          <w:szCs w:val="20"/>
          <w:color w:val="auto"/>
        </w:rPr>
      </w:pPr>
      <w:r>
        <w:rPr>
          <w:rFonts w:ascii="Arial" w:cs="Arial" w:eastAsia="Arial" w:hAnsi="Arial"/>
          <w:sz w:val="16"/>
          <w:szCs w:val="16"/>
          <w:b w:val="1"/>
          <w:bCs w:val="1"/>
          <w:color w:val="auto"/>
        </w:rPr>
        <w:t>5.5 Insurance</w:t>
      </w:r>
      <w:r>
        <w:rPr>
          <w:rFonts w:ascii="Arial" w:cs="Arial" w:eastAsia="Arial" w:hAnsi="Arial"/>
          <w:sz w:val="16"/>
          <w:szCs w:val="16"/>
          <w:color w:val="auto"/>
        </w:rPr>
        <w:t>. Obtain and keep in force insurance in such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types as is usual in the type of business conducted by Borrower, with insurance carriers having a policyholder rating of not less than “A” and financial category rating of Class VII in “Best’s Insurance Guide,” unless otherwise approved by Lender. Such insurance policies must be in form and substance reasonably satisfactory to Lender, and shall list Lender as an additional insured or loss payee, as applicable, on endorsement(s) in form reasonably acceptable to Lender. Borrower shall furnish to Lender such endorsements, and upon Lender’s request, copies of any or all such policies. So long as no Event of Default exists, Lender agrees to remit proceeds of insurance not to exceed $150,000 received by Lender to Borrower and Borrower shall use such proceeds for the purchase or replacement of the damaged or destroyed Collateral.</w:t>
      </w:r>
    </w:p>
    <w:p>
      <w:pPr>
        <w:spacing w:after="0" w:line="164" w:lineRule="exact"/>
        <w:rPr>
          <w:sz w:val="20"/>
          <w:szCs w:val="20"/>
          <w:color w:val="auto"/>
        </w:rPr>
      </w:pPr>
    </w:p>
    <w:p>
      <w:pPr>
        <w:ind w:left="160" w:right="20" w:firstLine="360"/>
        <w:spacing w:after="0" w:line="286" w:lineRule="auto"/>
        <w:rPr>
          <w:sz w:val="20"/>
          <w:szCs w:val="20"/>
          <w:color w:val="auto"/>
        </w:rPr>
      </w:pPr>
      <w:r>
        <w:rPr>
          <w:rFonts w:ascii="Arial" w:cs="Arial" w:eastAsia="Arial" w:hAnsi="Arial"/>
          <w:sz w:val="16"/>
          <w:szCs w:val="16"/>
          <w:b w:val="1"/>
          <w:bCs w:val="1"/>
          <w:color w:val="auto"/>
        </w:rPr>
        <w:t>5.6 Accounting Records</w:t>
      </w:r>
      <w:r>
        <w:rPr>
          <w:rFonts w:ascii="Arial" w:cs="Arial" w:eastAsia="Arial" w:hAnsi="Arial"/>
          <w:sz w:val="16"/>
          <w:szCs w:val="16"/>
          <w:color w:val="auto"/>
        </w:rPr>
        <w:t>. Maintain adequate books, accounts and</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and prepare all financial statements in accordance with GAAP (except with respect to unaudited financial statements, for the absence of footnotes and subject to normal year-end audit adjustments), and in compliance with the regulations of any governmental or regulatory authority having jurisdiction over Borrower or Borrower’s business where noncompliance could reasonably be expected to have a Material Adverse Effect; and permit employees or agents of Lender upon reasonable prior notice and at such reasonable times as Lender may request, at Borrower’s expense (not to exceed $2,500 in any 12-month period unless an Event of Default has occurred and is continuing), to inspect Borrower’s properties, and to examine, review and audit, and make copies and memoranda of Borrower’s books, accounts and records, provided that such inspections shall not occur more than once per year unless an Event of Default exists.</w:t>
      </w:r>
    </w:p>
    <w:p>
      <w:pPr>
        <w:spacing w:after="0" w:line="171" w:lineRule="exact"/>
        <w:rPr>
          <w:sz w:val="20"/>
          <w:szCs w:val="20"/>
          <w:color w:val="auto"/>
        </w:rPr>
      </w:pPr>
    </w:p>
    <w:p>
      <w:pPr>
        <w:ind w:left="160" w:right="20" w:firstLine="360"/>
        <w:spacing w:after="0" w:line="256" w:lineRule="auto"/>
        <w:rPr>
          <w:sz w:val="20"/>
          <w:szCs w:val="20"/>
          <w:color w:val="auto"/>
        </w:rPr>
      </w:pPr>
      <w:r>
        <w:rPr>
          <w:rFonts w:ascii="Arial" w:cs="Arial" w:eastAsia="Arial" w:hAnsi="Arial"/>
          <w:sz w:val="18"/>
          <w:szCs w:val="18"/>
          <w:b w:val="1"/>
          <w:bCs w:val="1"/>
          <w:color w:val="auto"/>
        </w:rPr>
        <w:t>5.7 Compliance with Laws</w:t>
      </w:r>
      <w:r>
        <w:rPr>
          <w:rFonts w:ascii="Arial" w:cs="Arial" w:eastAsia="Arial" w:hAnsi="Arial"/>
          <w:sz w:val="18"/>
          <w:szCs w:val="18"/>
          <w:color w:val="auto"/>
        </w:rPr>
        <w:t>. Comply with all laws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Laws), rules, regulations applicable to, and all orders and directives of any governmental or regulatory authority having jurisdiction over, Borrower or Borrower’s business, and with all material agreements to which Borrower is a party, except where the failure to so comply would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284" w:space="180"/>
            <w:col w:w="5520"/>
          </w:cols>
          <w:pgMar w:left="436" w:top="324" w:right="479" w:bottom="1440" w:gutter="0" w:footer="0" w:header="0"/>
        </w:sectPr>
      </w:pPr>
    </w:p>
    <w:bookmarkStart w:id="357" w:name="page358"/>
    <w:bookmarkEnd w:id="357"/>
    <w:p>
      <w:pPr>
        <w:ind w:left="4" w:right="20" w:firstLine="360"/>
        <w:spacing w:after="0" w:line="270" w:lineRule="auto"/>
        <w:rPr>
          <w:sz w:val="20"/>
          <w:szCs w:val="20"/>
          <w:color w:val="auto"/>
        </w:rPr>
      </w:pPr>
      <w:r>
        <w:rPr>
          <w:rFonts w:ascii="Arial" w:cs="Arial" w:eastAsia="Arial" w:hAnsi="Arial"/>
          <w:sz w:val="17"/>
          <w:szCs w:val="17"/>
          <w:b w:val="1"/>
          <w:bCs w:val="1"/>
          <w:color w:val="auto"/>
        </w:rPr>
        <w:t>5.8 Taxes and Other Liabilities</w:t>
      </w:r>
      <w:r>
        <w:rPr>
          <w:rFonts w:ascii="Arial" w:cs="Arial" w:eastAsia="Arial" w:hAnsi="Arial"/>
          <w:sz w:val="17"/>
          <w:szCs w:val="17"/>
          <w:color w:val="auto"/>
        </w:rPr>
        <w:t>. Pay all Borrower’s Indebtedness</w:t>
      </w:r>
      <w:r>
        <w:rPr>
          <w:rFonts w:ascii="Arial" w:cs="Arial" w:eastAsia="Arial" w:hAnsi="Arial"/>
          <w:sz w:val="17"/>
          <w:szCs w:val="17"/>
          <w:b w:val="1"/>
          <w:bCs w:val="1"/>
          <w:color w:val="auto"/>
        </w:rPr>
        <w:t xml:space="preserve"> </w:t>
      </w:r>
      <w:r>
        <w:rPr>
          <w:rFonts w:ascii="Arial" w:cs="Arial" w:eastAsia="Arial" w:hAnsi="Arial"/>
          <w:sz w:val="17"/>
          <w:szCs w:val="17"/>
          <w:color w:val="auto"/>
        </w:rPr>
        <w:t>when due, except as may be contested in good faith by appropriate proceedings and for which Borrower shall maintain appropriate reserves; pay all federal and all other taxes and other governmental or regulatory assessments (individually or in the aggregate in excess of $10,000) before delinquency or before any penalty attaches thereto, except as may be contested in good faith by the appropriate procedures and for which Borrower shall maintain appropriate reserves; and timely file all federal and all other required material tax returns (subject to any applicable extensions).</w:t>
      </w:r>
    </w:p>
    <w:p>
      <w:pPr>
        <w:spacing w:after="0" w:line="177"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5.9 Special Collateral Covenants</w:t>
      </w:r>
      <w:r>
        <w:rPr>
          <w:rFonts w:ascii="Arial" w:cs="Arial" w:eastAsia="Arial" w:hAnsi="Arial"/>
          <w:sz w:val="18"/>
          <w:szCs w:val="18"/>
          <w:color w:val="auto"/>
        </w:rPr>
        <w:t>.</w:t>
      </w:r>
    </w:p>
    <w:p>
      <w:pPr>
        <w:spacing w:after="0" w:line="117" w:lineRule="exact"/>
        <w:rPr>
          <w:sz w:val="20"/>
          <w:szCs w:val="20"/>
          <w:color w:val="auto"/>
        </w:rPr>
      </w:pPr>
    </w:p>
    <w:p>
      <w:pPr>
        <w:ind w:left="4" w:firstLine="356"/>
        <w:spacing w:after="0" w:line="268" w:lineRule="auto"/>
        <w:tabs>
          <w:tab w:leader="none" w:pos="618" w:val="left"/>
        </w:tabs>
        <w:numPr>
          <w:ilvl w:val="1"/>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Maintenance of Collateral; Inspection</w:t>
      </w:r>
      <w:r>
        <w:rPr>
          <w:rFonts w:ascii="Arial" w:cs="Arial" w:eastAsia="Arial" w:hAnsi="Arial"/>
          <w:sz w:val="17"/>
          <w:szCs w:val="17"/>
          <w:color w:val="auto"/>
        </w:rPr>
        <w:t>. Do all things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necessary to maintain, preserve, protect and keep all Collateral in good working order and salable condition, ordinary wear and tear excepted, deal with the Collateral in all commercially reasonable ways as are considered good practice by owners of like property, and use the Collateral lawfully and, to the extent applicable, only as permitted by Borrower’s insurance policies. Maintain, or cause to be maintained, complete and accurate Records, in all material respects, relating to the Collateral. Upon reasonable prior notice at reasonable times during normal business hours (but in no case more than once per year if no Event of Default has occurred and is continuing), Borrower hereby authorizes Lender’s officers, employees, representatives and agents to inspect the Collateral and to discuss the Collateral and the Records relating thereto with Borrower’s officers and employees, and, in the case of any Right to Payment during the continuance of an Event of Default, after consultation with Borrower, with any Person which is or may be obligated thereon.</w:t>
      </w:r>
    </w:p>
    <w:p>
      <w:pPr>
        <w:spacing w:after="0" w:line="177" w:lineRule="exact"/>
        <w:rPr>
          <w:rFonts w:ascii="Arial" w:cs="Arial" w:eastAsia="Arial" w:hAnsi="Arial"/>
          <w:sz w:val="17"/>
          <w:szCs w:val="17"/>
          <w:b w:val="1"/>
          <w:bCs w:val="1"/>
          <w:color w:val="auto"/>
        </w:rPr>
      </w:pPr>
    </w:p>
    <w:p>
      <w:pPr>
        <w:ind w:left="4" w:right="160" w:firstLine="356"/>
        <w:spacing w:after="0" w:line="255" w:lineRule="auto"/>
        <w:tabs>
          <w:tab w:leader="none" w:pos="629"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of Title</w:t>
      </w:r>
      <w:r>
        <w:rPr>
          <w:rFonts w:ascii="Arial" w:cs="Arial" w:eastAsia="Arial" w:hAnsi="Arial"/>
          <w:sz w:val="18"/>
          <w:szCs w:val="18"/>
          <w:color w:val="auto"/>
        </w:rPr>
        <w:t>. Not sign or authorize the signing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statement or other document naming Borrower as debtor or obligor, or acquiesce or cooperate in the issuance of any bill of lading, warehouse receipt or other document or instrument of title with respect to any Collateral, except those negotiated to Lender, or those naming Lender as secured party, or if solely to create, perfect or maintain a Permitted Lien.</w:t>
      </w:r>
    </w:p>
    <w:p>
      <w:pPr>
        <w:spacing w:after="0" w:line="188" w:lineRule="exact"/>
        <w:rPr>
          <w:rFonts w:ascii="Arial" w:cs="Arial" w:eastAsia="Arial" w:hAnsi="Arial"/>
          <w:sz w:val="18"/>
          <w:szCs w:val="18"/>
          <w:b w:val="1"/>
          <w:bCs w:val="1"/>
          <w:color w:val="auto"/>
        </w:rPr>
      </w:pPr>
    </w:p>
    <w:p>
      <w:pPr>
        <w:ind w:left="4" w:right="180" w:firstLine="356"/>
        <w:spacing w:after="0" w:line="293" w:lineRule="auto"/>
        <w:tabs>
          <w:tab w:leader="none" w:pos="608" w:val="left"/>
        </w:tabs>
        <w:numPr>
          <w:ilvl w:val="1"/>
          <w:numId w:val="242"/>
        </w:numPr>
        <w:rPr>
          <w:rFonts w:ascii="Arial" w:cs="Arial" w:eastAsia="Arial" w:hAnsi="Arial"/>
          <w:sz w:val="16"/>
          <w:szCs w:val="16"/>
          <w:b w:val="1"/>
          <w:bCs w:val="1"/>
          <w:color w:val="auto"/>
        </w:rPr>
      </w:pPr>
      <w:r>
        <w:rPr>
          <w:rFonts w:ascii="Arial" w:cs="Arial" w:eastAsia="Arial" w:hAnsi="Arial"/>
          <w:sz w:val="16"/>
          <w:szCs w:val="16"/>
          <w:b w:val="1"/>
          <w:bCs w:val="1"/>
          <w:color w:val="auto"/>
        </w:rPr>
        <w:t>Change in Location or Name</w:t>
      </w:r>
      <w:r>
        <w:rPr>
          <w:rFonts w:ascii="Arial" w:cs="Arial" w:eastAsia="Arial" w:hAnsi="Arial"/>
          <w:sz w:val="16"/>
          <w:szCs w:val="16"/>
          <w:color w:val="auto"/>
        </w:rPr>
        <w:t>. Without at least 10 days’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Lender: (a) not relocate any Collateral (other than</w:t>
      </w:r>
    </w:p>
    <w:p>
      <w:pPr>
        <w:spacing w:after="0" w:line="1" w:lineRule="exact"/>
        <w:rPr>
          <w:rFonts w:ascii="Arial" w:cs="Arial" w:eastAsia="Arial" w:hAnsi="Arial"/>
          <w:sz w:val="16"/>
          <w:szCs w:val="16"/>
          <w:b w:val="1"/>
          <w:bCs w:val="1"/>
          <w:color w:val="auto"/>
        </w:rPr>
      </w:pPr>
    </w:p>
    <w:p>
      <w:pPr>
        <w:ind w:left="224" w:hanging="224"/>
        <w:spacing w:after="0"/>
        <w:tabs>
          <w:tab w:leader="none" w:pos="2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moveable</w:t>
      </w:r>
    </w:p>
    <w:p>
      <w:pPr>
        <w:spacing w:after="0" w:line="20" w:lineRule="exact"/>
        <w:rPr>
          <w:sz w:val="20"/>
          <w:szCs w:val="20"/>
          <w:color w:val="auto"/>
        </w:rPr>
      </w:pPr>
      <w:r>
        <w:rPr>
          <w:sz w:val="20"/>
          <w:szCs w:val="20"/>
          <w:color w:val="auto"/>
        </w:rPr>
        <w:br w:type="column"/>
      </w:r>
    </w:p>
    <w:p>
      <w:pPr>
        <w:ind w:left="160" w:right="60"/>
        <w:spacing w:after="0" w:line="285" w:lineRule="auto"/>
        <w:rPr>
          <w:sz w:val="20"/>
          <w:szCs w:val="20"/>
          <w:color w:val="auto"/>
        </w:rPr>
      </w:pPr>
      <w:r>
        <w:rPr>
          <w:rFonts w:ascii="Arial" w:cs="Arial" w:eastAsia="Arial" w:hAnsi="Arial"/>
          <w:sz w:val="16"/>
          <w:szCs w:val="16"/>
          <w:color w:val="auto"/>
        </w:rPr>
        <w:t>property such as laptop computers and (ii) other Collateral with a book value less than $100,000) or Records, its chief executive office, or establish a place of business at a location other than as specified in the Supplement; and (b) not change its name, mailing address, location of Collateral (other than (i) moveable property such as laptop computers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-812800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60" w:right="120" w:hanging="6"/>
        <w:spacing w:after="0" w:line="260" w:lineRule="auto"/>
        <w:tabs>
          <w:tab w:leader="none" w:pos="42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other Collateral with a book value less than $100,000), jurisdiction of formation or its legal structure.</w:t>
      </w:r>
    </w:p>
    <w:p>
      <w:pPr>
        <w:spacing w:after="0" w:line="181" w:lineRule="exact"/>
        <w:rPr>
          <w:rFonts w:ascii="Arial" w:cs="Arial" w:eastAsia="Arial" w:hAnsi="Arial"/>
          <w:sz w:val="18"/>
          <w:szCs w:val="18"/>
          <w:color w:val="auto"/>
        </w:rPr>
      </w:pPr>
    </w:p>
    <w:p>
      <w:pPr>
        <w:ind w:left="160" w:right="100" w:firstLine="354"/>
        <w:spacing w:after="0" w:line="314" w:lineRule="auto"/>
        <w:tabs>
          <w:tab w:leader="none" w:pos="785" w:val="left"/>
        </w:tabs>
        <w:numPr>
          <w:ilvl w:val="1"/>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Decals, Markings</w:t>
      </w:r>
      <w:r>
        <w:rPr>
          <w:rFonts w:ascii="Arial" w:cs="Arial" w:eastAsia="Arial" w:hAnsi="Arial"/>
          <w:sz w:val="16"/>
          <w:szCs w:val="16"/>
          <w:color w:val="auto"/>
        </w:rPr>
        <w:t>. At the request of Lender, if an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exists, firmly affix a decal, stencil or other marking to designated items of Equipment, indicating thereon the security interest of Lender.</w:t>
      </w:r>
    </w:p>
    <w:p>
      <w:pPr>
        <w:spacing w:after="0" w:line="141" w:lineRule="exact"/>
        <w:rPr>
          <w:rFonts w:ascii="Arial" w:cs="Arial" w:eastAsia="Arial" w:hAnsi="Arial"/>
          <w:sz w:val="16"/>
          <w:szCs w:val="16"/>
          <w:b w:val="1"/>
          <w:bCs w:val="1"/>
          <w:color w:val="auto"/>
        </w:rPr>
      </w:pPr>
    </w:p>
    <w:p>
      <w:pPr>
        <w:ind w:left="160" w:firstLine="354"/>
        <w:spacing w:after="0" w:line="285" w:lineRule="auto"/>
        <w:tabs>
          <w:tab w:leader="none" w:pos="764" w:val="left"/>
        </w:tabs>
        <w:numPr>
          <w:ilvl w:val="1"/>
          <w:numId w:val="244"/>
        </w:numPr>
        <w:rPr>
          <w:rFonts w:ascii="Arial" w:cs="Arial" w:eastAsia="Arial" w:hAnsi="Arial"/>
          <w:sz w:val="16"/>
          <w:szCs w:val="16"/>
          <w:b w:val="1"/>
          <w:bCs w:val="1"/>
          <w:color w:val="auto"/>
        </w:rPr>
      </w:pPr>
      <w:r>
        <w:rPr>
          <w:rFonts w:ascii="Arial" w:cs="Arial" w:eastAsia="Arial" w:hAnsi="Arial"/>
          <w:sz w:val="16"/>
          <w:szCs w:val="16"/>
          <w:b w:val="1"/>
          <w:bCs w:val="1"/>
          <w:color w:val="auto"/>
        </w:rPr>
        <w:t>Agreement with Persons in Possession of Collateral</w:t>
      </w:r>
      <w:r>
        <w:rPr>
          <w:rFonts w:ascii="Arial" w:cs="Arial" w:eastAsia="Arial" w:hAnsi="Arial"/>
          <w:sz w:val="16"/>
          <w:szCs w:val="16"/>
          <w:color w:val="auto"/>
        </w:rPr>
        <w:t>. Use its</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commercially reasonable efforts to obtain and maintain such acknowledgments, consents, waivers and agreements (each a “</w:t>
      </w:r>
      <w:r>
        <w:rPr>
          <w:rFonts w:ascii="Arial" w:cs="Arial" w:eastAsia="Arial" w:hAnsi="Arial"/>
          <w:sz w:val="16"/>
          <w:szCs w:val="16"/>
          <w:b w:val="1"/>
          <w:bCs w:val="1"/>
          <w:u w:val="single" w:color="auto"/>
          <w:color w:val="auto"/>
        </w:rPr>
        <w:t>Waiver</w:t>
      </w:r>
      <w:r>
        <w:rPr>
          <w:rFonts w:ascii="Arial" w:cs="Arial" w:eastAsia="Arial" w:hAnsi="Arial"/>
          <w:sz w:val="16"/>
          <w:szCs w:val="16"/>
          <w:color w:val="auto"/>
        </w:rPr>
        <w:t>”) from the owner, operator, lienholder, mortgagee, landlord or any Person in possession of tangible Collateral (other than (i) items of moveable property such as laptop computers and (ii) other Collateral with a book value less than $100,000 per location) as Lender may require, all in form and substance reasonably satisfactory to Lender. In addition, Lender shall have the right to require Borrower to use its commercially reasonable efforts to provide Lender with a Waiver for any Collateral that is located in a jurisdiction that provides for statutory landlord’s Liens and for any location at which the Person in possession of such Collateral has a Lien thereon. Notwithstanding anything to the contrary in this Section 5.9(e), Borrower and Lender acknowledge and agree that all material Intellectual Property and Records that are maintained on items of Collateral for which Borrower is unable to provide a Waiver also shall be maintained or backed up in a manner sufficient that Lender shall be able to have access to such Intellectual Property and Records in accordance with the exercise of Lender’s rights hereunder.</w:t>
      </w:r>
    </w:p>
    <w:p>
      <w:pPr>
        <w:spacing w:after="0" w:line="168" w:lineRule="exact"/>
        <w:rPr>
          <w:rFonts w:ascii="Arial" w:cs="Arial" w:eastAsia="Arial" w:hAnsi="Arial"/>
          <w:sz w:val="16"/>
          <w:szCs w:val="16"/>
          <w:b w:val="1"/>
          <w:bCs w:val="1"/>
          <w:color w:val="auto"/>
        </w:rPr>
      </w:pPr>
    </w:p>
    <w:p>
      <w:pPr>
        <w:ind w:left="160" w:right="40" w:firstLine="354"/>
        <w:spacing w:after="0" w:line="258" w:lineRule="auto"/>
        <w:tabs>
          <w:tab w:leader="none" w:pos="745"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Certain Agreements on Rights to Payment</w:t>
      </w:r>
      <w:r>
        <w:rPr>
          <w:rFonts w:ascii="Arial" w:cs="Arial" w:eastAsia="Arial" w:hAnsi="Arial"/>
          <w:sz w:val="18"/>
          <w:szCs w:val="18"/>
          <w:color w:val="auto"/>
        </w:rPr>
        <w:t>. Other than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course of business, not make any material discount, credit, rebate or other reduction in the original amount owing on a Right to Payment or accept in satisfaction of a Right to Payment less than the original amount thereof.</w:t>
      </w:r>
    </w:p>
    <w:p>
      <w:pPr>
        <w:spacing w:after="0" w:line="183" w:lineRule="exact"/>
        <w:rPr>
          <w:sz w:val="20"/>
          <w:szCs w:val="20"/>
          <w:color w:val="auto"/>
        </w:rPr>
      </w:pPr>
    </w:p>
    <w:p>
      <w:pPr>
        <w:ind w:left="160" w:right="140" w:firstLine="360"/>
        <w:spacing w:after="0" w:line="258" w:lineRule="auto"/>
        <w:rPr>
          <w:sz w:val="20"/>
          <w:szCs w:val="20"/>
          <w:color w:val="auto"/>
        </w:rPr>
      </w:pPr>
      <w:r>
        <w:rPr>
          <w:rFonts w:ascii="Arial" w:cs="Arial" w:eastAsia="Arial" w:hAnsi="Arial"/>
          <w:sz w:val="18"/>
          <w:szCs w:val="18"/>
          <w:b w:val="1"/>
          <w:bCs w:val="1"/>
          <w:color w:val="auto"/>
        </w:rPr>
        <w:t>5.10 Authorization for Automated Clearinghouse Funds Transfer</w:t>
      </w:r>
      <w:r>
        <w:rPr>
          <w:rFonts w:ascii="Arial" w:cs="Arial" w:eastAsia="Arial" w:hAnsi="Arial"/>
          <w:sz w:val="18"/>
          <w:szCs w:val="18"/>
          <w:color w:val="auto"/>
        </w:rPr>
        <w:t>. (i) Authorize Lender to initiate debit entries to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Operating Account, specified in the Supplement hereto, through Automated Clearinghouse (“</w:t>
      </w:r>
      <w:r>
        <w:rPr>
          <w:rFonts w:ascii="Arial" w:cs="Arial" w:eastAsia="Arial" w:hAnsi="Arial"/>
          <w:sz w:val="18"/>
          <w:szCs w:val="18"/>
          <w:b w:val="1"/>
          <w:bCs w:val="1"/>
          <w:u w:val="single" w:color="auto"/>
          <w:color w:val="auto"/>
        </w:rPr>
        <w:t>ACH</w:t>
      </w:r>
      <w:r>
        <w:rPr>
          <w:rFonts w:ascii="Arial" w:cs="Arial" w:eastAsia="Arial" w:hAnsi="Arial"/>
          <w:sz w:val="18"/>
          <w:szCs w:val="18"/>
          <w:color w:val="auto"/>
        </w:rPr>
        <w:t>”) transfers, in order to satisfy the regularly scheduled payments of</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284" w:space="180"/>
            <w:col w:w="5540"/>
          </w:cols>
          <w:pgMar w:left="436" w:top="324" w:right="459" w:bottom="1440" w:gutter="0" w:footer="0" w:header="0"/>
        </w:sectPr>
      </w:pPr>
    </w:p>
    <w:bookmarkStart w:id="358" w:name="page359"/>
    <w:bookmarkEnd w:id="358"/>
    <w:p>
      <w:pPr>
        <w:ind w:left="4" w:right="340"/>
        <w:spacing w:after="0" w:line="291" w:lineRule="auto"/>
        <w:rPr>
          <w:sz w:val="20"/>
          <w:szCs w:val="20"/>
          <w:color w:val="auto"/>
        </w:rPr>
      </w:pPr>
      <w:r>
        <w:rPr>
          <w:rFonts w:ascii="Arial" w:cs="Arial" w:eastAsia="Arial" w:hAnsi="Arial"/>
          <w:sz w:val="16"/>
          <w:szCs w:val="16"/>
          <w:color w:val="auto"/>
        </w:rPr>
        <w:t>principal and interest; (ii) provide Lender at least twenty (20) days’ notice of any change in Borrower’s Primary Operating Account; and</w:t>
      </w:r>
    </w:p>
    <w:p>
      <w:pPr>
        <w:ind w:left="4" w:right="120" w:hanging="4"/>
        <w:spacing w:after="0" w:line="255" w:lineRule="auto"/>
        <w:tabs>
          <w:tab w:leader="none" w:pos="31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grant Lender any additional authorizations necessary to begin ACH debits from a new account which becomes the Primary Operating Account.</w:t>
      </w:r>
    </w:p>
    <w:p>
      <w:pPr>
        <w:spacing w:after="0" w:line="186" w:lineRule="exact"/>
        <w:rPr>
          <w:sz w:val="20"/>
          <w:szCs w:val="20"/>
          <w:color w:val="auto"/>
        </w:rPr>
      </w:pPr>
    </w:p>
    <w:p>
      <w:pPr>
        <w:ind w:left="4" w:firstLine="360"/>
        <w:spacing w:after="0" w:line="314" w:lineRule="auto"/>
        <w:rPr>
          <w:sz w:val="20"/>
          <w:szCs w:val="20"/>
          <w:color w:val="auto"/>
        </w:rPr>
      </w:pPr>
      <w:r>
        <w:rPr>
          <w:rFonts w:ascii="Arial" w:cs="Arial" w:eastAsia="Arial" w:hAnsi="Arial"/>
          <w:sz w:val="16"/>
          <w:szCs w:val="16"/>
          <w:b w:val="1"/>
          <w:bCs w:val="1"/>
          <w:color w:val="auto"/>
        </w:rPr>
        <w:t>5.11 Anti-Corruption Laws</w:t>
      </w:r>
      <w:r>
        <w:rPr>
          <w:rFonts w:ascii="Arial" w:cs="Arial" w:eastAsia="Arial" w:hAnsi="Arial"/>
          <w:sz w:val="16"/>
          <w:szCs w:val="16"/>
          <w:color w:val="auto"/>
        </w:rPr>
        <w:t>. Provide true, accurate and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in all material respects, in all product orders, reimbursement requests and other communications relating to Borrower and its products.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6 - NEGATIVE COVENANTS</w:t>
      </w:r>
    </w:p>
    <w:p>
      <w:pPr>
        <w:spacing w:after="0" w:line="121" w:lineRule="exact"/>
        <w:rPr>
          <w:sz w:val="20"/>
          <w:szCs w:val="20"/>
          <w:color w:val="auto"/>
        </w:rPr>
      </w:pPr>
    </w:p>
    <w:p>
      <w:pPr>
        <w:jc w:val="both"/>
        <w:ind w:left="4" w:right="120" w:firstLine="360"/>
        <w:spacing w:after="0" w:line="263" w:lineRule="auto"/>
        <w:rPr>
          <w:sz w:val="20"/>
          <w:szCs w:val="20"/>
          <w:color w:val="auto"/>
        </w:rPr>
      </w:pPr>
      <w:r>
        <w:rPr>
          <w:rFonts w:ascii="Arial" w:cs="Arial" w:eastAsia="Arial" w:hAnsi="Arial"/>
          <w:sz w:val="18"/>
          <w:szCs w:val="18"/>
          <w:color w:val="auto"/>
        </w:rPr>
        <w:t>During the term of this Agreement and until the performance of all Obligations (other than inchoate indemnity obligations), Borrower will not:</w:t>
      </w:r>
    </w:p>
    <w:p>
      <w:pPr>
        <w:spacing w:after="0" w:line="72" w:lineRule="exact"/>
        <w:rPr>
          <w:sz w:val="20"/>
          <w:szCs w:val="20"/>
          <w:color w:val="auto"/>
        </w:rPr>
      </w:pPr>
    </w:p>
    <w:p>
      <w:pPr>
        <w:ind w:left="4" w:right="220" w:firstLine="360"/>
        <w:spacing w:after="0" w:line="298" w:lineRule="auto"/>
        <w:rPr>
          <w:sz w:val="20"/>
          <w:szCs w:val="20"/>
          <w:color w:val="auto"/>
        </w:rPr>
      </w:pPr>
      <w:r>
        <w:rPr>
          <w:rFonts w:ascii="Arial" w:cs="Arial" w:eastAsia="Arial" w:hAnsi="Arial"/>
          <w:sz w:val="16"/>
          <w:szCs w:val="16"/>
          <w:b w:val="1"/>
          <w:bCs w:val="1"/>
          <w:color w:val="auto"/>
        </w:rPr>
        <w:t>6.1 Indebtedness</w:t>
      </w:r>
      <w:r>
        <w:rPr>
          <w:rFonts w:ascii="Arial" w:cs="Arial" w:eastAsia="Arial" w:hAnsi="Arial"/>
          <w:sz w:val="16"/>
          <w:szCs w:val="16"/>
          <w:color w:val="auto"/>
        </w:rPr>
        <w:t>. Be indebted for borrowed money, the deferred</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price of property, or leases which would be capitalized in accordance with GAAP; or become liable as a surety, guarantor, accommodation party or otherwise for or upon any obligation with respect to any of the foregoing of any other Person, except:</w:t>
      </w:r>
    </w:p>
    <w:p>
      <w:pPr>
        <w:spacing w:after="0" w:line="50" w:lineRule="exact"/>
        <w:rPr>
          <w:sz w:val="20"/>
          <w:szCs w:val="20"/>
          <w:color w:val="auto"/>
        </w:rPr>
      </w:pPr>
    </w:p>
    <w:p>
      <w:pPr>
        <w:ind w:left="4" w:right="120" w:firstLine="356"/>
        <w:spacing w:after="0" w:line="277" w:lineRule="auto"/>
        <w:tabs>
          <w:tab w:leader="none" w:pos="619"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Indebtedness incurred for the acquisition of supplies, inventory or other property or services on normal trade credit;</w:t>
      </w:r>
    </w:p>
    <w:p>
      <w:pPr>
        <w:spacing w:after="0" w:line="170" w:lineRule="exact"/>
        <w:rPr>
          <w:rFonts w:ascii="Arial" w:cs="Arial" w:eastAsia="Arial" w:hAnsi="Arial"/>
          <w:sz w:val="18"/>
          <w:szCs w:val="18"/>
          <w:b w:val="1"/>
          <w:bCs w:val="1"/>
          <w:color w:val="auto"/>
        </w:rPr>
      </w:pPr>
    </w:p>
    <w:p>
      <w:pPr>
        <w:ind w:left="4" w:right="460" w:firstLine="356"/>
        <w:spacing w:after="0" w:line="277" w:lineRule="auto"/>
        <w:tabs>
          <w:tab w:leader="none" w:pos="629"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 xml:space="preserve">Indebtedness incurred or assumed pursuant to one or more transactions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604" w:hanging="244"/>
        <w:spacing w:after="0"/>
        <w:tabs>
          <w:tab w:leader="none" w:pos="604"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Indebtedness of Borrower under this Agreement;</w:t>
      </w:r>
    </w:p>
    <w:p>
      <w:pPr>
        <w:spacing w:after="0" w:line="225" w:lineRule="exact"/>
        <w:rPr>
          <w:rFonts w:ascii="Arial" w:cs="Arial" w:eastAsia="Arial" w:hAnsi="Arial"/>
          <w:sz w:val="18"/>
          <w:szCs w:val="18"/>
          <w:b w:val="1"/>
          <w:bCs w:val="1"/>
          <w:color w:val="auto"/>
        </w:rPr>
      </w:pPr>
    </w:p>
    <w:p>
      <w:pPr>
        <w:ind w:left="624" w:hanging="264"/>
        <w:spacing w:after="0"/>
        <w:tabs>
          <w:tab w:leader="none" w:pos="624"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b w:val="1"/>
          <w:bCs w:val="1"/>
          <w:color w:val="auto"/>
        </w:rPr>
      </w:pPr>
    </w:p>
    <w:p>
      <w:pPr>
        <w:ind w:left="4" w:right="100" w:firstLine="356"/>
        <w:spacing w:after="0" w:line="277" w:lineRule="auto"/>
        <w:tabs>
          <w:tab w:leader="none" w:pos="608"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 xml:space="preserve">any Indebtedness approved by Lender prior to the Closing Date as shown on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jc w:val="both"/>
        <w:ind w:left="4" w:right="360" w:firstLine="356"/>
        <w:spacing w:after="0" w:line="286" w:lineRule="auto"/>
        <w:tabs>
          <w:tab w:leader="none" w:pos="589" w:val="left"/>
        </w:tabs>
        <w:numPr>
          <w:ilvl w:val="0"/>
          <w:numId w:val="246"/>
        </w:numPr>
        <w:rPr>
          <w:rFonts w:ascii="Arial" w:cs="Arial" w:eastAsia="Arial" w:hAnsi="Arial"/>
          <w:sz w:val="17"/>
          <w:szCs w:val="17"/>
          <w:b w:val="1"/>
          <w:bCs w:val="1"/>
          <w:color w:val="auto"/>
        </w:rPr>
      </w:pPr>
      <w:r>
        <w:rPr>
          <w:rFonts w:ascii="Arial" w:cs="Arial" w:eastAsia="Arial" w:hAnsi="Arial"/>
          <w:sz w:val="17"/>
          <w:szCs w:val="17"/>
          <w:color w:val="auto"/>
        </w:rPr>
        <w:t>Indebtedness secured by a lien described in clause (c) of the defined term “Permitted Liens” not to exceed $100,000 in aggregate principal amount outstanding at any time;</w:t>
      </w:r>
    </w:p>
    <w:p>
      <w:pPr>
        <w:spacing w:after="0" w:line="165" w:lineRule="exact"/>
        <w:rPr>
          <w:rFonts w:ascii="Arial" w:cs="Arial" w:eastAsia="Arial" w:hAnsi="Arial"/>
          <w:sz w:val="17"/>
          <w:szCs w:val="17"/>
          <w:b w:val="1"/>
          <w:bCs w:val="1"/>
          <w:color w:val="auto"/>
        </w:rPr>
      </w:pPr>
    </w:p>
    <w:p>
      <w:pPr>
        <w:ind w:left="4" w:right="140" w:firstLine="356"/>
        <w:spacing w:after="0" w:line="277" w:lineRule="auto"/>
        <w:tabs>
          <w:tab w:leader="none" w:pos="619" w:val="left"/>
        </w:tabs>
        <w:numPr>
          <w:ilvl w:val="0"/>
          <w:numId w:val="246"/>
        </w:numPr>
        <w:rPr>
          <w:rFonts w:ascii="Arial" w:cs="Arial" w:eastAsia="Arial" w:hAnsi="Arial"/>
          <w:sz w:val="18"/>
          <w:szCs w:val="18"/>
          <w:b w:val="1"/>
          <w:bCs w:val="1"/>
          <w:color w:val="auto"/>
        </w:rPr>
      </w:pPr>
      <w:r>
        <w:rPr>
          <w:rFonts w:ascii="Arial" w:cs="Arial" w:eastAsia="Arial" w:hAnsi="Arial"/>
          <w:sz w:val="18"/>
          <w:szCs w:val="18"/>
          <w:color w:val="auto"/>
        </w:rPr>
        <w:t>Any Indebtedness arising from the endorsement of instruments in the ordinary course of business;</w:t>
      </w:r>
    </w:p>
    <w:p>
      <w:pPr>
        <w:spacing w:after="0" w:line="170" w:lineRule="exact"/>
        <w:rPr>
          <w:rFonts w:ascii="Arial" w:cs="Arial" w:eastAsia="Arial" w:hAnsi="Arial"/>
          <w:sz w:val="18"/>
          <w:szCs w:val="18"/>
          <w:b w:val="1"/>
          <w:bCs w:val="1"/>
          <w:color w:val="auto"/>
        </w:rPr>
      </w:pPr>
    </w:p>
    <w:p>
      <w:pPr>
        <w:ind w:left="4" w:right="20" w:firstLine="356"/>
        <w:spacing w:after="0" w:line="342" w:lineRule="auto"/>
        <w:tabs>
          <w:tab w:leader="none" w:pos="629" w:val="left"/>
        </w:tabs>
        <w:numPr>
          <w:ilvl w:val="0"/>
          <w:numId w:val="246"/>
        </w:numPr>
        <w:rPr>
          <w:rFonts w:ascii="Arial" w:cs="Arial" w:eastAsia="Arial" w:hAnsi="Arial"/>
          <w:sz w:val="16"/>
          <w:szCs w:val="16"/>
          <w:b w:val="1"/>
          <w:bCs w:val="1"/>
          <w:color w:val="auto"/>
        </w:rPr>
      </w:pPr>
      <w:r>
        <w:rPr>
          <w:rFonts w:ascii="Arial" w:cs="Arial" w:eastAsia="Arial" w:hAnsi="Arial"/>
          <w:sz w:val="16"/>
          <w:szCs w:val="16"/>
          <w:color w:val="auto"/>
        </w:rPr>
        <w:t>Indebtedness incurred under corporate credit cards not to exceed $100,000 in aggregate principal amount outstanding at any time;</w:t>
      </w:r>
    </w:p>
    <w:p>
      <w:pPr>
        <w:spacing w:after="0" w:line="20" w:lineRule="exact"/>
        <w:rPr>
          <w:sz w:val="20"/>
          <w:szCs w:val="20"/>
          <w:color w:val="auto"/>
        </w:rPr>
      </w:pPr>
      <w:r>
        <w:rPr>
          <w:sz w:val="20"/>
          <w:szCs w:val="20"/>
          <w:color w:val="auto"/>
        </w:rPr>
        <w:br w:type="column"/>
      </w:r>
    </w:p>
    <w:p>
      <w:pPr>
        <w:ind w:left="200" w:right="980" w:firstLine="354"/>
        <w:spacing w:after="0" w:line="308" w:lineRule="auto"/>
        <w:tabs>
          <w:tab w:leader="none" w:pos="775" w:val="left"/>
        </w:tabs>
        <w:numPr>
          <w:ilvl w:val="0"/>
          <w:numId w:val="247"/>
        </w:numPr>
        <w:rPr>
          <w:rFonts w:ascii="Arial" w:cs="Arial" w:eastAsia="Arial" w:hAnsi="Arial"/>
          <w:sz w:val="17"/>
          <w:szCs w:val="17"/>
          <w:b w:val="1"/>
          <w:bCs w:val="1"/>
          <w:color w:val="auto"/>
        </w:rPr>
      </w:pPr>
      <w:r>
        <w:rPr>
          <w:rFonts w:ascii="Arial" w:cs="Arial" w:eastAsia="Arial" w:hAnsi="Arial"/>
          <w:sz w:val="17"/>
          <w:szCs w:val="17"/>
          <w:color w:val="auto"/>
        </w:rPr>
        <w:t>guaranties and similar surety obligations in respect of Indebtedness permitted under this Section 6.1;</w:t>
      </w:r>
    </w:p>
    <w:p>
      <w:pPr>
        <w:spacing w:after="0" w:line="146" w:lineRule="exact"/>
        <w:rPr>
          <w:rFonts w:ascii="Arial" w:cs="Arial" w:eastAsia="Arial" w:hAnsi="Arial"/>
          <w:sz w:val="17"/>
          <w:szCs w:val="17"/>
          <w:b w:val="1"/>
          <w:bCs w:val="1"/>
          <w:color w:val="auto"/>
        </w:rPr>
      </w:pPr>
    </w:p>
    <w:p>
      <w:pPr>
        <w:ind w:left="200" w:right="300" w:firstLine="354"/>
        <w:spacing w:after="0" w:line="277" w:lineRule="auto"/>
        <w:tabs>
          <w:tab w:leader="none" w:pos="785"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Indebtedness of Borrower to any Subsidiary or to Incube Labs, LLC; provided the same is Subordinated Debt;</w:t>
      </w:r>
    </w:p>
    <w:p>
      <w:pPr>
        <w:spacing w:after="0" w:line="170" w:lineRule="exact"/>
        <w:rPr>
          <w:rFonts w:ascii="Arial" w:cs="Arial" w:eastAsia="Arial" w:hAnsi="Arial"/>
          <w:sz w:val="18"/>
          <w:szCs w:val="18"/>
          <w:b w:val="1"/>
          <w:bCs w:val="1"/>
          <w:color w:val="auto"/>
        </w:rPr>
      </w:pPr>
    </w:p>
    <w:p>
      <w:pPr>
        <w:ind w:left="200" w:right="520" w:firstLine="354"/>
        <w:spacing w:after="0" w:line="277" w:lineRule="auto"/>
        <w:tabs>
          <w:tab w:leader="none" w:pos="825"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Other indebtedness in an aggregate principal amount not to exceed $150,000 outstanding at any time; and</w:t>
      </w:r>
    </w:p>
    <w:p>
      <w:pPr>
        <w:spacing w:after="0" w:line="170" w:lineRule="exact"/>
        <w:rPr>
          <w:rFonts w:ascii="Arial" w:cs="Arial" w:eastAsia="Arial" w:hAnsi="Arial"/>
          <w:sz w:val="18"/>
          <w:szCs w:val="18"/>
          <w:b w:val="1"/>
          <w:bCs w:val="1"/>
          <w:color w:val="auto"/>
        </w:rPr>
      </w:pPr>
    </w:p>
    <w:p>
      <w:pPr>
        <w:ind w:left="200" w:right="460" w:firstLine="354"/>
        <w:spacing w:after="0" w:line="263" w:lineRule="auto"/>
        <w:tabs>
          <w:tab w:leader="none" w:pos="775" w:val="left"/>
        </w:tabs>
        <w:numPr>
          <w:ilvl w:val="0"/>
          <w:numId w:val="247"/>
        </w:numPr>
        <w:rPr>
          <w:rFonts w:ascii="Arial" w:cs="Arial" w:eastAsia="Arial" w:hAnsi="Arial"/>
          <w:sz w:val="18"/>
          <w:szCs w:val="18"/>
          <w:b w:val="1"/>
          <w:bCs w:val="1"/>
          <w:color w:val="auto"/>
        </w:rPr>
      </w:pPr>
      <w:r>
        <w:rPr>
          <w:rFonts w:ascii="Arial" w:cs="Arial" w:eastAsia="Arial" w:hAnsi="Arial"/>
          <w:sz w:val="18"/>
          <w:szCs w:val="18"/>
          <w:color w:val="auto"/>
        </w:rPr>
        <w:t>extensions, refinancings, modifications, amendments and restatements, and renewals of any of the foregoing; provided that the principal amount thereof is not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-1785620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0" w:lineRule="exact"/>
        <w:rPr>
          <w:sz w:val="20"/>
          <w:szCs w:val="20"/>
          <w:color w:val="auto"/>
        </w:rPr>
      </w:pPr>
    </w:p>
    <w:p>
      <w:pPr>
        <w:ind w:left="200" w:right="60" w:firstLine="360"/>
        <w:spacing w:after="0" w:line="288" w:lineRule="auto"/>
        <w:rPr>
          <w:sz w:val="20"/>
          <w:szCs w:val="20"/>
          <w:color w:val="auto"/>
        </w:rPr>
      </w:pPr>
      <w:r>
        <w:rPr>
          <w:rFonts w:ascii="Arial" w:cs="Arial" w:eastAsia="Arial" w:hAnsi="Arial"/>
          <w:sz w:val="16"/>
          <w:szCs w:val="16"/>
          <w:b w:val="1"/>
          <w:bCs w:val="1"/>
          <w:color w:val="auto"/>
        </w:rPr>
        <w:t>6.2 Liens</w:t>
      </w:r>
      <w:r>
        <w:rPr>
          <w:rFonts w:ascii="Arial" w:cs="Arial" w:eastAsia="Arial" w:hAnsi="Arial"/>
          <w:sz w:val="16"/>
          <w:szCs w:val="16"/>
          <w:color w:val="auto"/>
        </w:rPr>
        <w:t>. Create, incur, assume or permit to exist any Lien, or grant</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Person a negative pledge that limits, restricts or prohibits the granting of any lien on Borrower’s property in favor of Lender, on any of Borrower’s property, except, in each case, for Permitted Liens and any negative pledge in respect of any asset subject to a Lien permitted by clause (c) of the definition of Permitted Liens. Borrower and Lender agree that this covenant is not intended to constitute a lien, deed of trust, equitable mortgage, or security interest of any kind on any of Borrower’s real property, and this Agreement shall not be recorded or recordable. Notwithstanding the foregoing, however, violation of this covenant by Borrower shall constitute an Event of Default.</w:t>
      </w:r>
    </w:p>
    <w:p>
      <w:pPr>
        <w:spacing w:after="0" w:line="163" w:lineRule="exact"/>
        <w:rPr>
          <w:sz w:val="20"/>
          <w:szCs w:val="20"/>
          <w:color w:val="auto"/>
        </w:rPr>
      </w:pPr>
    </w:p>
    <w:p>
      <w:pPr>
        <w:jc w:val="both"/>
        <w:ind w:left="200" w:right="340" w:firstLine="360"/>
        <w:spacing w:after="0" w:line="289" w:lineRule="auto"/>
        <w:rPr>
          <w:sz w:val="20"/>
          <w:szCs w:val="20"/>
          <w:color w:val="auto"/>
        </w:rPr>
      </w:pPr>
      <w:r>
        <w:rPr>
          <w:rFonts w:ascii="Arial" w:cs="Arial" w:eastAsia="Arial" w:hAnsi="Arial"/>
          <w:sz w:val="16"/>
          <w:szCs w:val="16"/>
          <w:b w:val="1"/>
          <w:bCs w:val="1"/>
          <w:color w:val="auto"/>
        </w:rPr>
        <w:t>6.3 Dividends</w:t>
      </w:r>
      <w:r>
        <w:rPr>
          <w:rFonts w:ascii="Arial" w:cs="Arial" w:eastAsia="Arial" w:hAnsi="Arial"/>
          <w:sz w:val="16"/>
          <w:szCs w:val="16"/>
          <w:color w:val="auto"/>
        </w:rPr>
        <w:t>. Except after a Qualified Public Offering,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purchase, redeem or otherwise acquire or make any other distribution with respect to any of Borrower’s capital stock, except</w:t>
      </w:r>
    </w:p>
    <w:p>
      <w:pPr>
        <w:spacing w:after="0" w:line="2" w:lineRule="exact"/>
        <w:rPr>
          <w:sz w:val="20"/>
          <w:szCs w:val="20"/>
          <w:color w:val="auto"/>
        </w:rPr>
      </w:pPr>
    </w:p>
    <w:p>
      <w:pPr>
        <w:ind w:left="440" w:hanging="246"/>
        <w:spacing w:after="0"/>
        <w:tabs>
          <w:tab w:leader="none" w:pos="4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dividends or other distributions solely of capital stock of Borrower,</w:t>
      </w:r>
    </w:p>
    <w:p>
      <w:pPr>
        <w:spacing w:after="0" w:line="20" w:lineRule="exact"/>
        <w:rPr>
          <w:rFonts w:ascii="Arial" w:cs="Arial" w:eastAsia="Arial" w:hAnsi="Arial"/>
          <w:sz w:val="17"/>
          <w:szCs w:val="17"/>
          <w:color w:val="auto"/>
        </w:rPr>
      </w:pPr>
    </w:p>
    <w:p>
      <w:pPr>
        <w:ind w:left="200" w:hanging="6"/>
        <w:spacing w:after="0" w:line="281" w:lineRule="auto"/>
        <w:tabs>
          <w:tab w:leader="none" w:pos="45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so long as no Event of Default has occurred and is continuing, repurchases of stock from employees, managers, consultants or contractors upon termination of employment or services under reverse vesting or similar repurchase plans not to exceed $100,000 in any calendar year,</w:t>
      </w:r>
    </w:p>
    <w:p>
      <w:pPr>
        <w:spacing w:after="0" w:line="2" w:lineRule="exact"/>
        <w:rPr>
          <w:rFonts w:ascii="Arial" w:cs="Arial" w:eastAsia="Arial" w:hAnsi="Arial"/>
          <w:sz w:val="16"/>
          <w:szCs w:val="16"/>
          <w:color w:val="auto"/>
        </w:rPr>
      </w:pPr>
    </w:p>
    <w:p>
      <w:pPr>
        <w:ind w:left="200" w:hanging="6"/>
        <w:spacing w:after="0" w:line="268" w:lineRule="auto"/>
        <w:tabs>
          <w:tab w:leader="none" w:pos="44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conversion of Borrower’s convertible securities into other securities pursuant to the terms of such convertible securities or otherwise in exchange thereof and payments of cash in lieu of the issuance of fractional shares in connection with the conversion or exercise of convertible securities, (d) the purchase, redemption or other acquisition of shares of Borrower’s capital stock with the proceeds received from a substantially concurrent issue of new shares of its capital stock and (e) tax distributions to the holders of Borrower’s membership interests , in an amount not greater than the amounts required to be paid by Borrower pursuant to Section 10.2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284" w:space="140"/>
            <w:col w:w="5600"/>
          </w:cols>
          <w:pgMar w:left="436" w:top="328" w:right="439" w:bottom="1440" w:gutter="0" w:footer="0" w:header="0"/>
        </w:sectPr>
      </w:pPr>
    </w:p>
    <w:bookmarkStart w:id="359" w:name="page360"/>
    <w:bookmarkEnd w:id="359"/>
    <w:p>
      <w:pPr>
        <w:ind w:left="4"/>
        <w:spacing w:after="0" w:line="293" w:lineRule="auto"/>
        <w:rPr>
          <w:sz w:val="20"/>
          <w:szCs w:val="20"/>
          <w:color w:val="auto"/>
        </w:rPr>
      </w:pPr>
      <w:r>
        <w:rPr>
          <w:rFonts w:ascii="Arial" w:cs="Arial" w:eastAsia="Arial" w:hAnsi="Arial"/>
          <w:sz w:val="16"/>
          <w:szCs w:val="16"/>
          <w:color w:val="auto"/>
        </w:rPr>
        <w:t>of the Third Amended and Restated Limited Liability Company Agreement of Borrower, dated as of August 24, 2017, as in effect on the date hereof, and as may be amended, restated, supplemented or otherwise modified from time to time so long as such amendment, restatement, supplement or other modification would not result in an increase to the amount of tax distributions required to be paid thereunder.</w:t>
      </w:r>
    </w:p>
    <w:p>
      <w:pPr>
        <w:spacing w:after="0" w:line="160"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6.4 Fundamental Changes</w:t>
      </w:r>
      <w:r>
        <w:rPr>
          <w:rFonts w:ascii="Arial" w:cs="Arial" w:eastAsia="Arial" w:hAnsi="Arial"/>
          <w:sz w:val="18"/>
          <w:szCs w:val="18"/>
          <w:color w:val="auto"/>
        </w:rPr>
        <w:t>. (a) Liquidate or dissolve;</w:t>
      </w:r>
    </w:p>
    <w:p>
      <w:pPr>
        <w:spacing w:after="0" w:line="27" w:lineRule="exact"/>
        <w:rPr>
          <w:sz w:val="20"/>
          <w:szCs w:val="20"/>
          <w:color w:val="auto"/>
        </w:rPr>
      </w:pPr>
    </w:p>
    <w:p>
      <w:pPr>
        <w:ind w:left="4" w:right="20" w:hanging="4"/>
        <w:spacing w:after="0" w:line="281" w:lineRule="auto"/>
        <w:tabs>
          <w:tab w:leader="none" w:pos="259"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consummate, or permit any of Borrower’s Subsidiaries to consummate, any Change of Control; or (c) acquire, or permit any of Borrower’s Subsidiaries to acquire, all or substantially all of the capital stock or property of another Person, unless such acquisition is permitted pursuant to Section 6.14(a). Notwithstanding anything to the contrary in this Section 6.4, Borrower may consummate a transaction that will constitute a Change of Control so long as: (i) the Person that results from such Change of Control (the “</w:t>
      </w:r>
      <w:r>
        <w:rPr>
          <w:rFonts w:ascii="Arial" w:cs="Arial" w:eastAsia="Arial" w:hAnsi="Arial"/>
          <w:sz w:val="16"/>
          <w:szCs w:val="16"/>
          <w:b w:val="1"/>
          <w:bCs w:val="1"/>
          <w:u w:val="single" w:color="auto"/>
          <w:color w:val="auto"/>
        </w:rPr>
        <w:t>Surviving Entity</w:t>
      </w:r>
      <w:r>
        <w:rPr>
          <w:rFonts w:ascii="Arial" w:cs="Arial" w:eastAsia="Arial" w:hAnsi="Arial"/>
          <w:sz w:val="16"/>
          <w:szCs w:val="16"/>
          <w:color w:val="auto"/>
        </w:rPr>
        <w:t>”) shall have executed and delivered to Lender an agreement in form and substance reasonably satisfactory to Lender, containing an assumption by the Surviving Entity of the due and punctual payment and performance of all Obligations and performance and observance of each covenant and condition of Borrower in the Loan Documents; (ii) all such obligations of the Surviving Entity to Lender shall be guaranteed by any Person that directly or indirectly owns or controls 50% or more of the voting stock of the Surviving Entity; (iii) immediately after giving effect to such Change of Control, no Event of Default or, event which with the lapse of time or giving of notice or both, would result in an Event of Default shall have occurred and be continuing; (iv) the credit risk to Lender, in its sole discretion, with respect to the Obligations and the Collateral shall not be increased; and (v) Borrower shall have provided to Lender notice of any Change in Control transaction no later than ten (10) days after entering into such transaction. In determining whether the proposed Change of Control would result in an increased credit risk, Lender may consider, among other things, changes in Borrower’s management team, employee base, access to equity markets, venture capital support, financial position and/or disposition of intellectual property rights which may reasonably be anticipated as a result of the Change of Control. In addition, (i) a Subsidiary may merge or consolidate into another Subsidiary and</w:t>
      </w:r>
    </w:p>
    <w:p>
      <w:pPr>
        <w:spacing w:after="0" w:line="16" w:lineRule="exact"/>
        <w:rPr>
          <w:rFonts w:ascii="Arial" w:cs="Arial" w:eastAsia="Arial" w:hAnsi="Arial"/>
          <w:sz w:val="16"/>
          <w:szCs w:val="16"/>
          <w:color w:val="auto"/>
        </w:rPr>
      </w:pPr>
    </w:p>
    <w:p>
      <w:pPr>
        <w:ind w:left="4" w:right="500" w:hanging="4"/>
        <w:spacing w:after="0" w:line="255" w:lineRule="auto"/>
        <w:tabs>
          <w:tab w:leader="none" w:pos="269"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Borrower may consolidate or merge with any of Borrower’s Subsidiaries provided that Borrower is the continuing or surviving Person.</w:t>
      </w:r>
    </w:p>
    <w:p>
      <w:pPr>
        <w:spacing w:after="0" w:line="186" w:lineRule="exact"/>
        <w:rPr>
          <w:sz w:val="20"/>
          <w:szCs w:val="20"/>
          <w:color w:val="auto"/>
        </w:rPr>
      </w:pPr>
    </w:p>
    <w:p>
      <w:pPr>
        <w:ind w:left="4" w:right="560" w:firstLine="360"/>
        <w:spacing w:after="0" w:line="266" w:lineRule="auto"/>
        <w:rPr>
          <w:sz w:val="20"/>
          <w:szCs w:val="20"/>
          <w:color w:val="auto"/>
        </w:rPr>
      </w:pPr>
      <w:r>
        <w:rPr>
          <w:rFonts w:ascii="Arial" w:cs="Arial" w:eastAsia="Arial" w:hAnsi="Arial"/>
          <w:sz w:val="18"/>
          <w:szCs w:val="18"/>
          <w:b w:val="1"/>
          <w:bCs w:val="1"/>
          <w:color w:val="auto"/>
        </w:rPr>
        <w:t>6.5 Sales of Assets</w:t>
      </w:r>
      <w:r>
        <w:rPr>
          <w:rFonts w:ascii="Arial" w:cs="Arial" w:eastAsia="Arial" w:hAnsi="Arial"/>
          <w:sz w:val="18"/>
          <w:szCs w:val="18"/>
          <w:color w:val="auto"/>
        </w:rPr>
        <w:t>. Sell, transfer, lease, license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dispose of (a “</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 any of Borrower’s assets except (i) non-exclusive licenses of Intellectual</w:t>
      </w:r>
    </w:p>
    <w:p>
      <w:pPr>
        <w:spacing w:after="0" w:line="20" w:lineRule="exact"/>
        <w:rPr>
          <w:sz w:val="20"/>
          <w:szCs w:val="20"/>
          <w:color w:val="auto"/>
        </w:rPr>
      </w:pPr>
      <w:r>
        <w:rPr>
          <w:sz w:val="20"/>
          <w:szCs w:val="20"/>
          <w:color w:val="auto"/>
        </w:rPr>
        <w:br w:type="column"/>
      </w:r>
    </w:p>
    <w:p>
      <w:pPr>
        <w:ind w:left="200"/>
        <w:spacing w:after="0" w:line="286" w:lineRule="auto"/>
        <w:rPr>
          <w:sz w:val="20"/>
          <w:szCs w:val="20"/>
          <w:color w:val="auto"/>
        </w:rPr>
      </w:pPr>
      <w:r>
        <w:rPr>
          <w:rFonts w:ascii="Arial" w:cs="Arial" w:eastAsia="Arial" w:hAnsi="Arial"/>
          <w:sz w:val="16"/>
          <w:szCs w:val="16"/>
          <w:color w:val="auto"/>
        </w:rPr>
        <w:t>Property in the ordinary course of business consistent with industry practice and licenses that may be exclusive in certain respects, such as field of use or specific molecules, and as to territory but only as to discreet geographical areas outside of the United States of America; provided that, in each case, such licenses of Intellectual Property neither result in a legal transfer of title of the licensed Intellectual Property nor have the same effect as a sale of such Intellectual Property; (ii) Transfers of worn-out, obsolete or surplus property (each as determined by Borrower in its reasonable judgment); (iii) Transfers of Inventory in the ordinary course of business; (iv) Transfers constituting Permitted Liens; (v) Transfers permitted in Section 6.3, 6.4, 6.6 or 6.7 hereunder; (vi) Transfers of assets (other than Intellectual Property) for fair consideration and in the ordinary course of its business and (vii) other Transfers in an aggregate amount not to exceed $150,000 in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-2068195</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7" w:lineRule="exact"/>
        <w:rPr>
          <w:sz w:val="20"/>
          <w:szCs w:val="20"/>
          <w:color w:val="auto"/>
        </w:rPr>
      </w:pPr>
    </w:p>
    <w:p>
      <w:pPr>
        <w:ind w:left="200" w:right="60" w:firstLine="360"/>
        <w:spacing w:after="0" w:line="282" w:lineRule="auto"/>
        <w:rPr>
          <w:sz w:val="20"/>
          <w:szCs w:val="20"/>
          <w:color w:val="auto"/>
        </w:rPr>
      </w:pPr>
      <w:r>
        <w:rPr>
          <w:rFonts w:ascii="Arial" w:cs="Arial" w:eastAsia="Arial" w:hAnsi="Arial"/>
          <w:sz w:val="18"/>
          <w:szCs w:val="18"/>
          <w:b w:val="1"/>
          <w:bCs w:val="1"/>
          <w:color w:val="auto"/>
        </w:rPr>
        <w:t>6.6 Loans/Investments</w:t>
      </w:r>
      <w:r>
        <w:rPr>
          <w:rFonts w:ascii="Arial" w:cs="Arial" w:eastAsia="Arial" w:hAnsi="Arial"/>
          <w:sz w:val="18"/>
          <w:szCs w:val="18"/>
          <w:color w:val="auto"/>
        </w:rPr>
        <w:t>. Make or suffer to exist any loans, advances,</w:t>
      </w:r>
      <w:r>
        <w:rPr>
          <w:rFonts w:ascii="Arial" w:cs="Arial" w:eastAsia="Arial" w:hAnsi="Arial"/>
          <w:sz w:val="18"/>
          <w:szCs w:val="18"/>
          <w:b w:val="1"/>
          <w:bCs w:val="1"/>
          <w:color w:val="auto"/>
        </w:rPr>
        <w:t xml:space="preserve"> </w:t>
      </w:r>
      <w:r>
        <w:rPr>
          <w:rFonts w:ascii="Arial" w:cs="Arial" w:eastAsia="Arial" w:hAnsi="Arial"/>
          <w:sz w:val="18"/>
          <w:szCs w:val="18"/>
          <w:color w:val="auto"/>
        </w:rPr>
        <w:t>or investments (“</w:t>
      </w:r>
      <w:r>
        <w:rPr>
          <w:rFonts w:ascii="Arial" w:cs="Arial" w:eastAsia="Arial" w:hAnsi="Arial"/>
          <w:sz w:val="18"/>
          <w:szCs w:val="18"/>
          <w:b w:val="1"/>
          <w:bCs w:val="1"/>
          <w:u w:val="single" w:color="auto"/>
          <w:color w:val="auto"/>
        </w:rPr>
        <w:t>Investments</w:t>
      </w:r>
      <w:r>
        <w:rPr>
          <w:rFonts w:ascii="Arial" w:cs="Arial" w:eastAsia="Arial" w:hAnsi="Arial"/>
          <w:sz w:val="18"/>
          <w:szCs w:val="18"/>
          <w:color w:val="auto"/>
        </w:rPr>
        <w:t>”), except:</w:t>
      </w:r>
    </w:p>
    <w:p>
      <w:pPr>
        <w:spacing w:after="0" w:line="58" w:lineRule="exact"/>
        <w:rPr>
          <w:sz w:val="20"/>
          <w:szCs w:val="20"/>
          <w:color w:val="auto"/>
        </w:rPr>
      </w:pPr>
    </w:p>
    <w:p>
      <w:pPr>
        <w:ind w:left="200" w:right="680" w:firstLine="354"/>
        <w:spacing w:after="0" w:line="277" w:lineRule="auto"/>
        <w:tabs>
          <w:tab w:leader="none" w:pos="815"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accounts receivable in the ordinary course of Borrower’s business;</w:t>
      </w:r>
    </w:p>
    <w:p>
      <w:pPr>
        <w:spacing w:after="0" w:line="170" w:lineRule="exact"/>
        <w:rPr>
          <w:rFonts w:ascii="Arial" w:cs="Arial" w:eastAsia="Arial" w:hAnsi="Arial"/>
          <w:sz w:val="18"/>
          <w:szCs w:val="18"/>
          <w:b w:val="1"/>
          <w:bCs w:val="1"/>
          <w:color w:val="auto"/>
        </w:rPr>
      </w:pPr>
    </w:p>
    <w:p>
      <w:pPr>
        <w:ind w:left="200" w:right="20" w:firstLine="354"/>
        <w:spacing w:after="0" w:line="296" w:lineRule="auto"/>
        <w:tabs>
          <w:tab w:leader="none" w:pos="825" w:val="left"/>
        </w:tabs>
        <w:numPr>
          <w:ilvl w:val="0"/>
          <w:numId w:val="251"/>
        </w:numPr>
        <w:rPr>
          <w:rFonts w:ascii="Arial" w:cs="Arial" w:eastAsia="Arial" w:hAnsi="Arial"/>
          <w:sz w:val="16"/>
          <w:szCs w:val="16"/>
          <w:b w:val="1"/>
          <w:bCs w:val="1"/>
          <w:color w:val="auto"/>
        </w:rPr>
      </w:pPr>
      <w:r>
        <w:rPr>
          <w:rFonts w:ascii="Arial" w:cs="Arial" w:eastAsia="Arial" w:hAnsi="Arial"/>
          <w:sz w:val="16"/>
          <w:szCs w:val="16"/>
          <w:color w:val="auto"/>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spacing w:after="0" w:line="161" w:lineRule="exact"/>
        <w:rPr>
          <w:rFonts w:ascii="Arial" w:cs="Arial" w:eastAsia="Arial" w:hAnsi="Arial"/>
          <w:sz w:val="16"/>
          <w:szCs w:val="16"/>
          <w:b w:val="1"/>
          <w:bCs w:val="1"/>
          <w:color w:val="auto"/>
        </w:rPr>
      </w:pPr>
    </w:p>
    <w:p>
      <w:pPr>
        <w:ind w:left="200" w:right="280" w:firstLine="354"/>
        <w:spacing w:after="0" w:line="259" w:lineRule="auto"/>
        <w:tabs>
          <w:tab w:leader="none" w:pos="804"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Investments in marketable obligations of the United States of America and in open market commercial paper given the highest credit rating by a national credit agency and maturing not more than one year from the creation thereof;</w:t>
      </w:r>
    </w:p>
    <w:p>
      <w:pPr>
        <w:spacing w:after="0" w:line="186" w:lineRule="exact"/>
        <w:rPr>
          <w:rFonts w:ascii="Arial" w:cs="Arial" w:eastAsia="Arial" w:hAnsi="Arial"/>
          <w:sz w:val="18"/>
          <w:szCs w:val="18"/>
          <w:b w:val="1"/>
          <w:bCs w:val="1"/>
          <w:color w:val="auto"/>
        </w:rPr>
      </w:pPr>
    </w:p>
    <w:p>
      <w:pPr>
        <w:ind w:left="200" w:right="20" w:firstLine="354"/>
        <w:spacing w:after="0" w:line="277" w:lineRule="auto"/>
        <w:tabs>
          <w:tab w:leader="none" w:pos="825"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temporary advances to cover incidental expenses to be incurred in the ordinary course of business;</w:t>
      </w:r>
    </w:p>
    <w:p>
      <w:pPr>
        <w:spacing w:after="0" w:line="170" w:lineRule="exact"/>
        <w:rPr>
          <w:rFonts w:ascii="Arial" w:cs="Arial" w:eastAsia="Arial" w:hAnsi="Arial"/>
          <w:sz w:val="18"/>
          <w:szCs w:val="18"/>
          <w:b w:val="1"/>
          <w:bCs w:val="1"/>
          <w:color w:val="auto"/>
        </w:rPr>
      </w:pPr>
    </w:p>
    <w:p>
      <w:pPr>
        <w:ind w:left="200" w:right="20" w:firstLine="354"/>
        <w:spacing w:after="0" w:line="293" w:lineRule="auto"/>
        <w:tabs>
          <w:tab w:leader="none" w:pos="804" w:val="left"/>
        </w:tabs>
        <w:numPr>
          <w:ilvl w:val="0"/>
          <w:numId w:val="251"/>
        </w:numPr>
        <w:rPr>
          <w:rFonts w:ascii="Arial" w:cs="Arial" w:eastAsia="Arial" w:hAnsi="Arial"/>
          <w:sz w:val="16"/>
          <w:szCs w:val="16"/>
          <w:b w:val="1"/>
          <w:bCs w:val="1"/>
          <w:color w:val="auto"/>
        </w:rPr>
      </w:pPr>
      <w:r>
        <w:rPr>
          <w:rFonts w:ascii="Arial" w:cs="Arial" w:eastAsia="Arial" w:hAnsi="Arial"/>
          <w:sz w:val="16"/>
          <w:szCs w:val="16"/>
          <w:color w:val="auto"/>
        </w:rPr>
        <w:t>Investments in joint ventures, strategic alliances, licensing and similar arrangements customary in Borrower’s industry and which do not require Borrower to assume or otherwise become liable for the obligations of any third party not directly related to or arising out of such arrangement or, without the prior written consent of Lender, require Borrower to transfer ownership of non-cash assets to such joint venture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284" w:space="140"/>
            <w:col w:w="5580"/>
          </w:cols>
          <w:pgMar w:left="436" w:top="328" w:right="459" w:bottom="1440" w:gutter="0" w:footer="0" w:header="0"/>
        </w:sectPr>
      </w:pPr>
    </w:p>
    <w:bookmarkStart w:id="360" w:name="page361"/>
    <w:bookmarkEnd w:id="360"/>
    <w:p>
      <w:pPr>
        <w:spacing w:after="0" w:line="4" w:lineRule="exact"/>
        <w:rPr>
          <w:sz w:val="20"/>
          <w:szCs w:val="20"/>
          <w:color w:val="auto"/>
        </w:rPr>
      </w:pPr>
    </w:p>
    <w:p>
      <w:pPr>
        <w:ind w:left="580" w:hanging="224"/>
        <w:spacing w:after="0"/>
        <w:tabs>
          <w:tab w:leader="none" w:pos="58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in (i) one or more wholly-owned domestic</w:t>
      </w:r>
    </w:p>
    <w:p>
      <w:pPr>
        <w:spacing w:after="0" w:line="23" w:lineRule="exact"/>
        <w:rPr>
          <w:rFonts w:ascii="Arial" w:cs="Arial" w:eastAsia="Arial" w:hAnsi="Arial"/>
          <w:sz w:val="18"/>
          <w:szCs w:val="18"/>
          <w:b w:val="1"/>
          <w:bCs w:val="1"/>
          <w:color w:val="auto"/>
        </w:rPr>
      </w:pPr>
    </w:p>
    <w:p>
      <w:pPr>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Subsidiaries of Borrower, so long as in accordance with Section 6.14(a) of this Agreement, each such Person has been made a co-borrower hereunder or has executed and delivered to Lender an agreement, in form and substance reasonably satisfactory to Lender, containing a guaranty of the Obligations, and (ii) one or more wholly-owned foreign Subsidiaries of Borrower with the prior written consent of Lender;</w:t>
      </w:r>
    </w:p>
    <w:p>
      <w:pPr>
        <w:spacing w:after="0" w:line="163" w:lineRule="exact"/>
        <w:rPr>
          <w:rFonts w:ascii="Arial" w:cs="Arial" w:eastAsia="Arial" w:hAnsi="Arial"/>
          <w:sz w:val="18"/>
          <w:szCs w:val="18"/>
          <w:b w:val="1"/>
          <w:bCs w:val="1"/>
          <w:color w:val="auto"/>
        </w:rPr>
      </w:pPr>
    </w:p>
    <w:p>
      <w:pPr>
        <w:ind w:right="280" w:firstLine="356"/>
        <w:spacing w:after="0" w:line="277" w:lineRule="auto"/>
        <w:tabs>
          <w:tab w:leader="none" w:pos="61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approved by Lender prior to the Closing Date as shown on Schedule 6.6;</w:t>
      </w:r>
    </w:p>
    <w:p>
      <w:pPr>
        <w:spacing w:after="0" w:line="170" w:lineRule="exact"/>
        <w:rPr>
          <w:rFonts w:ascii="Arial" w:cs="Arial" w:eastAsia="Arial" w:hAnsi="Arial"/>
          <w:sz w:val="18"/>
          <w:szCs w:val="18"/>
          <w:b w:val="1"/>
          <w:bCs w:val="1"/>
          <w:color w:val="auto"/>
        </w:rPr>
      </w:pPr>
    </w:p>
    <w:p>
      <w:pPr>
        <w:jc w:val="both"/>
        <w:ind w:right="100" w:firstLine="356"/>
        <w:spacing w:after="0" w:line="263" w:lineRule="auto"/>
        <w:tabs>
          <w:tab w:leader="none" w:pos="62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accepted in connection with transactions permitted under Section 6.4 or investments accepted in connection with Transfers permitted by Section 6.5;</w:t>
      </w:r>
    </w:p>
    <w:p>
      <w:pPr>
        <w:spacing w:after="0" w:line="183" w:lineRule="exact"/>
        <w:rPr>
          <w:rFonts w:ascii="Arial" w:cs="Arial" w:eastAsia="Arial" w:hAnsi="Arial"/>
          <w:sz w:val="18"/>
          <w:szCs w:val="18"/>
          <w:b w:val="1"/>
          <w:bCs w:val="1"/>
          <w:color w:val="auto"/>
        </w:rPr>
      </w:pPr>
    </w:p>
    <w:p>
      <w:pPr>
        <w:ind w:right="60" w:firstLine="356"/>
        <w:spacing w:after="0" w:line="342" w:lineRule="auto"/>
        <w:tabs>
          <w:tab w:leader="none" w:pos="575" w:val="left"/>
        </w:tabs>
        <w:numPr>
          <w:ilvl w:val="0"/>
          <w:numId w:val="252"/>
        </w:numPr>
        <w:rPr>
          <w:rFonts w:ascii="Arial" w:cs="Arial" w:eastAsia="Arial" w:hAnsi="Arial"/>
          <w:sz w:val="16"/>
          <w:szCs w:val="16"/>
          <w:b w:val="1"/>
          <w:bCs w:val="1"/>
          <w:color w:val="auto"/>
        </w:rPr>
      </w:pPr>
      <w:r>
        <w:rPr>
          <w:rFonts w:ascii="Arial" w:cs="Arial" w:eastAsia="Arial" w:hAnsi="Arial"/>
          <w:sz w:val="16"/>
          <w:szCs w:val="16"/>
          <w:color w:val="auto"/>
        </w:rPr>
        <w:t>Investments consisting of deposit accounts; provided Lender has a perfected security interest therein to the extent required by 6.11;</w:t>
      </w:r>
    </w:p>
    <w:p>
      <w:pPr>
        <w:spacing w:after="0" w:line="123" w:lineRule="exact"/>
        <w:rPr>
          <w:rFonts w:ascii="Arial" w:cs="Arial" w:eastAsia="Arial" w:hAnsi="Arial"/>
          <w:sz w:val="16"/>
          <w:szCs w:val="16"/>
          <w:b w:val="1"/>
          <w:bCs w:val="1"/>
          <w:color w:val="auto"/>
        </w:rPr>
      </w:pPr>
    </w:p>
    <w:p>
      <w:pPr>
        <w:jc w:val="both"/>
        <w:ind w:right="580" w:firstLine="356"/>
        <w:spacing w:after="0" w:line="263" w:lineRule="auto"/>
        <w:tabs>
          <w:tab w:leader="none" w:pos="58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business;</w:t>
      </w:r>
    </w:p>
    <w:p>
      <w:pPr>
        <w:spacing w:after="0" w:line="183" w:lineRule="exact"/>
        <w:rPr>
          <w:rFonts w:ascii="Arial" w:cs="Arial" w:eastAsia="Arial" w:hAnsi="Arial"/>
          <w:sz w:val="18"/>
          <w:szCs w:val="18"/>
          <w:b w:val="1"/>
          <w:bCs w:val="1"/>
          <w:color w:val="auto"/>
        </w:rPr>
      </w:pPr>
    </w:p>
    <w:p>
      <w:pPr>
        <w:ind w:right="160" w:firstLine="356"/>
        <w:spacing w:after="0" w:line="275" w:lineRule="auto"/>
        <w:tabs>
          <w:tab w:leader="none" w:pos="625" w:val="left"/>
        </w:tabs>
        <w:numPr>
          <w:ilvl w:val="0"/>
          <w:numId w:val="252"/>
        </w:numPr>
        <w:rPr>
          <w:rFonts w:ascii="Arial" w:cs="Arial" w:eastAsia="Arial" w:hAnsi="Arial"/>
          <w:sz w:val="17"/>
          <w:szCs w:val="17"/>
          <w:b w:val="1"/>
          <w:bCs w:val="1"/>
          <w:color w:val="auto"/>
        </w:rPr>
      </w:pPr>
      <w:r>
        <w:rPr>
          <w:rFonts w:ascii="Arial" w:cs="Arial" w:eastAsia="Arial" w:hAnsi="Arial"/>
          <w:sz w:val="17"/>
          <w:szCs w:val="17"/>
          <w:color w:val="auto"/>
        </w:rPr>
        <w:t>non-cash loans approved by Borrower’s Board of Managers to employees, officers or managers relating to the purchase of equity securities of Borrower pursuant to employee stock purchase plans or agreements approved by Borrower’s Board of Managers, limited to an aggregate total of $250,000 at any time outstanding;</w:t>
      </w:r>
    </w:p>
    <w:p>
      <w:pPr>
        <w:spacing w:after="0" w:line="176" w:lineRule="exact"/>
        <w:rPr>
          <w:rFonts w:ascii="Arial" w:cs="Arial" w:eastAsia="Arial" w:hAnsi="Arial"/>
          <w:sz w:val="17"/>
          <w:szCs w:val="17"/>
          <w:b w:val="1"/>
          <w:bCs w:val="1"/>
          <w:color w:val="auto"/>
        </w:rPr>
      </w:pPr>
    </w:p>
    <w:p>
      <w:pPr>
        <w:ind w:right="120" w:firstLine="356"/>
        <w:spacing w:after="0" w:line="257" w:lineRule="auto"/>
        <w:tabs>
          <w:tab w:leader="none" w:pos="57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87" w:lineRule="exact"/>
        <w:rPr>
          <w:rFonts w:ascii="Arial" w:cs="Arial" w:eastAsia="Arial" w:hAnsi="Arial"/>
          <w:sz w:val="18"/>
          <w:szCs w:val="18"/>
          <w:b w:val="1"/>
          <w:bCs w:val="1"/>
          <w:color w:val="auto"/>
        </w:rPr>
      </w:pPr>
    </w:p>
    <w:p>
      <w:pPr>
        <w:ind w:left="680" w:hanging="324"/>
        <w:spacing w:after="0"/>
        <w:tabs>
          <w:tab w:leader="none" w:pos="68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permitted under Section 6.11;</w:t>
      </w:r>
    </w:p>
    <w:p>
      <w:pPr>
        <w:spacing w:after="0" w:line="225" w:lineRule="exact"/>
        <w:rPr>
          <w:rFonts w:ascii="Arial" w:cs="Arial" w:eastAsia="Arial" w:hAnsi="Arial"/>
          <w:sz w:val="18"/>
          <w:szCs w:val="18"/>
          <w:b w:val="1"/>
          <w:bCs w:val="1"/>
          <w:color w:val="auto"/>
        </w:rPr>
      </w:pPr>
    </w:p>
    <w:p>
      <w:pPr>
        <w:ind w:right="240" w:firstLine="356"/>
        <w:spacing w:after="0" w:line="263" w:lineRule="auto"/>
        <w:tabs>
          <w:tab w:leader="none" w:pos="62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consisting of notes receivable of, or prepaid royalties and other credit extensions to, customers and suppliers in the ordinary course of business;</w:t>
      </w:r>
    </w:p>
    <w:p>
      <w:pPr>
        <w:spacing w:after="0" w:line="183" w:lineRule="exact"/>
        <w:rPr>
          <w:rFonts w:ascii="Arial" w:cs="Arial" w:eastAsia="Arial" w:hAnsi="Arial"/>
          <w:sz w:val="18"/>
          <w:szCs w:val="18"/>
          <w:b w:val="1"/>
          <w:bCs w:val="1"/>
          <w:color w:val="auto"/>
        </w:rPr>
      </w:pPr>
    </w:p>
    <w:p>
      <w:pPr>
        <w:ind w:right="440" w:firstLine="356"/>
        <w:spacing w:after="0" w:line="277" w:lineRule="auto"/>
        <w:tabs>
          <w:tab w:leader="none" w:pos="61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Investments by wholly owned Subsidiaries in other wholly owned Subsidiaries or in Borrower; and</w:t>
      </w:r>
    </w:p>
    <w:p>
      <w:pPr>
        <w:spacing w:after="0" w:line="170" w:lineRule="exact"/>
        <w:rPr>
          <w:rFonts w:ascii="Arial" w:cs="Arial" w:eastAsia="Arial" w:hAnsi="Arial"/>
          <w:sz w:val="18"/>
          <w:szCs w:val="18"/>
          <w:b w:val="1"/>
          <w:bCs w:val="1"/>
          <w:color w:val="auto"/>
        </w:rPr>
      </w:pPr>
    </w:p>
    <w:p>
      <w:pPr>
        <w:ind w:right="200" w:firstLine="356"/>
        <w:spacing w:after="0" w:line="277" w:lineRule="auto"/>
        <w:tabs>
          <w:tab w:leader="none" w:pos="625"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Other investments not otherwise permitted by this Section 6.6 not exceeding $250,000 in any fiscal year.</w:t>
      </w:r>
    </w:p>
    <w:p>
      <w:pPr>
        <w:spacing w:after="0" w:line="20" w:lineRule="exact"/>
        <w:rPr>
          <w:sz w:val="20"/>
          <w:szCs w:val="20"/>
          <w:color w:val="auto"/>
        </w:rPr>
      </w:pPr>
      <w:r>
        <w:rPr>
          <w:sz w:val="20"/>
          <w:szCs w:val="20"/>
          <w:color w:val="auto"/>
        </w:rPr>
        <w:br w:type="column"/>
      </w:r>
    </w:p>
    <w:p>
      <w:pPr>
        <w:ind w:left="200" w:right="20" w:firstLine="360"/>
        <w:spacing w:after="0" w:line="293" w:lineRule="auto"/>
        <w:rPr>
          <w:sz w:val="20"/>
          <w:szCs w:val="20"/>
          <w:color w:val="auto"/>
        </w:rPr>
      </w:pPr>
      <w:r>
        <w:rPr>
          <w:rFonts w:ascii="Arial" w:cs="Arial" w:eastAsia="Arial" w:hAnsi="Arial"/>
          <w:sz w:val="16"/>
          <w:szCs w:val="16"/>
          <w:b w:val="1"/>
          <w:bCs w:val="1"/>
          <w:color w:val="auto"/>
        </w:rPr>
        <w:t>6.7 Transactions with Related Persons</w:t>
      </w:r>
      <w:r>
        <w:rPr>
          <w:rFonts w:ascii="Arial" w:cs="Arial" w:eastAsia="Arial" w:hAnsi="Arial"/>
          <w:sz w:val="16"/>
          <w:szCs w:val="16"/>
          <w:color w:val="auto"/>
        </w:rPr>
        <w:t>. Directly or indirectly enter</w:t>
      </w:r>
      <w:r>
        <w:rPr>
          <w:rFonts w:ascii="Arial" w:cs="Arial" w:eastAsia="Arial" w:hAnsi="Arial"/>
          <w:sz w:val="16"/>
          <w:szCs w:val="16"/>
          <w:b w:val="1"/>
          <w:bCs w:val="1"/>
          <w:color w:val="auto"/>
        </w:rPr>
        <w:t xml:space="preserve"> </w:t>
      </w:r>
      <w:r>
        <w:rPr>
          <w:rFonts w:ascii="Arial" w:cs="Arial" w:eastAsia="Arial" w:hAnsi="Arial"/>
          <w:sz w:val="16"/>
          <w:szCs w:val="16"/>
          <w:color w:val="auto"/>
        </w:rPr>
        <w:t>into any transaction with or for the benefit of a Related Person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-401320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00" w:right="40" w:hanging="6"/>
        <w:spacing w:after="0" w:line="281" w:lineRule="auto"/>
        <w:tabs>
          <w:tab w:leader="none" w:pos="41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transactions on terms not more favorable to the Related Person than would have been obtainable in an “arms’ length” dealing, (ii) sales of equity securities by Borrower and incurrence of Subordinated Debt for capital raising purposes, (iii) transactions that have otherwise been disclosed in writing to, and reviewed and approved by, Lender (including on Schedule 6.7 hereto), (iv) employment and consulting arrangements, including stock options, employee compensation, and severance arrangements in the ordinary course of business, (v) customary reimbursement and indemnity arrangements in the ordinary course of business, and (vi) Investments permitted under clauses (d), (f), (k) or</w:t>
      </w:r>
    </w:p>
    <w:p>
      <w:pPr>
        <w:spacing w:after="0" w:line="5" w:lineRule="exact"/>
        <w:rPr>
          <w:rFonts w:ascii="Arial" w:cs="Arial" w:eastAsia="Arial" w:hAnsi="Arial"/>
          <w:sz w:val="16"/>
          <w:szCs w:val="16"/>
          <w:color w:val="auto"/>
        </w:rPr>
      </w:pPr>
    </w:p>
    <w:p>
      <w:pPr>
        <w:ind w:left="440" w:hanging="246"/>
        <w:spacing w:after="0"/>
        <w:tabs>
          <w:tab w:leader="none" w:pos="4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of Section 6.6.</w:t>
      </w:r>
    </w:p>
    <w:p>
      <w:pPr>
        <w:spacing w:after="0" w:line="207" w:lineRule="exact"/>
        <w:rPr>
          <w:sz w:val="20"/>
          <w:szCs w:val="20"/>
          <w:color w:val="auto"/>
        </w:rPr>
      </w:pPr>
    </w:p>
    <w:p>
      <w:pPr>
        <w:ind w:left="200" w:right="180" w:firstLine="360"/>
        <w:spacing w:after="0" w:line="314" w:lineRule="auto"/>
        <w:rPr>
          <w:sz w:val="20"/>
          <w:szCs w:val="20"/>
          <w:color w:val="auto"/>
        </w:rPr>
      </w:pPr>
      <w:r>
        <w:rPr>
          <w:rFonts w:ascii="Arial" w:cs="Arial" w:eastAsia="Arial" w:hAnsi="Arial"/>
          <w:sz w:val="16"/>
          <w:szCs w:val="16"/>
          <w:b w:val="1"/>
          <w:bCs w:val="1"/>
          <w:color w:val="auto"/>
        </w:rPr>
        <w:t>6.8 Other Business</w:t>
      </w:r>
      <w:r>
        <w:rPr>
          <w:rFonts w:ascii="Arial" w:cs="Arial" w:eastAsia="Arial" w:hAnsi="Arial"/>
          <w:sz w:val="16"/>
          <w:szCs w:val="16"/>
          <w:color w:val="auto"/>
        </w:rPr>
        <w:t>. Engage in any material line of business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the business Borrower conducts as of the Closing Date and any business substantially similar or related or incidental thereto.</w:t>
      </w:r>
    </w:p>
    <w:p>
      <w:pPr>
        <w:spacing w:after="0" w:line="142" w:lineRule="exact"/>
        <w:rPr>
          <w:sz w:val="20"/>
          <w:szCs w:val="20"/>
          <w:color w:val="auto"/>
        </w:rPr>
      </w:pPr>
    </w:p>
    <w:p>
      <w:pPr>
        <w:ind w:left="200" w:right="40" w:firstLine="360"/>
        <w:spacing w:after="0" w:line="288" w:lineRule="auto"/>
        <w:rPr>
          <w:sz w:val="20"/>
          <w:szCs w:val="20"/>
          <w:color w:val="auto"/>
        </w:rPr>
      </w:pPr>
      <w:r>
        <w:rPr>
          <w:rFonts w:ascii="Arial" w:cs="Arial" w:eastAsia="Arial" w:hAnsi="Arial"/>
          <w:sz w:val="16"/>
          <w:szCs w:val="16"/>
          <w:b w:val="1"/>
          <w:bCs w:val="1"/>
          <w:color w:val="auto"/>
        </w:rPr>
        <w:t>6.9 Financing Statements and Other Actions</w:t>
      </w:r>
      <w:r>
        <w:rPr>
          <w:rFonts w:ascii="Arial" w:cs="Arial" w:eastAsia="Arial" w:hAnsi="Arial"/>
          <w:sz w:val="16"/>
          <w:szCs w:val="16"/>
          <w:color w:val="auto"/>
        </w:rPr>
        <w:t>. Fail to execute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deliver to Lender all financing statements, notices and other documents (including, without limitation, any filings with the United States Patent and Trademark Office and the United States Copyright Office) from time to time reasonably requested by Lender to maintain a perfected first priority security interest in the Collateral in favor of Lender, subject to Permitted Liens; perform such other acts, and execute and deliver to Lender such additional conveyances, assignments, agreements and instruments, as Lender may at any time reasonably request in connection with the administration and enforcement of this Agreement or Lender’s rights, powers and remedies hereunder.</w:t>
      </w:r>
    </w:p>
    <w:p>
      <w:pPr>
        <w:spacing w:after="0" w:line="163" w:lineRule="exact"/>
        <w:rPr>
          <w:sz w:val="20"/>
          <w:szCs w:val="20"/>
          <w:color w:val="auto"/>
        </w:rPr>
      </w:pPr>
    </w:p>
    <w:p>
      <w:pPr>
        <w:ind w:left="200" w:firstLine="360"/>
        <w:spacing w:after="0" w:line="287" w:lineRule="auto"/>
        <w:rPr>
          <w:sz w:val="20"/>
          <w:szCs w:val="20"/>
          <w:color w:val="auto"/>
        </w:rPr>
      </w:pPr>
      <w:r>
        <w:rPr>
          <w:rFonts w:ascii="Arial" w:cs="Arial" w:eastAsia="Arial" w:hAnsi="Arial"/>
          <w:sz w:val="16"/>
          <w:szCs w:val="16"/>
          <w:b w:val="1"/>
          <w:bCs w:val="1"/>
          <w:color w:val="auto"/>
        </w:rPr>
        <w:t>6.10 Compliance</w:t>
      </w:r>
      <w:r>
        <w:rPr>
          <w:rFonts w:ascii="Arial" w:cs="Arial" w:eastAsia="Arial" w:hAnsi="Arial"/>
          <w:sz w:val="16"/>
          <w:szCs w:val="16"/>
          <w:color w:val="auto"/>
        </w:rPr>
        <w:t>. Become required to be registered as an</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or controlled by an “investment company,” within the meaning of the Investment Company Act of 1940, or become principally engaged in, or undertake as one of its important activities, the business of extending credit for the purpose of purchasing or carrying margin stock, or use the proceeds of any Loan for such purpose. Fail to meet the minimum funding requirements of ERISA, permit a Reportable Event or Prohibited Transaction, as defined in ERISA, to occur, fail to comply in all material respects with the Federal Fair Labor Standards Act or violate any law or regulation, which noncompliance or violation could reasonably be expected to have a Material Adverse Effect or a material adverse effect on the Collateral or the priority of Lender’s Lien on the Collateral, or permit any of its subsidiaries to do any of the foregoing.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ectPr>
          <w:pgSz w:w="11900" w:h="16838" w:orient="portrait"/>
          <w:cols w:equalWidth="0" w:num="2">
            <w:col w:w="5280" w:space="140"/>
            <w:col w:w="5500"/>
          </w:cols>
          <w:pgMar w:left="440" w:top="324" w:right="539" w:bottom="1440" w:gutter="0" w:footer="0" w:header="0"/>
        </w:sectPr>
      </w:pPr>
    </w:p>
    <w:bookmarkStart w:id="361" w:name="page362"/>
    <w:bookmarkEnd w:id="361"/>
    <w:p>
      <w:pPr>
        <w:ind w:right="100" w:firstLine="360"/>
        <w:spacing w:after="0" w:line="268" w:lineRule="auto"/>
        <w:rPr>
          <w:sz w:val="20"/>
          <w:szCs w:val="20"/>
          <w:color w:val="auto"/>
        </w:rPr>
      </w:pPr>
      <w:r>
        <w:rPr>
          <w:rFonts w:ascii="Arial" w:cs="Arial" w:eastAsia="Arial" w:hAnsi="Arial"/>
          <w:sz w:val="17"/>
          <w:szCs w:val="17"/>
          <w:b w:val="1"/>
          <w:bCs w:val="1"/>
          <w:color w:val="auto"/>
        </w:rPr>
        <w:t>6.11 Other Deposit and Securities Accounts</w:t>
      </w:r>
      <w:r>
        <w:rPr>
          <w:rFonts w:ascii="Arial" w:cs="Arial" w:eastAsia="Arial" w:hAnsi="Arial"/>
          <w:sz w:val="17"/>
          <w:szCs w:val="17"/>
          <w:color w:val="auto"/>
        </w:rPr>
        <w:t>. Maintain any</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Accounts or accounts holding securities owned by Borrower except (i) Deposit Accounts and investment/securities accounts as set forth in the Supplement, and (ii) other Deposit Accounts and securities/investment accounts, in each case, with respect to which Borrower and Lender shall have taken such action as Lender reasonably deems necessary to obtain a perfected first priority security interest therein, subject to Permitted Liens. The provisions of the previous sentence shall not apply to (i) Deposit Accounts exclusively used for payroll, payroll taxes and other employee wage and benefit payments to or for the benefit of Borrower’s employees and (ii) Deposit Accounts subject to Liens permitted by clause (p) of the definition of Permitted Liens; in each case of (i) and (ii), as identified to Lender as such (collectively, the “</w:t>
      </w:r>
      <w:r>
        <w:rPr>
          <w:rFonts w:ascii="Arial" w:cs="Arial" w:eastAsia="Arial" w:hAnsi="Arial"/>
          <w:sz w:val="17"/>
          <w:szCs w:val="17"/>
          <w:b w:val="1"/>
          <w:bCs w:val="1"/>
          <w:color w:val="auto"/>
        </w:rPr>
        <w:t>Excluded Accounts</w:t>
      </w:r>
      <w:r>
        <w:rPr>
          <w:rFonts w:ascii="Arial" w:cs="Arial" w:eastAsia="Arial" w:hAnsi="Arial"/>
          <w:sz w:val="17"/>
          <w:szCs w:val="17"/>
          <w:color w:val="auto"/>
        </w:rPr>
        <w:t>”).</w:t>
      </w:r>
    </w:p>
    <w:p>
      <w:pPr>
        <w:spacing w:after="0" w:line="184"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b w:val="1"/>
          <w:bCs w:val="1"/>
          <w:color w:val="auto"/>
        </w:rPr>
        <w:t>6.12 Prepayment of Indebtedness</w:t>
      </w:r>
      <w:r>
        <w:rPr>
          <w:rFonts w:ascii="Arial" w:cs="Arial" w:eastAsia="Arial" w:hAnsi="Arial"/>
          <w:sz w:val="16"/>
          <w:szCs w:val="16"/>
          <w:color w:val="auto"/>
        </w:rPr>
        <w:t>. Prepay, redeem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satisfy in any manner prior to the scheduled repayment thereof any Indebtedness (other than the Loans and Indebtedness permitted by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hereof). Notwithstanding the foregoing, Lender agrees that the conversion or exchange into Borrower’s equity securities of any Indebtedness (other than the Loans) and the payment of cash in lieu of the issuance of fractional shares upon such conversion or exchange shall not be prohibited by this Section 6.12.</w:t>
      </w:r>
    </w:p>
    <w:p>
      <w:pPr>
        <w:spacing w:after="0" w:line="159"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b w:val="1"/>
          <w:bCs w:val="1"/>
          <w:color w:val="auto"/>
        </w:rPr>
        <w:t>6.13 Repayment of Subordinated Debt</w:t>
      </w:r>
      <w:r>
        <w:rPr>
          <w:rFonts w:ascii="Arial" w:cs="Arial" w:eastAsia="Arial" w:hAnsi="Arial"/>
          <w:sz w:val="17"/>
          <w:szCs w:val="17"/>
          <w:color w:val="auto"/>
        </w:rPr>
        <w:t>. Repay, prepay, redeem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satisfy in any manner any Subordinated Debt, except in accordance with the terms of any subordination agreement among Borrower, Lender and the holder(s) of such Subordinated Debt. Notwithstanding the foregoing, Lender agrees that the conversion or exchange into Borrower’s equity securities of any Subordinated Debt and the payment of cash in lieu of fractional shares shall not be prohibited by this Section 6.13.</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6.14 Subsidiaries</w:t>
      </w:r>
      <w:r>
        <w:rPr>
          <w:rFonts w:ascii="Arial" w:cs="Arial" w:eastAsia="Arial" w:hAnsi="Arial"/>
          <w:sz w:val="18"/>
          <w:szCs w:val="18"/>
          <w:color w:val="auto"/>
        </w:rPr>
        <w:t>.</w:t>
      </w:r>
    </w:p>
    <w:p>
      <w:pPr>
        <w:spacing w:after="0" w:line="121" w:lineRule="exact"/>
        <w:rPr>
          <w:sz w:val="20"/>
          <w:szCs w:val="20"/>
          <w:color w:val="auto"/>
        </w:rPr>
      </w:pPr>
    </w:p>
    <w:p>
      <w:pPr>
        <w:ind w:firstLine="356"/>
        <w:spacing w:after="0" w:line="271" w:lineRule="auto"/>
        <w:tabs>
          <w:tab w:leader="none" w:pos="615" w:val="left"/>
        </w:tabs>
        <w:numPr>
          <w:ilvl w:val="0"/>
          <w:numId w:val="255"/>
        </w:numPr>
        <w:rPr>
          <w:rFonts w:ascii="Arial" w:cs="Arial" w:eastAsia="Arial" w:hAnsi="Arial"/>
          <w:sz w:val="17"/>
          <w:szCs w:val="17"/>
          <w:b w:val="1"/>
          <w:bCs w:val="1"/>
          <w:color w:val="auto"/>
        </w:rPr>
      </w:pPr>
      <w:r>
        <w:rPr>
          <w:rFonts w:ascii="Arial" w:cs="Arial" w:eastAsia="Arial" w:hAnsi="Arial"/>
          <w:sz w:val="17"/>
          <w:szCs w:val="17"/>
          <w:color w:val="auto"/>
        </w:rPr>
        <w:t>Acquire or create any Subsidiary, unless such Subsidiary becomes, at Lender’s option, either a co-borrower hereunder or executes and delivers to Lender one or more agreements, in form and substance reasonably satisfactory to Lender, containing a guaranty of the Obligations that is secured by first priority Liens on such Person’s assets, subject to Permitted Liens. For clarity, the parties acknowledge and agree that Lender shall have the exclusive right to determine whether any such Person will be made a co-</w:t>
      </w:r>
    </w:p>
    <w:p>
      <w:pPr>
        <w:spacing w:after="0" w:line="20" w:lineRule="exact"/>
        <w:rPr>
          <w:sz w:val="20"/>
          <w:szCs w:val="20"/>
          <w:color w:val="auto"/>
        </w:rPr>
      </w:pPr>
      <w:r>
        <w:rPr>
          <w:sz w:val="20"/>
          <w:szCs w:val="20"/>
          <w:color w:val="auto"/>
        </w:rPr>
        <w:br w:type="column"/>
      </w:r>
    </w:p>
    <w:p>
      <w:pPr>
        <w:ind w:left="200" w:right="180"/>
        <w:spacing w:after="0" w:line="255" w:lineRule="auto"/>
        <w:rPr>
          <w:sz w:val="20"/>
          <w:szCs w:val="20"/>
          <w:color w:val="auto"/>
        </w:rPr>
      </w:pPr>
      <w:r>
        <w:rPr>
          <w:rFonts w:ascii="Arial" w:cs="Arial" w:eastAsia="Arial" w:hAnsi="Arial"/>
          <w:sz w:val="18"/>
          <w:szCs w:val="18"/>
          <w:color w:val="auto"/>
        </w:rPr>
        <w:t>borrower hereunder or a guarantor of the Obligations. Prior to the acquisition or creation of any such Subsidiary, Borrower shall notify Lender thereof in writing, which notice shall contain the jurisdiction of such Person’s formation and include a description of such Person’s fully diluted capitalization and Borrower’s purpose for its acquisition or creation of such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-956945</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72" w:lineRule="exact"/>
        <w:rPr>
          <w:sz w:val="20"/>
          <w:szCs w:val="20"/>
          <w:color w:val="auto"/>
        </w:rPr>
      </w:pPr>
    </w:p>
    <w:p>
      <w:pPr>
        <w:ind w:left="200" w:right="460" w:firstLine="354"/>
        <w:spacing w:after="0" w:line="342" w:lineRule="auto"/>
        <w:tabs>
          <w:tab w:leader="none" w:pos="825"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Sell, transfer, encumber or otherwise dispose of Borrower’s ownership interest in any Subsidiary other than Permitted Liens.</w:t>
      </w:r>
    </w:p>
    <w:p>
      <w:pPr>
        <w:spacing w:after="0" w:line="123" w:lineRule="exact"/>
        <w:rPr>
          <w:rFonts w:ascii="Arial" w:cs="Arial" w:eastAsia="Arial" w:hAnsi="Arial"/>
          <w:sz w:val="16"/>
          <w:szCs w:val="16"/>
          <w:b w:val="1"/>
          <w:bCs w:val="1"/>
          <w:color w:val="auto"/>
        </w:rPr>
      </w:pPr>
    </w:p>
    <w:p>
      <w:pPr>
        <w:ind w:left="200" w:firstLine="354"/>
        <w:spacing w:after="0" w:line="288" w:lineRule="auto"/>
        <w:tabs>
          <w:tab w:leader="none" w:pos="804"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 xml:space="preserve">Cause or permit a Subsidiary to do any of the following: (i) grant Liens on such Subsidiary’s assets, except for Liens that would constitute Permitted Liens if incurred by Borrower and Liens on any property held or acquired by such Subsidiary in the ordinary course of its business securing Indebtedness incurred or assumed for the purpose of financing all or any part of the cost of acquiring such property;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Lien attaches solely to the property acquired with such Indebtedness and that the principal amount of such Indebtedness does not exceed one hundred percent (100%) of the cost of such property; and (ii) issue any additional Shares, except to Borrower or a wholly owned Subsidiary of Borrower.</w:t>
      </w:r>
    </w:p>
    <w:p>
      <w:pPr>
        <w:spacing w:after="0" w:line="168" w:lineRule="exact"/>
        <w:rPr>
          <w:rFonts w:ascii="Arial" w:cs="Arial" w:eastAsia="Arial" w:hAnsi="Arial"/>
          <w:sz w:val="16"/>
          <w:szCs w:val="16"/>
          <w:b w:val="1"/>
          <w:bCs w:val="1"/>
          <w:color w:val="auto"/>
        </w:rPr>
      </w:pPr>
    </w:p>
    <w:p>
      <w:pPr>
        <w:ind w:left="200" w:right="20" w:firstLine="354"/>
        <w:spacing w:after="0" w:line="296" w:lineRule="auto"/>
        <w:tabs>
          <w:tab w:leader="none" w:pos="825" w:val="left"/>
        </w:tabs>
        <w:numPr>
          <w:ilvl w:val="0"/>
          <w:numId w:val="256"/>
        </w:numPr>
        <w:rPr>
          <w:rFonts w:ascii="Arial" w:cs="Arial" w:eastAsia="Arial" w:hAnsi="Arial"/>
          <w:sz w:val="16"/>
          <w:szCs w:val="16"/>
          <w:b w:val="1"/>
          <w:bCs w:val="1"/>
          <w:color w:val="auto"/>
        </w:rPr>
      </w:pPr>
      <w:r>
        <w:rPr>
          <w:rFonts w:ascii="Arial" w:cs="Arial" w:eastAsia="Arial" w:hAnsi="Arial"/>
          <w:sz w:val="16"/>
          <w:szCs w:val="16"/>
          <w:color w:val="auto"/>
        </w:rPr>
        <w:t>Notwithstanding, and without limiting, any other provision of this Agreement or the Supplement to the contrary, Borrower shall not invest in or loan to, directly or indirectly, or cause or permit Rani Management to maintain, cash or other assets of a value in excess of $100,000 in the aggregate at any time during the term of this Agreement.</w:t>
      </w:r>
    </w:p>
    <w:p>
      <w:pPr>
        <w:spacing w:after="0" w:line="157" w:lineRule="exact"/>
        <w:rPr>
          <w:sz w:val="20"/>
          <w:szCs w:val="20"/>
          <w:color w:val="auto"/>
        </w:rPr>
      </w:pPr>
    </w:p>
    <w:p>
      <w:pPr>
        <w:ind w:left="200" w:firstLine="360"/>
        <w:spacing w:after="0" w:line="270" w:lineRule="auto"/>
        <w:rPr>
          <w:sz w:val="20"/>
          <w:szCs w:val="20"/>
          <w:color w:val="auto"/>
        </w:rPr>
      </w:pPr>
      <w:r>
        <w:rPr>
          <w:rFonts w:ascii="Arial" w:cs="Arial" w:eastAsia="Arial" w:hAnsi="Arial"/>
          <w:sz w:val="17"/>
          <w:szCs w:val="17"/>
          <w:b w:val="1"/>
          <w:bCs w:val="1"/>
          <w:color w:val="auto"/>
        </w:rPr>
        <w:t>6.15 Leases</w:t>
      </w:r>
      <w:r>
        <w:rPr>
          <w:rFonts w:ascii="Arial" w:cs="Arial" w:eastAsia="Arial" w:hAnsi="Arial"/>
          <w:sz w:val="17"/>
          <w:szCs w:val="17"/>
          <w:color w:val="auto"/>
        </w:rPr>
        <w:t>. Create, incur, assume, or suffer to exist any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as lessee for the rental or hire of any personal property (“</w:t>
      </w:r>
      <w:r>
        <w:rPr>
          <w:rFonts w:ascii="Arial" w:cs="Arial" w:eastAsia="Arial" w:hAnsi="Arial"/>
          <w:sz w:val="17"/>
          <w:szCs w:val="17"/>
          <w:b w:val="1"/>
          <w:bCs w:val="1"/>
          <w:color w:val="auto"/>
        </w:rPr>
        <w:t>Personal</w:t>
      </w:r>
      <w:r>
        <w:rPr>
          <w:rFonts w:ascii="Arial" w:cs="Arial" w:eastAsia="Arial" w:hAnsi="Arial"/>
          <w:sz w:val="17"/>
          <w:szCs w:val="17"/>
          <w:color w:val="auto"/>
        </w:rPr>
        <w:t xml:space="preserve"> </w:t>
      </w:r>
      <w:r>
        <w:rPr>
          <w:rFonts w:ascii="Arial" w:cs="Arial" w:eastAsia="Arial" w:hAnsi="Arial"/>
          <w:sz w:val="17"/>
          <w:szCs w:val="17"/>
          <w:b w:val="1"/>
          <w:bCs w:val="1"/>
          <w:color w:val="auto"/>
        </w:rPr>
        <w:t>Property Leases</w:t>
      </w:r>
      <w:r>
        <w:rPr>
          <w:rFonts w:ascii="Arial" w:cs="Arial" w:eastAsia="Arial" w:hAnsi="Arial"/>
          <w:sz w:val="17"/>
          <w:szCs w:val="17"/>
          <w:color w:val="auto"/>
        </w:rPr>
        <w:t>”), except for Personal Property Leases of Equipment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ordinary course of business that do not in the aggregate require Borrower to make payments (including taxes, insurance, maintenance and similar expenses which Borrower is required to pay under the terms of any such lease) in any calendar year in excess of $250,000 in aggregate amount. For the avoidance of doubt, this Section 6.15 will not be applicable to Indebtedness otherwise permitted under Section 6.1(f) of this Agreement.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6.16 Anti-Corruption Laws</w:t>
      </w:r>
      <w:r>
        <w:rPr>
          <w:rFonts w:ascii="Arial" w:cs="Arial" w:eastAsia="Arial" w:hAnsi="Arial"/>
          <w:sz w:val="18"/>
          <w:szCs w:val="18"/>
          <w:color w:val="auto"/>
        </w:rPr>
        <w:t>.</w:t>
      </w:r>
    </w:p>
    <w:p>
      <w:pPr>
        <w:spacing w:after="0" w:line="121" w:lineRule="exact"/>
        <w:rPr>
          <w:sz w:val="20"/>
          <w:szCs w:val="20"/>
          <w:color w:val="auto"/>
        </w:rPr>
      </w:pPr>
    </w:p>
    <w:p>
      <w:pPr>
        <w:ind w:left="800" w:hanging="246"/>
        <w:spacing w:after="0"/>
        <w:tabs>
          <w:tab w:leader="none" w:pos="800" w:val="left"/>
        </w:tabs>
        <w:numPr>
          <w:ilvl w:val="0"/>
          <w:numId w:val="257"/>
        </w:numPr>
        <w:rPr>
          <w:rFonts w:ascii="Arial" w:cs="Arial" w:eastAsia="Arial" w:hAnsi="Arial"/>
          <w:sz w:val="18"/>
          <w:szCs w:val="18"/>
          <w:b w:val="1"/>
          <w:bCs w:val="1"/>
          <w:color w:val="auto"/>
        </w:rPr>
      </w:pPr>
      <w:r>
        <w:rPr>
          <w:rFonts w:ascii="Arial" w:cs="Arial" w:eastAsia="Arial" w:hAnsi="Arial"/>
          <w:sz w:val="18"/>
          <w:szCs w:val="18"/>
          <w:color w:val="auto"/>
        </w:rPr>
        <w:t>Take any action that would cause a violation of any anti-</w:t>
      </w:r>
    </w:p>
    <w:p>
      <w:pPr>
        <w:spacing w:after="0" w:line="23" w:lineRule="exact"/>
        <w:rPr>
          <w:rFonts w:ascii="Arial" w:cs="Arial" w:eastAsia="Arial" w:hAnsi="Arial"/>
          <w:sz w:val="18"/>
          <w:szCs w:val="18"/>
          <w:b w:val="1"/>
          <w:bCs w:val="1"/>
          <w:color w:val="auto"/>
        </w:rPr>
      </w:pPr>
    </w:p>
    <w:p>
      <w:pPr>
        <w:ind w:left="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corruption law, including but not limited to, the Foreign Corrupt Practices Act, the United Kingdom Bribery Act, and all other applicable anti-corruption laws.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5280" w:space="140"/>
            <w:col w:w="5580"/>
          </w:cols>
          <w:pgMar w:left="440" w:top="324" w:right="459" w:bottom="1440" w:gutter="0" w:footer="0" w:header="0"/>
        </w:sectPr>
      </w:pPr>
    </w:p>
    <w:bookmarkStart w:id="362" w:name="page363"/>
    <w:bookmarkEnd w:id="362"/>
    <w:p>
      <w:pPr>
        <w:ind w:right="60" w:firstLine="356"/>
        <w:spacing w:after="0" w:line="254" w:lineRule="auto"/>
        <w:tabs>
          <w:tab w:leader="none" w:pos="625" w:val="left"/>
        </w:tabs>
        <w:numPr>
          <w:ilvl w:val="0"/>
          <w:numId w:val="258"/>
        </w:numPr>
        <w:rPr>
          <w:rFonts w:ascii="Arial" w:cs="Arial" w:eastAsia="Arial" w:hAnsi="Arial"/>
          <w:sz w:val="18"/>
          <w:szCs w:val="18"/>
          <w:b w:val="1"/>
          <w:bCs w:val="1"/>
          <w:color w:val="auto"/>
        </w:rPr>
      </w:pPr>
      <w:r>
        <w:rPr>
          <w:rFonts w:ascii="Arial" w:cs="Arial" w:eastAsia="Arial" w:hAnsi="Arial"/>
          <w:sz w:val="18"/>
          <w:szCs w:val="18"/>
          <w:color w:val="auto"/>
        </w:rPr>
        <w:t>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in violation of any applicable law.</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 EVENTS OF DEFAULT</w:t>
      </w:r>
    </w:p>
    <w:p>
      <w:pPr>
        <w:spacing w:after="0" w:line="117"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color w:val="auto"/>
        </w:rPr>
        <w:t xml:space="preserve">7.1 </w:t>
      </w:r>
      <w:r>
        <w:rPr>
          <w:rFonts w:ascii="Arial" w:cs="Arial" w:eastAsia="Arial" w:hAnsi="Arial"/>
          <w:sz w:val="17"/>
          <w:szCs w:val="17"/>
          <w:color w:val="auto"/>
        </w:rPr>
        <w:t>Events of Default; Acceleration.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continuation of any Event of Default, the obligation of Lender to make any additional Loan shall be suspended. The occurrence and continuation of any of the following (each, an “</w:t>
      </w:r>
      <w:r>
        <w:rPr>
          <w:rFonts w:ascii="Arial" w:cs="Arial" w:eastAsia="Arial" w:hAnsi="Arial"/>
          <w:sz w:val="17"/>
          <w:szCs w:val="17"/>
          <w:b w:val="1"/>
          <w:bCs w:val="1"/>
          <w:u w:val="single" w:color="auto"/>
          <w:color w:val="auto"/>
        </w:rPr>
        <w:t>Event of Default</w:t>
      </w:r>
      <w:r>
        <w:rPr>
          <w:rFonts w:ascii="Arial" w:cs="Arial" w:eastAsia="Arial" w:hAnsi="Arial"/>
          <w:sz w:val="17"/>
          <w:szCs w:val="17"/>
          <w:color w:val="auto"/>
        </w:rPr>
        <w:t>”) shall at the option of Lender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and (2) give Lender the right to exercise any other right or remedy provided by contract or applicable law:</w:t>
      </w:r>
    </w:p>
    <w:p>
      <w:pPr>
        <w:spacing w:after="0" w:line="78" w:lineRule="exact"/>
        <w:rPr>
          <w:sz w:val="20"/>
          <w:szCs w:val="20"/>
          <w:color w:val="auto"/>
        </w:rPr>
      </w:pPr>
    </w:p>
    <w:p>
      <w:pPr>
        <w:ind w:right="80" w:firstLine="356"/>
        <w:spacing w:after="0" w:line="273" w:lineRule="auto"/>
        <w:tabs>
          <w:tab w:leader="none" w:pos="615"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Borrower shall (i) fail to pay when due any principal or interest under this Agreement or any Note, or (ii) fail to pay any fees or other charges when due under any Loan Document (other than any Warrant), and such failure continues for three (3) Business Days or more after the same first becomes due; or an Event of Default as defined in any other Loan Document shall have occurred.</w:t>
      </w:r>
    </w:p>
    <w:p>
      <w:pPr>
        <w:spacing w:after="0" w:line="177" w:lineRule="exact"/>
        <w:rPr>
          <w:rFonts w:ascii="Arial" w:cs="Arial" w:eastAsia="Arial" w:hAnsi="Arial"/>
          <w:sz w:val="17"/>
          <w:szCs w:val="17"/>
          <w:b w:val="1"/>
          <w:bCs w:val="1"/>
          <w:color w:val="auto"/>
        </w:rPr>
      </w:pPr>
    </w:p>
    <w:p>
      <w:pPr>
        <w:jc w:val="both"/>
        <w:ind w:right="180" w:firstLine="356"/>
        <w:spacing w:after="0" w:line="301" w:lineRule="auto"/>
        <w:tabs>
          <w:tab w:leader="none" w:pos="625" w:val="left"/>
        </w:tabs>
        <w:numPr>
          <w:ilvl w:val="0"/>
          <w:numId w:val="259"/>
        </w:numPr>
        <w:rPr>
          <w:rFonts w:ascii="Arial" w:cs="Arial" w:eastAsia="Arial" w:hAnsi="Arial"/>
          <w:sz w:val="16"/>
          <w:szCs w:val="16"/>
          <w:b w:val="1"/>
          <w:bCs w:val="1"/>
          <w:color w:val="auto"/>
        </w:rPr>
      </w:pPr>
      <w:r>
        <w:rPr>
          <w:rFonts w:ascii="Arial" w:cs="Arial" w:eastAsia="Arial" w:hAnsi="Arial"/>
          <w:sz w:val="16"/>
          <w:szCs w:val="16"/>
          <w:color w:val="auto"/>
        </w:rPr>
        <w:t>Any representation or warranty made, or financial statement, certificate or other document provided, by Borrower under any Loan Document shall prove to have been false or misleading in any material respect when made or deemed made herein.</w:t>
      </w:r>
    </w:p>
    <w:p>
      <w:pPr>
        <w:spacing w:after="0" w:line="157" w:lineRule="exact"/>
        <w:rPr>
          <w:rFonts w:ascii="Arial" w:cs="Arial" w:eastAsia="Arial" w:hAnsi="Arial"/>
          <w:sz w:val="16"/>
          <w:szCs w:val="16"/>
          <w:b w:val="1"/>
          <w:bCs w:val="1"/>
          <w:color w:val="auto"/>
        </w:rPr>
      </w:pPr>
    </w:p>
    <w:p>
      <w:pPr>
        <w:ind w:right="300" w:firstLine="356"/>
        <w:spacing w:after="0" w:line="308" w:lineRule="auto"/>
        <w:tabs>
          <w:tab w:leader="none" w:pos="604" w:val="left"/>
        </w:tabs>
        <w:numPr>
          <w:ilvl w:val="0"/>
          <w:numId w:val="259"/>
        </w:numPr>
        <w:rPr>
          <w:rFonts w:ascii="Arial" w:cs="Arial" w:eastAsia="Arial" w:hAnsi="Arial"/>
          <w:sz w:val="17"/>
          <w:szCs w:val="17"/>
          <w:b w:val="1"/>
          <w:bCs w:val="1"/>
          <w:color w:val="auto"/>
        </w:rPr>
      </w:pPr>
      <w:r>
        <w:rPr>
          <w:rFonts w:ascii="Arial" w:cs="Arial" w:eastAsia="Arial" w:hAnsi="Arial"/>
          <w:sz w:val="17"/>
          <w:szCs w:val="17"/>
          <w:color w:val="auto"/>
        </w:rPr>
        <w:t>If there occurs any circumstance or circumstances that could reasonably be expected to have a Material Adverse Effect.</w:t>
      </w:r>
    </w:p>
    <w:p>
      <w:pPr>
        <w:spacing w:after="0" w:line="146" w:lineRule="exact"/>
        <w:rPr>
          <w:rFonts w:ascii="Arial" w:cs="Arial" w:eastAsia="Arial" w:hAnsi="Arial"/>
          <w:sz w:val="17"/>
          <w:szCs w:val="17"/>
          <w:b w:val="1"/>
          <w:bCs w:val="1"/>
          <w:color w:val="auto"/>
        </w:rPr>
      </w:pPr>
    </w:p>
    <w:p>
      <w:pPr>
        <w:ind w:right="60" w:firstLine="356"/>
        <w:spacing w:after="0" w:line="255" w:lineRule="auto"/>
        <w:tabs>
          <w:tab w:leader="none" w:pos="625" w:val="left"/>
        </w:tabs>
        <w:numPr>
          <w:ilvl w:val="0"/>
          <w:numId w:val="259"/>
        </w:numPr>
        <w:rPr>
          <w:rFonts w:ascii="Arial" w:cs="Arial" w:eastAsia="Arial" w:hAnsi="Arial"/>
          <w:sz w:val="18"/>
          <w:szCs w:val="18"/>
          <w:b w:val="1"/>
          <w:bCs w:val="1"/>
          <w:color w:val="auto"/>
        </w:rPr>
      </w:pPr>
      <w:r>
        <w:rPr>
          <w:rFonts w:ascii="Arial" w:cs="Arial" w:eastAsia="Arial" w:hAnsi="Arial"/>
          <w:sz w:val="18"/>
          <w:szCs w:val="18"/>
          <w:color w:val="auto"/>
        </w:rPr>
        <w:t>(i) Borrower shall fail to pay its debts generally as they become due; or (ii) Borrower shall commence any Insolvency Proceeding with respect to itself, an involuntary Insolvency Proceeding shall be filed against Borrower, or a custodian, receiver, trustee, assignee for the benefit of creditors, or other similar official, shall be appointed to take possession, custody</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or control of the properties of Borrower, and such involuntary Insolvency Proceeding, petition or appointment is acquiesced to by Borrower or is not dismissed within forty five (45) days; or (iii) the dissolution, winding up, or termination of the business or cessation of operations of Borrower (including any transaction or series of related transactions deemed to be a liquidation, dissolution or winding up of Borrower pursuant to the provisions of Borrower’s charter documents); or (iv) Borrower shall take any corporate action for the purpose of effecting, approving, or consenting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-1375410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1" w:lineRule="exact"/>
        <w:rPr>
          <w:sz w:val="20"/>
          <w:szCs w:val="20"/>
          <w:color w:val="auto"/>
        </w:rPr>
      </w:pPr>
    </w:p>
    <w:p>
      <w:pPr>
        <w:ind w:right="80" w:firstLine="354"/>
        <w:spacing w:after="0" w:line="293" w:lineRule="auto"/>
        <w:tabs>
          <w:tab w:leader="none" w:pos="604"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Borrower shall be in default beyond any applicable period of grace or cure under any other agreement involving the borrowing of money, the purchase of property on credit, the advance of credit or any other similar monetary liability to Lender or to any Person that permits such Person to accelerate the payment of such obligations, whether or not exercised, in an amount in excess of the Threshold Amount.</w:t>
      </w:r>
    </w:p>
    <w:p>
      <w:pPr>
        <w:spacing w:after="0" w:line="164" w:lineRule="exact"/>
        <w:rPr>
          <w:rFonts w:ascii="Arial" w:cs="Arial" w:eastAsia="Arial" w:hAnsi="Arial"/>
          <w:sz w:val="16"/>
          <w:szCs w:val="16"/>
          <w:b w:val="1"/>
          <w:bCs w:val="1"/>
          <w:color w:val="auto"/>
        </w:rPr>
      </w:pPr>
    </w:p>
    <w:p>
      <w:pPr>
        <w:ind w:right="160" w:firstLine="354"/>
        <w:spacing w:after="0" w:line="257" w:lineRule="auto"/>
        <w:tabs>
          <w:tab w:leader="none" w:pos="585"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Any governmental or regulatory authority shall take any judicial or administrative action, or any defined benefit pension plan maintained by Borrower shall have any unfunded liabilities, any of which, in the reasonable judgment of Lender, could reasonably be expected to have a Material Adverse Effect.</w:t>
      </w:r>
    </w:p>
    <w:p>
      <w:pPr>
        <w:spacing w:after="0" w:line="187" w:lineRule="exact"/>
        <w:rPr>
          <w:rFonts w:ascii="Arial" w:cs="Arial" w:eastAsia="Arial" w:hAnsi="Arial"/>
          <w:sz w:val="18"/>
          <w:szCs w:val="18"/>
          <w:b w:val="1"/>
          <w:bCs w:val="1"/>
          <w:color w:val="auto"/>
        </w:rPr>
      </w:pPr>
    </w:p>
    <w:p>
      <w:pPr>
        <w:jc w:val="both"/>
        <w:ind w:firstLine="354"/>
        <w:spacing w:after="0" w:line="259" w:lineRule="auto"/>
        <w:tabs>
          <w:tab w:leader="none" w:pos="615"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Except as otherwise permitted pursuant to Sections 6.4 or 6.5, any sale, transfer or other disposition of all or any material part of the assets of Borrower, including without limitation to any trust or similar entity, shall occur.</w:t>
      </w:r>
    </w:p>
    <w:p>
      <w:pPr>
        <w:spacing w:after="0" w:line="186" w:lineRule="exact"/>
        <w:rPr>
          <w:rFonts w:ascii="Arial" w:cs="Arial" w:eastAsia="Arial" w:hAnsi="Arial"/>
          <w:sz w:val="18"/>
          <w:szCs w:val="18"/>
          <w:b w:val="1"/>
          <w:bCs w:val="1"/>
          <w:color w:val="auto"/>
        </w:rPr>
      </w:pPr>
    </w:p>
    <w:p>
      <w:pPr>
        <w:ind w:firstLine="354"/>
        <w:spacing w:after="0" w:line="296" w:lineRule="auto"/>
        <w:tabs>
          <w:tab w:leader="none" w:pos="625" w:val="left"/>
        </w:tabs>
        <w:numPr>
          <w:ilvl w:val="0"/>
          <w:numId w:val="260"/>
        </w:numPr>
        <w:rPr>
          <w:rFonts w:ascii="Arial" w:cs="Arial" w:eastAsia="Arial" w:hAnsi="Arial"/>
          <w:sz w:val="16"/>
          <w:szCs w:val="16"/>
          <w:b w:val="1"/>
          <w:bCs w:val="1"/>
          <w:color w:val="auto"/>
        </w:rPr>
      </w:pPr>
      <w:r>
        <w:rPr>
          <w:rFonts w:ascii="Arial" w:cs="Arial" w:eastAsia="Arial" w:hAnsi="Arial"/>
          <w:sz w:val="16"/>
          <w:szCs w:val="16"/>
          <w:color w:val="auto"/>
        </w:rPr>
        <w:t>Any judgment(s) singly or in the aggregate in excess of the Threshold Amount (not covered by independent third party insurance as to which liability has not been rejected by such insurance carrier) shall be entered against Borrower which remain unsatisfied, unvacated or unstayed pending appeal for twenty (20) or more days after entry thereof.</w:t>
      </w:r>
    </w:p>
    <w:p>
      <w:pPr>
        <w:spacing w:after="0" w:line="161" w:lineRule="exact"/>
        <w:rPr>
          <w:rFonts w:ascii="Arial" w:cs="Arial" w:eastAsia="Arial" w:hAnsi="Arial"/>
          <w:sz w:val="16"/>
          <w:szCs w:val="16"/>
          <w:b w:val="1"/>
          <w:bCs w:val="1"/>
          <w:color w:val="auto"/>
        </w:rPr>
      </w:pPr>
    </w:p>
    <w:p>
      <w:pPr>
        <w:ind w:right="100" w:firstLine="354"/>
        <w:spacing w:after="0" w:line="277" w:lineRule="auto"/>
        <w:tabs>
          <w:tab w:leader="none" w:pos="575" w:val="left"/>
        </w:tabs>
        <w:numPr>
          <w:ilvl w:val="0"/>
          <w:numId w:val="260"/>
        </w:numPr>
        <w:rPr>
          <w:rFonts w:ascii="Arial" w:cs="Arial" w:eastAsia="Arial" w:hAnsi="Arial"/>
          <w:sz w:val="18"/>
          <w:szCs w:val="18"/>
          <w:b w:val="1"/>
          <w:bCs w:val="1"/>
          <w:color w:val="auto"/>
        </w:rPr>
      </w:pPr>
      <w:r>
        <w:rPr>
          <w:rFonts w:ascii="Arial" w:cs="Arial" w:eastAsia="Arial" w:hAnsi="Arial"/>
          <w:sz w:val="18"/>
          <w:szCs w:val="18"/>
          <w:color w:val="auto"/>
        </w:rPr>
        <w:t>Borrower shall fail to perform or observe any covenant contained in Article 6 of this Agreement.</w:t>
      </w:r>
    </w:p>
    <w:p>
      <w:pPr>
        <w:spacing w:after="0" w:line="170" w:lineRule="exact"/>
        <w:rPr>
          <w:rFonts w:ascii="Arial" w:cs="Arial" w:eastAsia="Arial" w:hAnsi="Arial"/>
          <w:sz w:val="18"/>
          <w:szCs w:val="18"/>
          <w:b w:val="1"/>
          <w:bCs w:val="1"/>
          <w:color w:val="auto"/>
        </w:rPr>
      </w:pPr>
    </w:p>
    <w:p>
      <w:pPr>
        <w:ind w:right="40" w:firstLine="354"/>
        <w:spacing w:after="0" w:line="271" w:lineRule="auto"/>
        <w:tabs>
          <w:tab w:leader="none" w:pos="585" w:val="left"/>
        </w:tabs>
        <w:numPr>
          <w:ilvl w:val="0"/>
          <w:numId w:val="260"/>
        </w:numPr>
        <w:rPr>
          <w:rFonts w:ascii="Arial" w:cs="Arial" w:eastAsia="Arial" w:hAnsi="Arial"/>
          <w:sz w:val="17"/>
          <w:szCs w:val="17"/>
          <w:b w:val="1"/>
          <w:bCs w:val="1"/>
          <w:color w:val="auto"/>
        </w:rPr>
      </w:pPr>
      <w:r>
        <w:rPr>
          <w:rFonts w:ascii="Arial" w:cs="Arial" w:eastAsia="Arial" w:hAnsi="Arial"/>
          <w:sz w:val="17"/>
          <w:szCs w:val="17"/>
          <w:color w:val="auto"/>
        </w:rPr>
        <w:t>Borrower shall fail to perform or observe any covenant contained in Article 5 or elsewhere in this Agreement or any other Loan Document (other than a covenant which is dealt with specifically elsewhere in this Article 7 and other than any covenant under the Warrants) and, if capable of being cured, the breach of such covenant is not cured within 10 days after the sooner to occur of Borrower’s receipt of notice of such breach from Lender or the date on which such breach first becomes known to any officer of Borrower (the</w:t>
      </w:r>
    </w:p>
    <w:p>
      <w:pPr>
        <w:spacing w:after="0" w:line="200" w:lineRule="exact"/>
        <w:rPr>
          <w:sz w:val="20"/>
          <w:szCs w:val="20"/>
          <w:color w:val="auto"/>
        </w:rPr>
      </w:pPr>
    </w:p>
    <w:p>
      <w:pPr>
        <w:sectPr>
          <w:pgSz w:w="11900" w:h="16838" w:orient="portrait"/>
          <w:cols w:equalWidth="0" w:num="2">
            <w:col w:w="5260" w:space="360"/>
            <w:col w:w="5380"/>
          </w:cols>
          <w:pgMar w:left="440" w:top="328" w:right="459" w:bottom="1440" w:gutter="0" w:footer="0" w:header="0"/>
        </w:sectPr>
      </w:pP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0"/>
          </w:cols>
          <w:pgMar w:left="440" w:top="328" w:right="459" w:bottom="1440" w:gutter="0" w:footer="0" w:header="0"/>
          <w:type w:val="continuous"/>
        </w:sectPr>
      </w:pPr>
    </w:p>
    <w:bookmarkStart w:id="363" w:name="page364"/>
    <w:bookmarkEnd w:id="363"/>
    <w:p>
      <w:pPr>
        <w:ind w:right="12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Notice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such breach is not capable of being cured within such 10-day period and Borrower timely notifies Lender of such fact and Borrower diligently pursues such cure, then the cure period shall be extended to the date requested in Borrower’s notice but in no event more than 30 days from the Notice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30-day opportunity to cure shall not apply in the case of any failure to perform or observe any covenant which has been the subject of a prior failure within the preceding 180 days or which is a willful and knowing breach by Borrower.</w:t>
      </w:r>
    </w:p>
    <w:p>
      <w:pPr>
        <w:spacing w:after="0" w:line="166"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b w:val="1"/>
          <w:bCs w:val="1"/>
          <w:color w:val="auto"/>
        </w:rPr>
        <w:t>7.2 Remedies upon Default</w:t>
      </w:r>
      <w:r>
        <w:rPr>
          <w:rFonts w:ascii="Arial" w:cs="Arial" w:eastAsia="Arial" w:hAnsi="Arial"/>
          <w:sz w:val="16"/>
          <w:szCs w:val="16"/>
          <w:color w:val="auto"/>
        </w:rPr>
        <w:t>.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Lender shall be entitled to, at its option, exercise any or all of the rights and remedies available to a secured party under the UCC or any other applicable law, and exercise any or all of its rights and remedies provided for in this Agreement and in any other Loan Document. The obligations of Borrower under this Agreement shall continue to be effective or be reinstated, as the case may be, if at any time any payment of any Obligations is rescinded or must otherwise be returned by Lender upon, on account of, or in connection with, the insolvency, bankruptcy or reorganization of Borrower or otherwise, all as though such payment had not been made.</w:t>
      </w:r>
    </w:p>
    <w:p>
      <w:pPr>
        <w:spacing w:after="0" w:line="163"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7.3 Sale of Collateral</w:t>
      </w:r>
      <w:r>
        <w:rPr>
          <w:rFonts w:ascii="Arial" w:cs="Arial" w:eastAsia="Arial" w:hAnsi="Arial"/>
          <w:sz w:val="16"/>
          <w:szCs w:val="16"/>
          <w:color w:val="auto"/>
        </w:rPr>
        <w:t>. Upon the occurrence and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continuance of an Event of Default, Lender may sell all or any part of the Collateral, at public or private sales, to itself, a wholesaler, retailer or investor, for cash, upon credit or for future delivery, and at such price or prices as Lender may deem commercially reasonable. To the extent permitted by law, Borrower hereby specifically waives all rights of redemption and any rights of stay or appraisal which it has or may have under any applicable law in effect from time to time. Any such public or private sales shall be held at such times and at such place(s) as Lender may determine. In case of the sale of all or any part of the Collateral on credit or for future delivery, the Collateral so sold may be retained by Lender until the selling price is paid by the purchaser, but Lender shall not incur any liability in case of the failure of such purchaser to pay for the Collateral and, in case of any such failure, such Collateral may be resold. Lender may, instead of exercising its power of sale, proceed to enforce its security interest in the Collateral by seeking a judgment or decree of a court of competent jurisdiction. Without limiting the generality of the foregoing, if an Event of Default is in existence,</w:t>
      </w:r>
    </w:p>
    <w:p>
      <w:pPr>
        <w:spacing w:after="0" w:line="175" w:lineRule="exact"/>
        <w:rPr>
          <w:sz w:val="20"/>
          <w:szCs w:val="20"/>
          <w:color w:val="auto"/>
        </w:rPr>
      </w:pPr>
    </w:p>
    <w:p>
      <w:pPr>
        <w:ind w:right="80" w:firstLine="356"/>
        <w:spacing w:after="0" w:line="277" w:lineRule="auto"/>
        <w:tabs>
          <w:tab w:leader="none" w:pos="61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Subject to the rights of any third parties, Lender may license, or sublicense, whether general,</w:t>
      </w:r>
    </w:p>
    <w:p>
      <w:pPr>
        <w:spacing w:after="0" w:line="20" w:lineRule="exact"/>
        <w:rPr>
          <w:sz w:val="20"/>
          <w:szCs w:val="20"/>
          <w:color w:val="auto"/>
        </w:rPr>
      </w:pPr>
      <w:r>
        <w:rPr>
          <w:sz w:val="20"/>
          <w:szCs w:val="20"/>
          <w:color w:val="auto"/>
        </w:rPr>
        <w:br w:type="column"/>
      </w:r>
    </w:p>
    <w:p>
      <w:pPr>
        <w:ind w:left="6" w:right="120"/>
        <w:spacing w:after="0" w:line="301" w:lineRule="auto"/>
        <w:rPr>
          <w:sz w:val="20"/>
          <w:szCs w:val="20"/>
          <w:color w:val="auto"/>
        </w:rPr>
      </w:pPr>
      <w:r>
        <w:rPr>
          <w:rFonts w:ascii="Arial" w:cs="Arial" w:eastAsia="Arial" w:hAnsi="Arial"/>
          <w:sz w:val="16"/>
          <w:szCs w:val="16"/>
          <w:color w:val="auto"/>
        </w:rPr>
        <w:t>special or otherwise, and whether on an exclusive or non-exclusive basis, any Copyrights, Patents or Trademarks included in the Collateral throughout the world for such term or terms, on such conditions and in such manner as Lender shall in its sole discretion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-704850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37" w:lineRule="exact"/>
        <w:rPr>
          <w:sz w:val="20"/>
          <w:szCs w:val="20"/>
          <w:color w:val="auto"/>
        </w:rPr>
      </w:pPr>
    </w:p>
    <w:p>
      <w:pPr>
        <w:ind w:left="6" w:right="40" w:firstLine="354"/>
        <w:spacing w:after="0" w:line="269" w:lineRule="auto"/>
        <w:tabs>
          <w:tab w:leader="none" w:pos="621" w:val="left"/>
        </w:tabs>
        <w:numPr>
          <w:ilvl w:val="1"/>
          <w:numId w:val="262"/>
        </w:numPr>
        <w:rPr>
          <w:rFonts w:ascii="Arial" w:cs="Arial" w:eastAsia="Arial" w:hAnsi="Arial"/>
          <w:sz w:val="17"/>
          <w:szCs w:val="17"/>
          <w:color w:val="auto"/>
        </w:rPr>
      </w:pPr>
      <w:r>
        <w:rPr>
          <w:rFonts w:ascii="Arial" w:cs="Arial" w:eastAsia="Arial" w:hAnsi="Arial"/>
          <w:sz w:val="17"/>
          <w:szCs w:val="17"/>
          <w:color w:val="auto"/>
        </w:rPr>
        <w:t>Lender may (without assuming any obligations or liability thereunder), at any time and from time to time, enforce (and shall have the exclusive right to enforce) against any licensee or sublicensee all rights and remedies of Borrower in, to and under any Copyright Licenses, Patent Licenses or Trademark Licenses and take or refrain from taking any action under any thereof, and Borrower hereby releases Lender from, and agrees to hold Lender free and harmless from and against any claims arising out of, any lawful action so taken or omitted to be taken with respect thereto other than claims arising out of Lender’s gross negligence or willful misconduct; and</w:t>
      </w:r>
    </w:p>
    <w:p>
      <w:pPr>
        <w:spacing w:after="0" w:line="185" w:lineRule="exact"/>
        <w:rPr>
          <w:rFonts w:ascii="Arial" w:cs="Arial" w:eastAsia="Arial" w:hAnsi="Arial"/>
          <w:sz w:val="17"/>
          <w:szCs w:val="17"/>
          <w:color w:val="auto"/>
        </w:rPr>
      </w:pPr>
    </w:p>
    <w:p>
      <w:pPr>
        <w:ind w:left="6" w:right="40" w:firstLine="354"/>
        <w:spacing w:after="0" w:line="288" w:lineRule="auto"/>
        <w:tabs>
          <w:tab w:leader="none" w:pos="62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Upon request by Lender, Borrower will execute and deliver to Lender a power of attorney, in form and substance reasonably satisfactory to Lender for the implementation of any lease, assignment, license, sublicense, grant of option, sale or other disposition of a Copyright, Patent or Trademark. In the event of any such disposition pursuant to this </w:t>
      </w:r>
      <w:r>
        <w:rPr>
          <w:rFonts w:ascii="Arial" w:cs="Arial" w:eastAsia="Arial" w:hAnsi="Arial"/>
          <w:sz w:val="16"/>
          <w:szCs w:val="16"/>
          <w:u w:val="single" w:color="auto"/>
          <w:color w:val="auto"/>
        </w:rPr>
        <w:t>clause</w:t>
      </w:r>
      <w:r>
        <w:rPr>
          <w:rFonts w:ascii="Arial" w:cs="Arial" w:eastAsia="Arial" w:hAnsi="Arial"/>
          <w:sz w:val="16"/>
          <w:szCs w:val="16"/>
          <w:color w:val="auto"/>
        </w:rPr>
        <w:t xml:space="preserve"> </w:t>
      </w:r>
      <w:r>
        <w:rPr>
          <w:rFonts w:ascii="Arial" w:cs="Arial" w:eastAsia="Arial" w:hAnsi="Arial"/>
          <w:sz w:val="16"/>
          <w:szCs w:val="16"/>
          <w:u w:val="single" w:color="auto"/>
          <w:color w:val="auto"/>
        </w:rPr>
        <w:t>3</w:t>
      </w:r>
      <w:r>
        <w:rPr>
          <w:rFonts w:ascii="Arial" w:cs="Arial" w:eastAsia="Arial" w:hAnsi="Arial"/>
          <w:sz w:val="16"/>
          <w:szCs w:val="16"/>
          <w:color w:val="auto"/>
        </w:rPr>
        <w:t>, Borrower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Lender.</w:t>
      </w:r>
    </w:p>
    <w:p>
      <w:pPr>
        <w:spacing w:after="0" w:line="168" w:lineRule="exact"/>
        <w:rPr>
          <w:rFonts w:ascii="Arial" w:cs="Arial" w:eastAsia="Arial" w:hAnsi="Arial"/>
          <w:sz w:val="16"/>
          <w:szCs w:val="16"/>
          <w:color w:val="auto"/>
        </w:rPr>
      </w:pPr>
    </w:p>
    <w:p>
      <w:pPr>
        <w:ind w:left="6" w:right="20" w:firstLine="354"/>
        <w:spacing w:after="0" w:line="283" w:lineRule="auto"/>
        <w:tabs>
          <w:tab w:leader="none" w:pos="62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If, at any time when Lender shall determine to exercise its right to sell the whole or any part of the Shares hereunder, such Shares or the part thereof to be sold shall not, for any reason whatsoever, be effectively registered under the Securities Act (or any similar statute), then Lender may, in its discretion (subject only to applicable requirements of law), sell such Shares or part thereof by private sale in such manner and under such circumstances as Lender may deem necessary or advisable, but subject to the other requirements of this </w:t>
      </w:r>
      <w:r>
        <w:rPr>
          <w:rFonts w:ascii="Arial" w:cs="Arial" w:eastAsia="Arial" w:hAnsi="Arial"/>
          <w:sz w:val="16"/>
          <w:szCs w:val="16"/>
          <w:u w:val="single" w:color="auto"/>
          <w:color w:val="auto"/>
        </w:rPr>
        <w:t>Article 7</w:t>
      </w:r>
      <w:r>
        <w:rPr>
          <w:rFonts w:ascii="Arial" w:cs="Arial" w:eastAsia="Arial" w:hAnsi="Arial"/>
          <w:sz w:val="16"/>
          <w:szCs w:val="16"/>
          <w:color w:val="auto"/>
        </w:rPr>
        <w:t>, and shall not be required to effect such registration or to cause the same to be effected. Without limiting the generality of the foregoing, in any such event, Lender in its discretion may</w:t>
      </w:r>
    </w:p>
    <w:p>
      <w:pPr>
        <w:spacing w:after="0" w:line="4" w:lineRule="exact"/>
        <w:rPr>
          <w:rFonts w:ascii="Arial" w:cs="Arial" w:eastAsia="Arial" w:hAnsi="Arial"/>
          <w:sz w:val="16"/>
          <w:szCs w:val="16"/>
          <w:color w:val="auto"/>
        </w:rPr>
      </w:pPr>
    </w:p>
    <w:p>
      <w:pPr>
        <w:ind w:left="6" w:hanging="6"/>
        <w:spacing w:after="0" w:line="253" w:lineRule="auto"/>
        <w:tabs>
          <w:tab w:leader="none" w:pos="22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w:t>
      </w:r>
    </w:p>
    <w:p>
      <w:pPr>
        <w:spacing w:after="0" w:line="436" w:lineRule="exact"/>
        <w:rPr>
          <w:sz w:val="20"/>
          <w:szCs w:val="20"/>
          <w:color w:val="auto"/>
        </w:rPr>
      </w:pPr>
    </w:p>
    <w:p>
      <w:pPr>
        <w:sectPr>
          <w:pgSz w:w="11900" w:h="16838" w:orient="portrait"/>
          <w:cols w:equalWidth="0" w:num="2">
            <w:col w:w="5280" w:space="334"/>
            <w:col w:w="5406"/>
          </w:cols>
          <w:pgMar w:left="440" w:top="324" w:right="439" w:bottom="1440" w:gutter="0" w:footer="0" w:header="0"/>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20"/>
          </w:cols>
          <w:pgMar w:left="440" w:top="324" w:right="439" w:bottom="1440" w:gutter="0" w:footer="0" w:header="0"/>
          <w:type w:val="continuous"/>
        </w:sectPr>
      </w:pPr>
    </w:p>
    <w:bookmarkStart w:id="364" w:name="page365"/>
    <w:bookmarkEnd w:id="364"/>
    <w:p>
      <w:pPr>
        <w:spacing w:after="0" w:line="269" w:lineRule="auto"/>
        <w:rPr>
          <w:sz w:val="20"/>
          <w:szCs w:val="20"/>
          <w:color w:val="auto"/>
        </w:rPr>
      </w:pPr>
      <w:r>
        <w:rPr>
          <w:rFonts w:ascii="Arial" w:cs="Arial" w:eastAsia="Arial" w:hAnsi="Arial"/>
          <w:sz w:val="17"/>
          <w:szCs w:val="17"/>
          <w:color w:val="auto"/>
        </w:rPr>
        <w:t xml:space="preserve">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if any of the Shares shall not be freely distributable to the public without registration under the Securities Act (or similar statute) at the time of any proposed sale pursuant to this </w:t>
      </w:r>
      <w:r>
        <w:rPr>
          <w:rFonts w:ascii="Arial" w:cs="Arial" w:eastAsia="Arial" w:hAnsi="Arial"/>
          <w:sz w:val="17"/>
          <w:szCs w:val="17"/>
          <w:u w:val="single" w:color="auto"/>
          <w:color w:val="auto"/>
        </w:rPr>
        <w:t>Article 7</w:t>
      </w:r>
      <w:r>
        <w:rPr>
          <w:rFonts w:ascii="Arial" w:cs="Arial" w:eastAsia="Arial" w:hAnsi="Arial"/>
          <w:sz w:val="17"/>
          <w:szCs w:val="17"/>
          <w:color w:val="auto"/>
        </w:rPr>
        <w:t>, then Lender shall not be required to effect such registration or cause the same to be effected but, in its discretion (subject only to applicable requirements of law), may require that any sale hereunder (including a sale at auction) be conducted subject to restrictions:</w:t>
      </w:r>
    </w:p>
    <w:p>
      <w:pPr>
        <w:spacing w:after="0" w:line="71" w:lineRule="exact"/>
        <w:rPr>
          <w:sz w:val="20"/>
          <w:szCs w:val="20"/>
          <w:color w:val="auto"/>
        </w:rPr>
      </w:pPr>
    </w:p>
    <w:p>
      <w:pPr>
        <w:ind w:left="720" w:right="100" w:hanging="4"/>
        <w:spacing w:after="0" w:line="277" w:lineRule="auto"/>
        <w:tabs>
          <w:tab w:leader="none" w:pos="101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as to the financial sophistication and ability of any Person permitted to bid or purchase at any such sale;</w:t>
      </w:r>
    </w:p>
    <w:p>
      <w:pPr>
        <w:spacing w:after="0" w:line="62" w:lineRule="exact"/>
        <w:rPr>
          <w:rFonts w:ascii="Arial" w:cs="Arial" w:eastAsia="Arial" w:hAnsi="Arial"/>
          <w:sz w:val="18"/>
          <w:szCs w:val="18"/>
          <w:color w:val="auto"/>
        </w:rPr>
      </w:pPr>
    </w:p>
    <w:p>
      <w:pPr>
        <w:ind w:left="720" w:right="60" w:hanging="4"/>
        <w:spacing w:after="0" w:line="263" w:lineRule="auto"/>
        <w:tabs>
          <w:tab w:leader="none" w:pos="1005" w:val="left"/>
        </w:tabs>
        <w:numPr>
          <w:ilvl w:val="1"/>
          <w:numId w:val="264"/>
        </w:numPr>
        <w:rPr>
          <w:rFonts w:ascii="Arial" w:cs="Arial" w:eastAsia="Arial" w:hAnsi="Arial"/>
          <w:sz w:val="18"/>
          <w:szCs w:val="18"/>
          <w:color w:val="auto"/>
        </w:rPr>
      </w:pPr>
      <w:r>
        <w:rPr>
          <w:rFonts w:ascii="Arial" w:cs="Arial" w:eastAsia="Arial" w:hAnsi="Arial"/>
          <w:sz w:val="18"/>
          <w:szCs w:val="18"/>
          <w:color w:val="auto"/>
        </w:rPr>
        <w:t>as to the content of legends to be placed upon any certificates representing the Shares sold in such sale, including restrictions on future transfer thereof;</w:t>
      </w:r>
    </w:p>
    <w:p>
      <w:pPr>
        <w:spacing w:after="0" w:line="75" w:lineRule="exact"/>
        <w:rPr>
          <w:rFonts w:ascii="Arial" w:cs="Arial" w:eastAsia="Arial" w:hAnsi="Arial"/>
          <w:sz w:val="18"/>
          <w:szCs w:val="18"/>
          <w:color w:val="auto"/>
        </w:rPr>
      </w:pPr>
    </w:p>
    <w:p>
      <w:pPr>
        <w:ind w:left="720" w:right="20" w:hanging="4"/>
        <w:spacing w:after="0" w:line="273" w:lineRule="auto"/>
        <w:tabs>
          <w:tab w:leader="none" w:pos="1005" w:val="left"/>
        </w:tabs>
        <w:numPr>
          <w:ilvl w:val="1"/>
          <w:numId w:val="264"/>
        </w:numPr>
        <w:rPr>
          <w:rFonts w:ascii="Arial" w:cs="Arial" w:eastAsia="Arial" w:hAnsi="Arial"/>
          <w:sz w:val="17"/>
          <w:szCs w:val="17"/>
          <w:color w:val="auto"/>
        </w:rPr>
      </w:pPr>
      <w:r>
        <w:rPr>
          <w:rFonts w:ascii="Arial" w:cs="Arial" w:eastAsia="Arial" w:hAnsi="Arial"/>
          <w:sz w:val="17"/>
          <w:szCs w:val="17"/>
          <w:color w:val="auto"/>
        </w:rPr>
        <w:t>as to the representations required to be made by each Person bidding or purchasing at such sale relating to such Person’s access to financial information about Borrower or any of its Subsidiaries and such Person’s intentions as to the holding of the Shares so sold for investment for its own account and not with a view to the distribution thereof; and</w:t>
      </w:r>
    </w:p>
    <w:p>
      <w:pPr>
        <w:spacing w:after="0" w:line="69" w:lineRule="exact"/>
        <w:rPr>
          <w:rFonts w:ascii="Arial" w:cs="Arial" w:eastAsia="Arial" w:hAnsi="Arial"/>
          <w:sz w:val="17"/>
          <w:szCs w:val="17"/>
          <w:color w:val="auto"/>
        </w:rPr>
      </w:pPr>
    </w:p>
    <w:p>
      <w:pPr>
        <w:ind w:left="720" w:right="20" w:hanging="4"/>
        <w:spacing w:after="0" w:line="273" w:lineRule="auto"/>
        <w:tabs>
          <w:tab w:leader="none" w:pos="1015" w:val="left"/>
        </w:tabs>
        <w:numPr>
          <w:ilvl w:val="1"/>
          <w:numId w:val="264"/>
        </w:numPr>
        <w:rPr>
          <w:rFonts w:ascii="Arial" w:cs="Arial" w:eastAsia="Arial" w:hAnsi="Arial"/>
          <w:sz w:val="17"/>
          <w:szCs w:val="17"/>
          <w:color w:val="auto"/>
        </w:rPr>
      </w:pPr>
      <w:r>
        <w:rPr>
          <w:rFonts w:ascii="Arial" w:cs="Arial" w:eastAsia="Arial" w:hAnsi="Arial"/>
          <w:sz w:val="17"/>
          <w:szCs w:val="17"/>
          <w:color w:val="auto"/>
        </w:rPr>
        <w:t>as to such other matters as Lender may, in its discretion, deem necessary or appropriate in order that such sale (notwithstanding any failure so to register) may be effected in compliance with the Bankruptcy Code and other laws affecting the enforcement of creditors’ rights and the Securities Act and all applicable state securities laws.</w:t>
      </w:r>
    </w:p>
    <w:p>
      <w:pPr>
        <w:spacing w:after="0" w:line="177" w:lineRule="exact"/>
        <w:rPr>
          <w:rFonts w:ascii="Arial" w:cs="Arial" w:eastAsia="Arial" w:hAnsi="Arial"/>
          <w:sz w:val="17"/>
          <w:szCs w:val="17"/>
          <w:color w:val="auto"/>
        </w:rPr>
      </w:pPr>
    </w:p>
    <w:p>
      <w:pPr>
        <w:ind w:firstLine="356"/>
        <w:spacing w:after="0" w:line="257" w:lineRule="auto"/>
        <w:tabs>
          <w:tab w:leader="none" w:pos="61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Borrower recognizes that Lender may be unable to effect a public sale of any or all the Shares and may be compelled to resort to one or more private sales thereof in accordance with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above. Borrower also acknowledges that any such private sale may result in prices and other terms less favorable to</w:t>
      </w:r>
    </w:p>
    <w:p>
      <w:pPr>
        <w:spacing w:after="0" w:line="20" w:lineRule="exact"/>
        <w:rPr>
          <w:sz w:val="20"/>
          <w:szCs w:val="20"/>
          <w:color w:val="auto"/>
        </w:rPr>
      </w:pPr>
      <w:r>
        <w:rPr>
          <w:sz w:val="20"/>
          <w:szCs w:val="20"/>
          <w:color w:val="auto"/>
        </w:rPr>
        <w:br w:type="column"/>
      </w:r>
    </w:p>
    <w:p>
      <w:pPr>
        <w:ind w:right="80"/>
        <w:spacing w:after="0" w:line="290" w:lineRule="auto"/>
        <w:rPr>
          <w:sz w:val="20"/>
          <w:szCs w:val="20"/>
          <w:color w:val="auto"/>
        </w:rPr>
      </w:pPr>
      <w:r>
        <w:rPr>
          <w:rFonts w:ascii="Arial" w:cs="Arial" w:eastAsia="Arial" w:hAnsi="Arial"/>
          <w:sz w:val="16"/>
          <w:szCs w:val="16"/>
          <w:color w:val="auto"/>
        </w:rPr>
        <w:t>the seller than if such sale were a public sale and, notwithstanding such circumstances, agrees that any such private sale shall not be deemed to have been made in a commercially unreasonable manner solely by virtue of such sale being private. Lender shall be under no obligation to delay a sale of any of the Shares for the period of time necessary to permit the applicable Subsidiary to register such securities for public sale under the Securities Act, or under applicable state securities laws, even if Borrower and/or the Subsidiary would agree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-1248410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1" w:lineRule="exact"/>
        <w:rPr>
          <w:sz w:val="20"/>
          <w:szCs w:val="20"/>
          <w:color w:val="auto"/>
        </w:rPr>
      </w:pPr>
    </w:p>
    <w:p>
      <w:pPr>
        <w:jc w:val="both"/>
        <w:ind w:right="320" w:firstLine="360"/>
        <w:spacing w:after="0" w:line="266" w:lineRule="auto"/>
        <w:rPr>
          <w:sz w:val="20"/>
          <w:szCs w:val="20"/>
          <w:color w:val="auto"/>
        </w:rPr>
      </w:pPr>
      <w:r>
        <w:rPr>
          <w:rFonts w:ascii="Arial" w:cs="Arial" w:eastAsia="Arial" w:hAnsi="Arial"/>
          <w:sz w:val="18"/>
          <w:szCs w:val="18"/>
          <w:b w:val="1"/>
          <w:bCs w:val="1"/>
          <w:color w:val="auto"/>
        </w:rPr>
        <w:t>7.4 Borrower’s Obligations upon Default</w:t>
      </w:r>
      <w:r>
        <w:rPr>
          <w:rFonts w:ascii="Arial" w:cs="Arial" w:eastAsia="Arial" w:hAnsi="Arial"/>
          <w:sz w:val="18"/>
          <w:szCs w:val="18"/>
          <w:color w:val="auto"/>
        </w:rPr>
        <w:t>. Upon the request of</w:t>
      </w:r>
      <w:r>
        <w:rPr>
          <w:rFonts w:ascii="Arial" w:cs="Arial" w:eastAsia="Arial" w:hAnsi="Arial"/>
          <w:sz w:val="18"/>
          <w:szCs w:val="18"/>
          <w:b w:val="1"/>
          <w:bCs w:val="1"/>
          <w:color w:val="auto"/>
        </w:rPr>
        <w:t xml:space="preserve"> </w:t>
      </w:r>
      <w:r>
        <w:rPr>
          <w:rFonts w:ascii="Arial" w:cs="Arial" w:eastAsia="Arial" w:hAnsi="Arial"/>
          <w:sz w:val="18"/>
          <w:szCs w:val="18"/>
          <w:color w:val="auto"/>
        </w:rPr>
        <w:t>Lender after the occurrence and during the continuance of an Event of Default, Borrower will:</w:t>
      </w:r>
    </w:p>
    <w:p>
      <w:pPr>
        <w:spacing w:after="0" w:line="72" w:lineRule="exact"/>
        <w:rPr>
          <w:sz w:val="20"/>
          <w:szCs w:val="20"/>
          <w:color w:val="auto"/>
        </w:rPr>
      </w:pPr>
    </w:p>
    <w:p>
      <w:pPr>
        <w:ind w:right="20" w:firstLine="354"/>
        <w:spacing w:after="0" w:line="263" w:lineRule="auto"/>
        <w:tabs>
          <w:tab w:leader="none" w:pos="615"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Assemble and make available to Lender the Collateral at such place(s) as Lender shall reasonably designate, segregating all Collateral so that each item is capable of identification; and</w:t>
      </w:r>
    </w:p>
    <w:p>
      <w:pPr>
        <w:spacing w:after="0" w:line="183" w:lineRule="exact"/>
        <w:rPr>
          <w:rFonts w:ascii="Arial" w:cs="Arial" w:eastAsia="Arial" w:hAnsi="Arial"/>
          <w:sz w:val="18"/>
          <w:szCs w:val="18"/>
          <w:b w:val="1"/>
          <w:bCs w:val="1"/>
          <w:color w:val="auto"/>
        </w:rPr>
      </w:pPr>
    </w:p>
    <w:p>
      <w:pPr>
        <w:ind w:right="200" w:firstLine="354"/>
        <w:spacing w:after="0" w:line="272" w:lineRule="auto"/>
        <w:tabs>
          <w:tab w:leader="none" w:pos="625" w:val="left"/>
        </w:tabs>
        <w:numPr>
          <w:ilvl w:val="0"/>
          <w:numId w:val="266"/>
        </w:numPr>
        <w:rPr>
          <w:rFonts w:ascii="Arial" w:cs="Arial" w:eastAsia="Arial" w:hAnsi="Arial"/>
          <w:sz w:val="17"/>
          <w:szCs w:val="17"/>
          <w:b w:val="1"/>
          <w:bCs w:val="1"/>
          <w:color w:val="auto"/>
        </w:rPr>
      </w:pPr>
      <w:r>
        <w:rPr>
          <w:rFonts w:ascii="Arial" w:cs="Arial" w:eastAsia="Arial" w:hAnsi="Arial"/>
          <w:sz w:val="17"/>
          <w:szCs w:val="17"/>
          <w:color w:val="auto"/>
        </w:rPr>
        <w:t>Subject to the rights of any lessor, permit Lender, by Lender’s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Lender for rent or other compensation for the use of Borrower’s premises.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SPECIAL COLLATERAL PROVISIONS</w:t>
      </w:r>
    </w:p>
    <w:p>
      <w:pPr>
        <w:spacing w:after="0" w:line="117"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color w:val="auto"/>
        </w:rPr>
        <w:t>8.1 Compromise and Collection</w:t>
      </w:r>
      <w:r>
        <w:rPr>
          <w:rFonts w:ascii="Arial" w:cs="Arial" w:eastAsia="Arial" w:hAnsi="Arial"/>
          <w:sz w:val="16"/>
          <w:szCs w:val="16"/>
          <w:color w:val="auto"/>
        </w:rPr>
        <w:t>. Borrower and Lender recognize</w:t>
      </w:r>
      <w:r>
        <w:rPr>
          <w:rFonts w:ascii="Arial" w:cs="Arial" w:eastAsia="Arial" w:hAnsi="Arial"/>
          <w:sz w:val="16"/>
          <w:szCs w:val="16"/>
          <w:b w:val="1"/>
          <w:bCs w:val="1"/>
          <w:color w:val="auto"/>
        </w:rPr>
        <w:t xml:space="preserve"> </w:t>
      </w:r>
      <w:r>
        <w:rPr>
          <w:rFonts w:ascii="Arial" w:cs="Arial" w:eastAsia="Arial" w:hAnsi="Arial"/>
          <w:sz w:val="16"/>
          <w:szCs w:val="16"/>
          <w:color w:val="auto"/>
        </w:rPr>
        <w:t>that setoffs, counterclaims, defenses and other claims may be asserted by 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Borrower hereby authorizes Lender, after and during the continuance of an Event of Default, to compromise with the obligor, accept in full payment of any Right to Payment such amount as Lender shall negotiate with the obligor, or abandon any Right to Payment. Any such action by Lender shall be considered commercially reasonable so long as Lender acts in good faith based on information known to it at the time it takes any such action.</w:t>
      </w:r>
    </w:p>
    <w:p>
      <w:pPr>
        <w:spacing w:after="0" w:line="164" w:lineRule="exact"/>
        <w:rPr>
          <w:sz w:val="20"/>
          <w:szCs w:val="20"/>
          <w:color w:val="auto"/>
        </w:rPr>
      </w:pPr>
    </w:p>
    <w:p>
      <w:pPr>
        <w:ind w:right="180" w:firstLine="360"/>
        <w:spacing w:after="0" w:line="282" w:lineRule="auto"/>
        <w:rPr>
          <w:sz w:val="20"/>
          <w:szCs w:val="20"/>
          <w:color w:val="auto"/>
        </w:rPr>
      </w:pPr>
      <w:r>
        <w:rPr>
          <w:rFonts w:ascii="Arial" w:cs="Arial" w:eastAsia="Arial" w:hAnsi="Arial"/>
          <w:sz w:val="18"/>
          <w:szCs w:val="18"/>
          <w:b w:val="1"/>
          <w:bCs w:val="1"/>
          <w:color w:val="auto"/>
        </w:rPr>
        <w:t>8.2 Performance of Borrower’s Obligations</w:t>
      </w:r>
      <w:r>
        <w:rPr>
          <w:rFonts w:ascii="Arial" w:cs="Arial" w:eastAsia="Arial" w:hAnsi="Arial"/>
          <w:sz w:val="18"/>
          <w:szCs w:val="18"/>
          <w:color w:val="auto"/>
        </w:rPr>
        <w:t>. Without having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do so, upon</w:t>
      </w:r>
    </w:p>
    <w:p>
      <w:pPr>
        <w:spacing w:after="0" w:line="200" w:lineRule="exact"/>
        <w:rPr>
          <w:sz w:val="20"/>
          <w:szCs w:val="20"/>
          <w:color w:val="auto"/>
        </w:rPr>
      </w:pPr>
    </w:p>
    <w:p>
      <w:pPr>
        <w:sectPr>
          <w:pgSz w:w="11900" w:h="16838" w:orient="portrait"/>
          <w:cols w:equalWidth="0" w:num="2">
            <w:col w:w="5280" w:space="340"/>
            <w:col w:w="5360"/>
          </w:cols>
          <w:pgMar w:left="440" w:top="328" w:right="479" w:bottom="1440" w:gutter="0" w:footer="0" w:header="0"/>
        </w:sectPr>
      </w:pP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80"/>
          </w:cols>
          <w:pgMar w:left="440" w:top="328" w:right="479" w:bottom="1440" w:gutter="0" w:footer="0" w:header="0"/>
          <w:type w:val="continuous"/>
        </w:sectPr>
      </w:pPr>
    </w:p>
    <w:bookmarkStart w:id="365" w:name="page366"/>
    <w:bookmarkEnd w:id="365"/>
    <w:p>
      <w:pPr>
        <w:spacing w:after="0" w:line="288" w:lineRule="auto"/>
        <w:rPr>
          <w:sz w:val="20"/>
          <w:szCs w:val="20"/>
          <w:color w:val="auto"/>
        </w:rPr>
      </w:pPr>
      <w:r>
        <w:rPr>
          <w:rFonts w:ascii="Arial" w:cs="Arial" w:eastAsia="Arial" w:hAnsi="Arial"/>
          <w:sz w:val="16"/>
          <w:szCs w:val="16"/>
          <w:color w:val="auto"/>
        </w:rPr>
        <w:t>reasonable prior notice to Borrower, Lender may perform or pay any obligation which Borrower has agreed to perform or pay under this Agreement (but has failed timely to perform or pay), including, without limitation, the payment or discharge of taxes or Liens levied or placed on or threatened against the Collateral. In so performing or paying, Lender shall determine the action to be taken and the amount necessary to discharge such obligations. Borrower shall reimburse Lender on demand for any amounts paid by Lender pursuant to this Section, which amounts shall constitute Obligations secured by the Collateral and shall bear interest from the date of demand at the Default Rate.</w:t>
      </w:r>
    </w:p>
    <w:p>
      <w:pPr>
        <w:spacing w:after="0" w:line="16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8.3 Power of Attorney</w:t>
      </w:r>
      <w:r>
        <w:rPr>
          <w:rFonts w:ascii="Arial" w:cs="Arial" w:eastAsia="Arial" w:hAnsi="Arial"/>
          <w:sz w:val="16"/>
          <w:szCs w:val="16"/>
          <w:color w:val="auto"/>
        </w:rPr>
        <w:t>. For the purpose of protecting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preserving the Collateral and Lender’s rights under this Agreement, Borrower hereby irrevocably appoints Lender, with full power of substitution, as its attorney in fact with full power and authority, after the occurrence and during the continuance of an Event of Default, to do any act which Borrower is obligated to do hereunder; to exercise such rights with respect to the Collateral as Borrower might exercise; to use such Inventory, Equipment, Fixtures or other property as Borrower might use; to enter Borrower’s premises; to give notice of Lender’s security interest in, and to collect the Collateral; and before or after Default, to the extent that Borrower has failed to do so after Lender’s request (unless an Event of Default has occurred), to execute and file in Borrower’s name any financing statements, amendments and continuation statements, account control agreements or other Security Documents necessary or desirable to create, maintain, perfect or continue the perfection of Lender’s security interests in the Collateral. Borrower hereby ratifies all that Lender shall lawfully do or cause to be done by virtue of this appointment.</w:t>
      </w:r>
    </w:p>
    <w:p>
      <w:pPr>
        <w:spacing w:after="0" w:line="390"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b w:val="1"/>
          <w:bCs w:val="1"/>
          <w:color w:val="auto"/>
        </w:rPr>
        <w:t>8.4 Authorization for Lender to Take Certain Action</w:t>
      </w:r>
      <w:r>
        <w:rPr>
          <w:rFonts w:ascii="Arial" w:cs="Arial" w:eastAsia="Arial" w:hAnsi="Arial"/>
          <w:sz w:val="17"/>
          <w:szCs w:val="17"/>
          <w:color w:val="auto"/>
        </w:rPr>
        <w:t>. The power</w:t>
      </w:r>
      <w:r>
        <w:rPr>
          <w:rFonts w:ascii="Arial" w:cs="Arial" w:eastAsia="Arial" w:hAnsi="Arial"/>
          <w:sz w:val="17"/>
          <w:szCs w:val="17"/>
          <w:b w:val="1"/>
          <w:bCs w:val="1"/>
          <w:color w:val="auto"/>
        </w:rPr>
        <w:t xml:space="preserve"> </w:t>
      </w:r>
      <w:r>
        <w:rPr>
          <w:rFonts w:ascii="Arial" w:cs="Arial" w:eastAsia="Arial" w:hAnsi="Arial"/>
          <w:sz w:val="17"/>
          <w:szCs w:val="17"/>
          <w:color w:val="auto"/>
        </w:rPr>
        <w:t>of attorney created in Section 8.3 is a power coupled with an interest and shall be irrevocable. The powers conferred on Lender hereunder are solely to protect its interests in the Collateral and shall not impose any duty upon Lender to exercise such powers. Lender shall be accountable only for amounts that it actually receives as a result of the exercise of such powers and in no event shall Lender or any of its directors, officers, employees, agents or representatives be responsible to Borrower for any act or failure to act, except for gross negligence or willful misconduct. After the occurrence and during the continuance of an Event of Default, Lender may exercise this power of attorney without notice to or assent of Borrower, in the name of Borrower, or in Lender’s own name, from time to time in Lender’s sole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discretion and at Borrower’s expense. To further carry out the terms of this Agreement, after the occurrence and during the continuance of an Event of Default,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-551180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56" w:lineRule="exact"/>
        <w:rPr>
          <w:sz w:val="20"/>
          <w:szCs w:val="20"/>
          <w:color w:val="auto"/>
        </w:rPr>
      </w:pPr>
    </w:p>
    <w:p>
      <w:pPr>
        <w:ind w:right="20" w:firstLine="354"/>
        <w:spacing w:after="0" w:line="296" w:lineRule="auto"/>
        <w:tabs>
          <w:tab w:leader="none" w:pos="615"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spacing w:after="0" w:line="161" w:lineRule="exact"/>
        <w:rPr>
          <w:rFonts w:ascii="Arial" w:cs="Arial" w:eastAsia="Arial" w:hAnsi="Arial"/>
          <w:sz w:val="16"/>
          <w:szCs w:val="16"/>
          <w:b w:val="1"/>
          <w:bCs w:val="1"/>
          <w:color w:val="auto"/>
        </w:rPr>
      </w:pPr>
    </w:p>
    <w:p>
      <w:pPr>
        <w:ind w:firstLine="354"/>
        <w:spacing w:after="0" w:line="255" w:lineRule="auto"/>
        <w:tabs>
          <w:tab w:leader="none" w:pos="62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spacing w:after="0" w:line="192" w:lineRule="exact"/>
        <w:rPr>
          <w:rFonts w:ascii="Arial" w:cs="Arial" w:eastAsia="Arial" w:hAnsi="Arial"/>
          <w:sz w:val="18"/>
          <w:szCs w:val="18"/>
          <w:b w:val="1"/>
          <w:bCs w:val="1"/>
          <w:color w:val="auto"/>
        </w:rPr>
      </w:pPr>
    </w:p>
    <w:p>
      <w:pPr>
        <w:ind w:right="220" w:firstLine="354"/>
        <w:spacing w:after="0" w:line="277" w:lineRule="auto"/>
        <w:tabs>
          <w:tab w:leader="none" w:pos="604"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Use or operate Collateral or any other property of Borrower for the purpose of preserving or liquidating Collateral.</w:t>
      </w:r>
    </w:p>
    <w:p>
      <w:pPr>
        <w:spacing w:after="0" w:line="170" w:lineRule="exact"/>
        <w:rPr>
          <w:rFonts w:ascii="Arial" w:cs="Arial" w:eastAsia="Arial" w:hAnsi="Arial"/>
          <w:sz w:val="18"/>
          <w:szCs w:val="18"/>
          <w:b w:val="1"/>
          <w:bCs w:val="1"/>
          <w:color w:val="auto"/>
        </w:rPr>
      </w:pPr>
    </w:p>
    <w:p>
      <w:pPr>
        <w:ind w:right="40" w:firstLine="354"/>
        <w:spacing w:after="0" w:line="279" w:lineRule="auto"/>
        <w:tabs>
          <w:tab w:leader="none" w:pos="625"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File any claim or take any other action or proceeding in any court of law or equity or as otherwise deemed appropriate by Lender for the purpose of collecting any and all monies due or securing any performance to be rendered with respect to the Collateral.</w:t>
      </w:r>
    </w:p>
    <w:p>
      <w:pPr>
        <w:spacing w:after="0" w:line="171" w:lineRule="exact"/>
        <w:rPr>
          <w:rFonts w:ascii="Arial" w:cs="Arial" w:eastAsia="Arial" w:hAnsi="Arial"/>
          <w:sz w:val="17"/>
          <w:szCs w:val="17"/>
          <w:b w:val="1"/>
          <w:bCs w:val="1"/>
          <w:color w:val="auto"/>
        </w:rPr>
      </w:pPr>
    </w:p>
    <w:p>
      <w:pPr>
        <w:ind w:right="60" w:firstLine="354"/>
        <w:spacing w:after="0" w:line="273" w:lineRule="auto"/>
        <w:tabs>
          <w:tab w:leader="none" w:pos="604" w:val="left"/>
        </w:tabs>
        <w:numPr>
          <w:ilvl w:val="0"/>
          <w:numId w:val="267"/>
        </w:numPr>
        <w:rPr>
          <w:rFonts w:ascii="Arial" w:cs="Arial" w:eastAsia="Arial" w:hAnsi="Arial"/>
          <w:sz w:val="17"/>
          <w:szCs w:val="17"/>
          <w:b w:val="1"/>
          <w:bCs w:val="1"/>
          <w:color w:val="auto"/>
        </w:rPr>
      </w:pPr>
      <w:r>
        <w:rPr>
          <w:rFonts w:ascii="Arial" w:cs="Arial" w:eastAsia="Arial" w:hAnsi="Arial"/>
          <w:sz w:val="17"/>
          <w:szCs w:val="17"/>
          <w:color w:val="auto"/>
        </w:rPr>
        <w:t>Commence, prosecute or defend any suits, actions or proceedings or as otherwise deemed appropriate by Lender for the purpose of protecting or collecting the Collateral. In furtherance of this right, upon the occurrence and during the continuance of an Event of Default, Lender may apply for the appointment of a receiver or similar official to operate Borrower’s business.</w:t>
      </w:r>
    </w:p>
    <w:p>
      <w:pPr>
        <w:spacing w:after="0" w:line="177" w:lineRule="exact"/>
        <w:rPr>
          <w:rFonts w:ascii="Arial" w:cs="Arial" w:eastAsia="Arial" w:hAnsi="Arial"/>
          <w:sz w:val="17"/>
          <w:szCs w:val="17"/>
          <w:b w:val="1"/>
          <w:bCs w:val="1"/>
          <w:color w:val="auto"/>
        </w:rPr>
      </w:pPr>
    </w:p>
    <w:p>
      <w:pPr>
        <w:ind w:firstLine="354"/>
        <w:spacing w:after="0" w:line="296" w:lineRule="auto"/>
        <w:tabs>
          <w:tab w:leader="none" w:pos="585"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Prepare, adjust, execute, deliver and receive payment under insurance claims, and collect and receive payment of and endorse any instrument in payment of loss or returned premiums or any other insurance refund or return, and apply such amounts at Lender’s sole discretion, toward repayment of the Obligations or replacement of the Collateral.</w:t>
      </w:r>
    </w:p>
    <w:p>
      <w:pPr>
        <w:spacing w:after="0" w:line="157" w:lineRule="exact"/>
        <w:rPr>
          <w:sz w:val="20"/>
          <w:szCs w:val="20"/>
          <w:color w:val="auto"/>
        </w:rPr>
      </w:pPr>
    </w:p>
    <w:p>
      <w:pPr>
        <w:ind w:right="100" w:firstLine="360"/>
        <w:spacing w:after="0" w:line="256" w:lineRule="auto"/>
        <w:rPr>
          <w:sz w:val="20"/>
          <w:szCs w:val="20"/>
          <w:color w:val="auto"/>
        </w:rPr>
      </w:pPr>
      <w:r>
        <w:rPr>
          <w:rFonts w:ascii="Arial" w:cs="Arial" w:eastAsia="Arial" w:hAnsi="Arial"/>
          <w:sz w:val="18"/>
          <w:szCs w:val="18"/>
          <w:b w:val="1"/>
          <w:bCs w:val="1"/>
          <w:color w:val="auto"/>
        </w:rPr>
        <w:t>8.5 Application of Proceeds</w:t>
      </w:r>
      <w:r>
        <w:rPr>
          <w:rFonts w:ascii="Arial" w:cs="Arial" w:eastAsia="Arial" w:hAnsi="Arial"/>
          <w:sz w:val="18"/>
          <w:szCs w:val="18"/>
          <w:color w:val="auto"/>
        </w:rPr>
        <w:t>. Any Proceeds and other monies 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received by Lender pursuant to the terms of this Agreement or any Loan Document may be applied by Lender first to the payment of expenses of collection, including without limitation reasonable attorneys’ fees, and then to the payment of the Obligations in such order of application as Lender may elect.</w:t>
      </w:r>
    </w:p>
    <w:p>
      <w:pPr>
        <w:spacing w:after="0" w:line="200" w:lineRule="exact"/>
        <w:rPr>
          <w:sz w:val="20"/>
          <w:szCs w:val="20"/>
          <w:color w:val="auto"/>
        </w:rPr>
      </w:pPr>
    </w:p>
    <w:p>
      <w:pPr>
        <w:sectPr>
          <w:pgSz w:w="11900" w:h="16838" w:orient="portrait"/>
          <w:cols w:equalWidth="0" w:num="2">
            <w:col w:w="5260" w:space="360"/>
            <w:col w:w="5380"/>
          </w:cols>
          <w:pgMar w:left="440" w:top="328" w:right="459" w:bottom="1440" w:gutter="0" w:footer="0" w:header="0"/>
        </w:sectPr>
      </w:pP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00"/>
          </w:cols>
          <w:pgMar w:left="440" w:top="328" w:right="459" w:bottom="1440" w:gutter="0" w:footer="0" w:header="0"/>
          <w:type w:val="continuous"/>
        </w:sectPr>
      </w:pPr>
    </w:p>
    <w:bookmarkStart w:id="366" w:name="page367"/>
    <w:bookmarkEnd w:id="366"/>
    <w:p>
      <w:pPr>
        <w:ind w:right="80" w:firstLine="360"/>
        <w:spacing w:after="0" w:line="258" w:lineRule="auto"/>
        <w:rPr>
          <w:sz w:val="20"/>
          <w:szCs w:val="20"/>
          <w:color w:val="auto"/>
        </w:rPr>
      </w:pPr>
      <w:r>
        <w:rPr>
          <w:rFonts w:ascii="Arial" w:cs="Arial" w:eastAsia="Arial" w:hAnsi="Arial"/>
          <w:sz w:val="18"/>
          <w:szCs w:val="18"/>
          <w:b w:val="1"/>
          <w:bCs w:val="1"/>
          <w:color w:val="auto"/>
        </w:rPr>
        <w:t>8.6 Deficiency</w:t>
      </w:r>
      <w:r>
        <w:rPr>
          <w:rFonts w:ascii="Arial" w:cs="Arial" w:eastAsia="Arial" w:hAnsi="Arial"/>
          <w:sz w:val="18"/>
          <w:szCs w:val="18"/>
          <w:color w:val="auto"/>
        </w:rPr>
        <w:t>. If the Proceeds of any disposition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are insufficient to cover all costs and expenses of such sale and the payment in full of all the Obligations, plus all other sums required to be expended or distributed by Lender, then Borrower shall be liable for any such deficiency.</w:t>
      </w:r>
    </w:p>
    <w:p>
      <w:pPr>
        <w:spacing w:after="0" w:line="183" w:lineRule="exact"/>
        <w:rPr>
          <w:sz w:val="20"/>
          <w:szCs w:val="20"/>
          <w:color w:val="auto"/>
        </w:rPr>
      </w:pPr>
    </w:p>
    <w:p>
      <w:pPr>
        <w:ind w:right="20" w:firstLine="360"/>
        <w:spacing w:after="0" w:line="292" w:lineRule="auto"/>
        <w:rPr>
          <w:sz w:val="20"/>
          <w:szCs w:val="20"/>
          <w:color w:val="auto"/>
        </w:rPr>
      </w:pPr>
      <w:r>
        <w:rPr>
          <w:rFonts w:ascii="Arial" w:cs="Arial" w:eastAsia="Arial" w:hAnsi="Arial"/>
          <w:sz w:val="16"/>
          <w:szCs w:val="16"/>
          <w:b w:val="1"/>
          <w:bCs w:val="1"/>
          <w:color w:val="auto"/>
        </w:rPr>
        <w:t>8.7 Lender Transfer</w:t>
      </w:r>
      <w:r>
        <w:rPr>
          <w:rFonts w:ascii="Arial" w:cs="Arial" w:eastAsia="Arial" w:hAnsi="Arial"/>
          <w:sz w:val="16"/>
          <w:szCs w:val="16"/>
          <w:color w:val="auto"/>
        </w:rPr>
        <w:t>. Upon the transfer of all or any part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Lender may transfer all or part of the Collateral and shall be fully discharged thereafter from all liability and responsibility with respect to such Collateral so transferred, and the transferee shall be vested with all the rights and powers of Lender hereunder with respect to such Collateral so transferred, but with respect to any Collateral not so transferred, Lender shall retain all rights and powers hereby given.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8.8 Lender’s Duties</w:t>
      </w:r>
      <w:r>
        <w:rPr>
          <w:rFonts w:ascii="Arial" w:cs="Arial" w:eastAsia="Arial" w:hAnsi="Arial"/>
          <w:sz w:val="18"/>
          <w:szCs w:val="18"/>
          <w:color w:val="auto"/>
        </w:rPr>
        <w:t>.</w:t>
      </w:r>
    </w:p>
    <w:p>
      <w:pPr>
        <w:spacing w:after="0" w:line="121" w:lineRule="exact"/>
        <w:rPr>
          <w:sz w:val="20"/>
          <w:szCs w:val="20"/>
          <w:color w:val="auto"/>
        </w:rPr>
      </w:pPr>
    </w:p>
    <w:p>
      <w:pPr>
        <w:ind w:firstLine="356"/>
        <w:spacing w:after="0" w:line="268" w:lineRule="auto"/>
        <w:tabs>
          <w:tab w:leader="none" w:pos="615"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Lender shall use reasonable care in the custody and preservation of any Collateral in its possession. Without limitation on other conduct which may be considered the exercise of reasonable care, Lender shall be deemed to have exercised reasonable care in the custody and preservation of such Collateral if such Collateral is accorded treatment substantially equal to that which Lender accords its own property, it being understood that Lender shall not have any responsibility for ascertaining or taking action with respect to calls, conversions, exchanges, maturities, declining value, tenders or other matters relative to any Collateral, regardless of whether Lender has or is deemed to have knowledge of such matters; or taking any necessary steps to preserve any rights against any Person with respect to any Collateral. Under no circumstances shall Lender be responsible for any injury or loss to the Collateral, or any part thereof, arising from any cause beyond the reasonable control of Lender.</w:t>
      </w:r>
    </w:p>
    <w:p>
      <w:pPr>
        <w:spacing w:after="0" w:line="181" w:lineRule="exact"/>
        <w:rPr>
          <w:rFonts w:ascii="Arial" w:cs="Arial" w:eastAsia="Arial" w:hAnsi="Arial"/>
          <w:sz w:val="17"/>
          <w:szCs w:val="17"/>
          <w:b w:val="1"/>
          <w:bCs w:val="1"/>
          <w:color w:val="auto"/>
        </w:rPr>
      </w:pPr>
    </w:p>
    <w:p>
      <w:pPr>
        <w:ind w:firstLine="356"/>
        <w:spacing w:after="0" w:line="279" w:lineRule="auto"/>
        <w:tabs>
          <w:tab w:leader="none" w:pos="625"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Lender may at any time deliver the Collateral or any part thereof to Borrower and the receipt of Borrower shall be a complete and full acquittance for the Collateral so delivered, and Lender shall thereafter be discharged from any liability or responsibility therefor.</w:t>
      </w:r>
    </w:p>
    <w:p>
      <w:pPr>
        <w:spacing w:after="0" w:line="171" w:lineRule="exact"/>
        <w:rPr>
          <w:rFonts w:ascii="Arial" w:cs="Arial" w:eastAsia="Arial" w:hAnsi="Arial"/>
          <w:sz w:val="17"/>
          <w:szCs w:val="17"/>
          <w:b w:val="1"/>
          <w:bCs w:val="1"/>
          <w:color w:val="auto"/>
        </w:rPr>
      </w:pPr>
    </w:p>
    <w:p>
      <w:pPr>
        <w:ind w:right="300" w:firstLine="356"/>
        <w:spacing w:after="0" w:line="301" w:lineRule="auto"/>
        <w:tabs>
          <w:tab w:leader="none" w:pos="604" w:val="left"/>
        </w:tabs>
        <w:numPr>
          <w:ilvl w:val="0"/>
          <w:numId w:val="268"/>
        </w:numPr>
        <w:rPr>
          <w:rFonts w:ascii="Arial" w:cs="Arial" w:eastAsia="Arial" w:hAnsi="Arial"/>
          <w:sz w:val="16"/>
          <w:szCs w:val="16"/>
          <w:b w:val="1"/>
          <w:bCs w:val="1"/>
          <w:color w:val="auto"/>
        </w:rPr>
      </w:pPr>
      <w:r>
        <w:rPr>
          <w:rFonts w:ascii="Arial" w:cs="Arial" w:eastAsia="Arial" w:hAnsi="Arial"/>
          <w:sz w:val="16"/>
          <w:szCs w:val="16"/>
          <w:color w:val="auto"/>
        </w:rPr>
        <w:t>Neither Lender, nor any of its directors, officers, employees, agents, attorneys or any other person affiliated with or representing Lender shall be liable for any claims, demands, losses or damages, of any kind whatsoever, made, claimed, incurred or</w:t>
      </w:r>
    </w:p>
    <w:p>
      <w:pPr>
        <w:spacing w:after="0" w:line="20" w:lineRule="exact"/>
        <w:rPr>
          <w:sz w:val="20"/>
          <w:szCs w:val="20"/>
          <w:color w:val="auto"/>
        </w:rPr>
      </w:pPr>
      <w:r>
        <w:rPr>
          <w:sz w:val="20"/>
          <w:szCs w:val="20"/>
          <w:color w:val="auto"/>
        </w:rPr>
        <w:br w:type="column"/>
      </w:r>
    </w:p>
    <w:p>
      <w:pPr>
        <w:jc w:val="both"/>
        <w:ind w:left="200" w:right="80"/>
        <w:spacing w:after="0" w:line="311" w:lineRule="auto"/>
        <w:rPr>
          <w:sz w:val="20"/>
          <w:szCs w:val="20"/>
          <w:color w:val="auto"/>
        </w:rPr>
      </w:pPr>
      <w:r>
        <w:rPr>
          <w:rFonts w:ascii="Arial" w:cs="Arial" w:eastAsia="Arial" w:hAnsi="Arial"/>
          <w:sz w:val="16"/>
          <w:szCs w:val="16"/>
          <w:color w:val="auto"/>
        </w:rPr>
        <w:t>suffered by Borrower or any other party through the ordinary negligence of Lender, or any of its directors, officers, employees, agents, attorneys or any other person affiliated with or representing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-572770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5" w:lineRule="exact"/>
        <w:rPr>
          <w:sz w:val="20"/>
          <w:szCs w:val="20"/>
          <w:color w:val="auto"/>
        </w:rPr>
      </w:pPr>
    </w:p>
    <w:p>
      <w:pPr>
        <w:ind w:left="200" w:right="20" w:firstLine="360"/>
        <w:spacing w:after="0" w:line="284" w:lineRule="auto"/>
        <w:rPr>
          <w:sz w:val="20"/>
          <w:szCs w:val="20"/>
          <w:color w:val="auto"/>
        </w:rPr>
      </w:pPr>
      <w:r>
        <w:rPr>
          <w:rFonts w:ascii="Arial" w:cs="Arial" w:eastAsia="Arial" w:hAnsi="Arial"/>
          <w:sz w:val="16"/>
          <w:szCs w:val="16"/>
          <w:b w:val="1"/>
          <w:bCs w:val="1"/>
          <w:color w:val="auto"/>
        </w:rPr>
        <w:t>8.9 Termination of Security Interests and Loan Documents</w:t>
      </w:r>
      <w:r>
        <w:rPr>
          <w:rFonts w:ascii="Arial" w:cs="Arial" w:eastAsia="Arial" w:hAnsi="Arial"/>
          <w:sz w:val="16"/>
          <w:szCs w:val="16"/>
          <w:color w:val="auto"/>
        </w:rPr>
        <w:t>.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in full of the Obligations (other than inchoate indemnity obligations) and satisfaction of all Borrower’s obligations (other than inchoate indemnity obligations) under this Agreement and the other Loan Documents (other than any Warrant), and if Lender has no further obligations under its Commitment, the security interest granted hereby shall terminate, all rights to the Collateral shall revert to Borrower and this Agreement and the other Loan Documents shall terminate; provided that</w:t>
      </w:r>
    </w:p>
    <w:p>
      <w:pPr>
        <w:spacing w:after="0" w:line="5" w:lineRule="exact"/>
        <w:rPr>
          <w:sz w:val="20"/>
          <w:szCs w:val="20"/>
          <w:color w:val="auto"/>
        </w:rPr>
      </w:pPr>
    </w:p>
    <w:p>
      <w:pPr>
        <w:ind w:left="200" w:hanging="6"/>
        <w:spacing w:after="0" w:line="266" w:lineRule="auto"/>
        <w:tabs>
          <w:tab w:leader="none" w:pos="41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those obligations, liabilities, covenants and terms that are expressly specified herein and in any other Loan Document as surviving that respective agreement’s termination, including without limitation, Borrower’s indemnity obligations set forth in this Agreement, shall continue to survive notwithstanding anything to the contrary set forth herein, and (ii) nothing set forth herein shall affect or be deemed to affect those obligations, liabilities, covenants and terms set forth in any warrant instrument issued to Lender’s parent company or set forth in any other equity securities or convertible debt securities of Borrower acquired by Lender in connection with this Agreement. Upon any such termination, Lender shall return all Collateral in its possession or control to Borrower and, at Borrower’s expense, execute and deliver to Borrower such documents as Borrower shall reasonably request to evidence such termination. In connection therewith, upon Lender’s request, Borrower agrees to provide Lender with such information as may be reasonably requested by Lender as to whether the securities issuable upon the exercise of any Warrant issued in connection with this Agreement constitute “qualified small business stock” for purposes of Section 1202(c) of the Internal Revenue Code and Section 18152.5 of the California Revenue and Taxation Code.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9 - GENERAL PROVISIONS</w:t>
      </w:r>
    </w:p>
    <w:p>
      <w:pPr>
        <w:spacing w:after="0" w:line="117" w:lineRule="exact"/>
        <w:rPr>
          <w:sz w:val="20"/>
          <w:szCs w:val="20"/>
          <w:color w:val="auto"/>
        </w:rPr>
      </w:pPr>
    </w:p>
    <w:p>
      <w:pPr>
        <w:ind w:left="200" w:right="120" w:firstLine="360"/>
        <w:spacing w:after="0" w:line="254" w:lineRule="auto"/>
        <w:rPr>
          <w:sz w:val="20"/>
          <w:szCs w:val="20"/>
          <w:color w:val="auto"/>
        </w:rPr>
      </w:pPr>
      <w:r>
        <w:rPr>
          <w:rFonts w:ascii="Arial" w:cs="Arial" w:eastAsia="Arial" w:hAnsi="Arial"/>
          <w:sz w:val="18"/>
          <w:szCs w:val="18"/>
          <w:b w:val="1"/>
          <w:bCs w:val="1"/>
          <w:color w:val="auto"/>
        </w:rPr>
        <w:t>9.1 Notices</w:t>
      </w:r>
      <w:r>
        <w:rPr>
          <w:rFonts w:ascii="Arial" w:cs="Arial" w:eastAsia="Arial" w:hAnsi="Arial"/>
          <w:sz w:val="18"/>
          <w:szCs w:val="18"/>
          <w:color w:val="auto"/>
        </w:rPr>
        <w:t>. Any notice given by any party under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shall be in writing and personally delivered, sent by overnight courier, or United States mail, postage prepaid, or sent by facsimile, or other authenticated message, charges prepaid, to the other party’s or parties’ addresses shown on the Supplement. Each party may change the address or facsimile number to which notices, requests and other communications are to be sent by giving written notice of such change to each other party. Notice given by hand delivery shall be deemed received on the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5280" w:space="140"/>
            <w:col w:w="5580"/>
          </w:cols>
          <w:pgMar w:left="440" w:top="324" w:right="459" w:bottom="1440" w:gutter="0" w:footer="0" w:header="0"/>
        </w:sectPr>
      </w:pPr>
    </w:p>
    <w:bookmarkStart w:id="367" w:name="page368"/>
    <w:bookmarkEnd w:id="367"/>
    <w:p>
      <w:pPr>
        <w:spacing w:after="0" w:line="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delivered; if sent by overnight courier, on the next Business Day after delivery to the courier service; if by first class mail, on the third Business Day after deposit in the U.S. Mail; and if by facsimile, on the date of transmission.</w:t>
      </w:r>
    </w:p>
    <w:p>
      <w:pPr>
        <w:spacing w:after="0" w:line="183"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b w:val="1"/>
          <w:bCs w:val="1"/>
          <w:color w:val="auto"/>
        </w:rPr>
        <w:t>9.2 Binding Effect</w:t>
      </w:r>
      <w:r>
        <w:rPr>
          <w:rFonts w:ascii="Arial" w:cs="Arial" w:eastAsia="Arial" w:hAnsi="Arial"/>
          <w:sz w:val="16"/>
          <w:szCs w:val="16"/>
          <w:color w:val="auto"/>
        </w:rPr>
        <w:t>. The Loan Documents shall be binding upon</w:t>
      </w:r>
      <w:r>
        <w:rPr>
          <w:rFonts w:ascii="Arial" w:cs="Arial" w:eastAsia="Arial" w:hAnsi="Arial"/>
          <w:sz w:val="16"/>
          <w:szCs w:val="16"/>
          <w:b w:val="1"/>
          <w:bCs w:val="1"/>
          <w:color w:val="auto"/>
        </w:rPr>
        <w:t xml:space="preserve"> </w:t>
      </w:r>
      <w:r>
        <w:rPr>
          <w:rFonts w:ascii="Arial" w:cs="Arial" w:eastAsia="Arial" w:hAnsi="Arial"/>
          <w:sz w:val="16"/>
          <w:szCs w:val="16"/>
          <w:color w:val="auto"/>
        </w:rPr>
        <w:t>and inure to the benefit of Borrower and Lender and their respective successors and assigns; provided, however, that Borrower may not assign or transfer Borrower’s rights or obligations under any Loan Document. Lender reserves the right to sell, assign, transfer, negotiate or grant participations in all or any part of, or any interest in, Lender’s rights and obligations under the Loan Documents provided that, so long as no Event of Default has occurred and is continuing, Lender shall not assign any of such rights or obligations to any competitor of Borrower. In connection with any of the foregoing, Lender may disclose all documents and information which Lender now or hereafter may have relating to the Loans, Borrower, or its business, provided that any Person who receives such information shall have agreed in writing in advance to maintain the confidentiality of such information on terms no less favorable to Borrower than are set forth in Section 9.13 hereof.</w:t>
      </w:r>
    </w:p>
    <w:p>
      <w:pPr>
        <w:spacing w:after="0" w:line="167" w:lineRule="exact"/>
        <w:rPr>
          <w:sz w:val="20"/>
          <w:szCs w:val="20"/>
          <w:color w:val="auto"/>
        </w:rPr>
      </w:pPr>
    </w:p>
    <w:p>
      <w:pPr>
        <w:ind w:right="60" w:firstLine="360"/>
        <w:spacing w:after="0" w:line="268" w:lineRule="auto"/>
        <w:rPr>
          <w:sz w:val="20"/>
          <w:szCs w:val="20"/>
          <w:color w:val="auto"/>
        </w:rPr>
      </w:pPr>
      <w:r>
        <w:rPr>
          <w:rFonts w:ascii="Arial" w:cs="Arial" w:eastAsia="Arial" w:hAnsi="Arial"/>
          <w:sz w:val="17"/>
          <w:szCs w:val="17"/>
          <w:b w:val="1"/>
          <w:bCs w:val="1"/>
          <w:color w:val="auto"/>
        </w:rPr>
        <w:t>9.3 No Waiver</w:t>
      </w:r>
      <w:r>
        <w:rPr>
          <w:rFonts w:ascii="Arial" w:cs="Arial" w:eastAsia="Arial" w:hAnsi="Arial"/>
          <w:sz w:val="17"/>
          <w:szCs w:val="17"/>
          <w:color w:val="auto"/>
        </w:rPr>
        <w:t>. Any waiver, consent or approval by Lender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or breach of any provision, condition, or covenant of any Loan Document must be in writing and shall be effective only to the extent set forth in writing. No waiver of any breach or default shall be deemed a waiver of any later breach or default of the same or any other provision of any Loan Document. No failure or delay on the part of Lender in exercising any power, right, or privilege under any Loan Document shall operate as a waiver thereof, and no single or partial exercise of any such power, right, or privilege shall preclude any further exercise thereof or the exercise of any other power, right or privilege. Lender has the right at its sole option to continue to accept interest and/or principal payments due under the Loan Documents after default, and such acceptance shall not constitute a waiver of said default or an extension of the maturity of any Loan unless Lender agrees otherwise in writing.</w:t>
      </w:r>
    </w:p>
    <w:p>
      <w:pPr>
        <w:spacing w:after="0" w:line="182" w:lineRule="exact"/>
        <w:rPr>
          <w:sz w:val="20"/>
          <w:szCs w:val="20"/>
          <w:color w:val="auto"/>
        </w:rPr>
      </w:pPr>
    </w:p>
    <w:p>
      <w:pPr>
        <w:ind w:right="100" w:firstLine="360"/>
        <w:spacing w:after="0" w:line="289" w:lineRule="auto"/>
        <w:rPr>
          <w:sz w:val="20"/>
          <w:szCs w:val="20"/>
          <w:color w:val="auto"/>
        </w:rPr>
      </w:pPr>
      <w:r>
        <w:rPr>
          <w:rFonts w:ascii="Arial" w:cs="Arial" w:eastAsia="Arial" w:hAnsi="Arial"/>
          <w:sz w:val="17"/>
          <w:szCs w:val="17"/>
          <w:b w:val="1"/>
          <w:bCs w:val="1"/>
          <w:color w:val="auto"/>
        </w:rPr>
        <w:t>9.4 Rights Cumulative</w:t>
      </w:r>
      <w:r>
        <w:rPr>
          <w:rFonts w:ascii="Arial" w:cs="Arial" w:eastAsia="Arial" w:hAnsi="Arial"/>
          <w:sz w:val="17"/>
          <w:szCs w:val="17"/>
          <w:color w:val="auto"/>
        </w:rPr>
        <w:t>. All rights and remedies existing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are cumulative to, and not exclusive of, any other rights or remedies available under contract or applicable law.</w:t>
      </w:r>
    </w:p>
    <w:p>
      <w:pPr>
        <w:spacing w:after="0" w:line="158" w:lineRule="exact"/>
        <w:rPr>
          <w:sz w:val="20"/>
          <w:szCs w:val="20"/>
          <w:color w:val="auto"/>
        </w:rPr>
      </w:pPr>
    </w:p>
    <w:p>
      <w:pPr>
        <w:ind w:right="20" w:firstLine="360"/>
        <w:spacing w:after="0" w:line="256" w:lineRule="auto"/>
        <w:rPr>
          <w:sz w:val="20"/>
          <w:szCs w:val="20"/>
          <w:color w:val="auto"/>
        </w:rPr>
      </w:pPr>
      <w:r>
        <w:rPr>
          <w:rFonts w:ascii="Arial" w:cs="Arial" w:eastAsia="Arial" w:hAnsi="Arial"/>
          <w:sz w:val="18"/>
          <w:szCs w:val="18"/>
          <w:b w:val="1"/>
          <w:bCs w:val="1"/>
          <w:color w:val="auto"/>
        </w:rPr>
        <w:t>9.5 Unenforceable Provisions</w:t>
      </w:r>
      <w:r>
        <w:rPr>
          <w:rFonts w:ascii="Arial" w:cs="Arial" w:eastAsia="Arial" w:hAnsi="Arial"/>
          <w:sz w:val="18"/>
          <w:szCs w:val="18"/>
          <w:color w:val="auto"/>
        </w:rPr>
        <w:t>. Any provision of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executed by Borrower which is prohibited or unenforceable in any jurisdiction, shall be so only as to such jurisdiction and only to the extent of such prohibition or unenforceability, but all the remaining provisions of any such Loan Document shall remain valid and enforceable.</w:t>
      </w:r>
    </w:p>
    <w:p>
      <w:pPr>
        <w:spacing w:after="0" w:line="20" w:lineRule="exact"/>
        <w:rPr>
          <w:sz w:val="20"/>
          <w:szCs w:val="20"/>
          <w:color w:val="auto"/>
        </w:rPr>
      </w:pPr>
      <w:r>
        <w:rPr>
          <w:sz w:val="20"/>
          <w:szCs w:val="20"/>
          <w:color w:val="auto"/>
        </w:rPr>
        <w:br w:type="column"/>
      </w:r>
    </w:p>
    <w:p>
      <w:pPr>
        <w:ind w:left="6" w:right="260" w:firstLine="360"/>
        <w:spacing w:after="0" w:line="289" w:lineRule="auto"/>
        <w:rPr>
          <w:sz w:val="20"/>
          <w:szCs w:val="20"/>
          <w:color w:val="auto"/>
        </w:rPr>
      </w:pPr>
      <w:r>
        <w:rPr>
          <w:rFonts w:ascii="Arial" w:cs="Arial" w:eastAsia="Arial" w:hAnsi="Arial"/>
          <w:sz w:val="16"/>
          <w:szCs w:val="16"/>
          <w:b w:val="1"/>
          <w:bCs w:val="1"/>
          <w:color w:val="auto"/>
        </w:rPr>
        <w:t>9.6 Accounting Terms</w:t>
      </w:r>
      <w:r>
        <w:rPr>
          <w:rFonts w:ascii="Arial" w:cs="Arial" w:eastAsia="Arial" w:hAnsi="Arial"/>
          <w:sz w:val="16"/>
          <w:szCs w:val="16"/>
          <w:color w:val="auto"/>
        </w:rPr>
        <w:t>. Except as otherwise provided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accounting terms and financial covenants and information shall be determined and prepared in accordance with GAAP (except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-538480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 w:hanging="6"/>
        <w:spacing w:after="0" w:line="283" w:lineRule="auto"/>
        <w:tabs>
          <w:tab w:leader="none" w:pos="221" w:val="left"/>
        </w:tabs>
        <w:numPr>
          <w:ilvl w:val="0"/>
          <w:numId w:val="270"/>
        </w:numPr>
        <w:rPr>
          <w:rFonts w:ascii="Arial" w:cs="Arial" w:eastAsia="Arial" w:hAnsi="Arial"/>
          <w:sz w:val="16"/>
          <w:szCs w:val="16"/>
          <w:color w:val="auto"/>
        </w:rPr>
      </w:pPr>
      <w:r>
        <w:rPr>
          <w:rFonts w:ascii="Arial" w:cs="Arial" w:eastAsia="Arial" w:hAnsi="Arial"/>
          <w:sz w:val="16"/>
          <w:szCs w:val="16"/>
          <w:color w:val="auto"/>
        </w:rPr>
        <w:t>non-compliance with FAS 123R in monthly reporting and (ii) with respect to unaudited financial statements for the absence of footnotes and subject to year-end audit adjustments, provided that if at any time any change in GAAP would affect the computation of any covenant requirement set forth in any of the Loan Documents, and either Borrower or Lender shall so request, Borrower and Lender shall negotiate in good faith to amend such ratio or covenant requirement to preserve the original intent thereof in light of such change in GAAP; provided, further, that, until so amended, such covenant requirement shall continue to be computed in accordance with GAAP prior to such change therein.)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(other than for purposes of the delivery of financial statements prepared in accordance with GAAP)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w:t>
      </w:r>
    </w:p>
    <w:p>
      <w:pPr>
        <w:spacing w:after="0" w:line="394" w:lineRule="exact"/>
        <w:rPr>
          <w:sz w:val="20"/>
          <w:szCs w:val="20"/>
          <w:color w:val="auto"/>
        </w:rPr>
      </w:pPr>
    </w:p>
    <w:p>
      <w:pPr>
        <w:ind w:left="6" w:right="80" w:firstLine="360"/>
        <w:spacing w:after="0" w:line="284" w:lineRule="auto"/>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color w:val="auto"/>
        </w:rPr>
        <w:t>Indemnification; Exculpation. Borrower shall pay and protect,</w:t>
      </w:r>
      <w:r>
        <w:rPr>
          <w:rFonts w:ascii="Arial" w:cs="Arial" w:eastAsia="Arial" w:hAnsi="Arial"/>
          <w:sz w:val="16"/>
          <w:szCs w:val="16"/>
          <w:b w:val="1"/>
          <w:bCs w:val="1"/>
          <w:color w:val="auto"/>
        </w:rPr>
        <w:t xml:space="preserve"> </w:t>
      </w:r>
      <w:r>
        <w:rPr>
          <w:rFonts w:ascii="Arial" w:cs="Arial" w:eastAsia="Arial" w:hAnsi="Arial"/>
          <w:sz w:val="16"/>
          <w:szCs w:val="16"/>
          <w:color w:val="auto"/>
        </w:rPr>
        <w:t>defend and indemnify Lender and Lender’s employees, officers, directors, shareholders, affiliates, correspondents, agents and representatives (other than Lender, collectively “Agents”) against, and hold Lender and each such Agent harmless from, all claims, actions, proceedings, liabilities, damages, losses, expenses (including, without limitation, attorneys’ fees and costs) and other amounts incurred by Lender and each such Agent, arising from (i) the matters contemplated by this Agreement or any other Loan Documents, (ii) any dispute between Borrower and a third party, or</w:t>
      </w:r>
    </w:p>
    <w:p>
      <w:pPr>
        <w:spacing w:after="0" w:line="3" w:lineRule="exact"/>
        <w:rPr>
          <w:sz w:val="20"/>
          <w:szCs w:val="20"/>
          <w:color w:val="auto"/>
        </w:rPr>
      </w:pPr>
    </w:p>
    <w:p>
      <w:pPr>
        <w:ind w:left="6" w:right="80" w:hanging="6"/>
        <w:spacing w:after="0" w:line="290" w:lineRule="auto"/>
        <w:tabs>
          <w:tab w:leader="none" w:pos="321"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any contention that Borrower has failed to comply with any law, rule, regulation, order or directive applicable to Borrower’s business; provided, however, that this indemnification shall not apply to any of the foregoing to the extent incurred as the result of Lender’s or any Agent’s gross negligence or willful misconduct. This indemnification shall survive the payment and satisfaction of all of Borrower’s Obligations to Lender.</w:t>
      </w:r>
    </w:p>
    <w:p>
      <w:pPr>
        <w:spacing w:after="0" w:line="1468" w:lineRule="exact"/>
        <w:rPr>
          <w:sz w:val="20"/>
          <w:szCs w:val="20"/>
          <w:color w:val="auto"/>
        </w:rPr>
      </w:pPr>
    </w:p>
    <w:p>
      <w:pPr>
        <w:sectPr>
          <w:pgSz w:w="11900" w:h="16838" w:orient="portrait"/>
          <w:cols w:equalWidth="0" w:num="2">
            <w:col w:w="5280" w:space="334"/>
            <w:col w:w="5406"/>
          </w:cols>
          <w:pgMar w:left="440" w:top="324" w:right="4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20"/>
          </w:cols>
          <w:pgMar w:left="440" w:top="324" w:right="439" w:bottom="1440" w:gutter="0" w:footer="0" w:header="0"/>
          <w:type w:val="continuous"/>
        </w:sectPr>
      </w:pPr>
    </w:p>
    <w:bookmarkStart w:id="368" w:name="page369"/>
    <w:bookmarkEnd w:id="368"/>
    <w:p>
      <w:pPr>
        <w:ind w:left="4" w:firstLine="360"/>
        <w:spacing w:after="0" w:line="283" w:lineRule="auto"/>
        <w:rPr>
          <w:sz w:val="20"/>
          <w:szCs w:val="20"/>
          <w:color w:val="auto"/>
        </w:rPr>
      </w:pPr>
      <w:r>
        <w:rPr>
          <w:rFonts w:ascii="Arial" w:cs="Arial" w:eastAsia="Arial" w:hAnsi="Arial"/>
          <w:sz w:val="16"/>
          <w:szCs w:val="16"/>
          <w:b w:val="1"/>
          <w:bCs w:val="1"/>
          <w:color w:val="auto"/>
        </w:rPr>
        <w:t>9.8 Reimbursement</w:t>
      </w:r>
      <w:r>
        <w:rPr>
          <w:rFonts w:ascii="Arial" w:cs="Arial" w:eastAsia="Arial" w:hAnsi="Arial"/>
          <w:sz w:val="16"/>
          <w:szCs w:val="16"/>
          <w:color w:val="auto"/>
        </w:rPr>
        <w:t>. Borrower shall reimburse Lender for all costs</w:t>
      </w:r>
      <w:r>
        <w:rPr>
          <w:rFonts w:ascii="Arial" w:cs="Arial" w:eastAsia="Arial" w:hAnsi="Arial"/>
          <w:sz w:val="16"/>
          <w:szCs w:val="16"/>
          <w:b w:val="1"/>
          <w:bCs w:val="1"/>
          <w:color w:val="auto"/>
        </w:rPr>
        <w:t xml:space="preserve"> </w:t>
      </w:r>
      <w:r>
        <w:rPr>
          <w:rFonts w:ascii="Arial" w:cs="Arial" w:eastAsia="Arial" w:hAnsi="Arial"/>
          <w:sz w:val="16"/>
          <w:szCs w:val="16"/>
          <w:color w:val="auto"/>
        </w:rPr>
        <w:t>and expenses, including without limitation reasonable attorneys’ fees and disbursements expended or incurred by Lender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Lender’s rights, remedies and obligations under the Loan Documents, (c) collecting any sum which becomes due Lender under any Loan Document, (d) any proceeding for declaratory relief, any counterclaim to any proceeding, or any appeal, or</w:t>
      </w:r>
    </w:p>
    <w:p>
      <w:pPr>
        <w:spacing w:after="0" w:line="8" w:lineRule="exact"/>
        <w:rPr>
          <w:sz w:val="20"/>
          <w:szCs w:val="20"/>
          <w:color w:val="auto"/>
        </w:rPr>
      </w:pPr>
    </w:p>
    <w:p>
      <w:pPr>
        <w:ind w:left="4" w:right="120" w:hanging="4"/>
        <w:spacing w:after="0" w:line="281" w:lineRule="auto"/>
        <w:tabs>
          <w:tab w:leader="none" w:pos="249"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protection, preservation or enforcement of any rights of Lender. For the purposes of this section, attorneys’ fees shall include, without limitation, fees incurred in connection with the following: (1) contempt proceedings; (2) discovery; (3) any motion, proceeding or other activity of any kind in connection with an Insolvency Proceeding;</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(4) garnishment, levy, and debtor and third party examinations; and</w:t>
      </w:r>
    </w:p>
    <w:p>
      <w:pPr>
        <w:spacing w:after="0" w:line="20" w:lineRule="exact"/>
        <w:rPr>
          <w:rFonts w:ascii="Arial" w:cs="Arial" w:eastAsia="Arial" w:hAnsi="Arial"/>
          <w:sz w:val="16"/>
          <w:szCs w:val="16"/>
          <w:color w:val="auto"/>
        </w:rPr>
      </w:pPr>
    </w:p>
    <w:p>
      <w:pPr>
        <w:ind w:left="4"/>
        <w:spacing w:after="0" w:line="271" w:lineRule="auto"/>
        <w:rPr>
          <w:rFonts w:ascii="Arial" w:cs="Arial" w:eastAsia="Arial" w:hAnsi="Arial"/>
          <w:sz w:val="16"/>
          <w:szCs w:val="16"/>
          <w:color w:val="auto"/>
        </w:rPr>
      </w:pPr>
      <w:r>
        <w:rPr>
          <w:rFonts w:ascii="Arial" w:cs="Arial" w:eastAsia="Arial" w:hAnsi="Arial"/>
          <w:sz w:val="17"/>
          <w:szCs w:val="17"/>
          <w:color w:val="auto"/>
        </w:rPr>
        <w:t>(5) postjudgment motions and proceedings of any kind, including without limitation any activity taken to collect or enforce any judgment. All of the foregoing costs and expenses shall be payable upon demand by Lender, and if not paid within forty-five (45) days of presentation of invoices shall bear interest at the Default Rate.</w:t>
      </w:r>
    </w:p>
    <w:p>
      <w:pPr>
        <w:spacing w:after="0" w:line="174" w:lineRule="exact"/>
        <w:rPr>
          <w:sz w:val="20"/>
          <w:szCs w:val="20"/>
          <w:color w:val="auto"/>
        </w:rPr>
      </w:pPr>
    </w:p>
    <w:p>
      <w:pPr>
        <w:ind w:left="4" w:right="60" w:firstLine="360"/>
        <w:spacing w:after="0" w:line="286" w:lineRule="auto"/>
        <w:rPr>
          <w:sz w:val="20"/>
          <w:szCs w:val="20"/>
          <w:color w:val="auto"/>
        </w:rPr>
      </w:pPr>
      <w:r>
        <w:rPr>
          <w:rFonts w:ascii="Arial" w:cs="Arial" w:eastAsia="Arial" w:hAnsi="Arial"/>
          <w:sz w:val="16"/>
          <w:szCs w:val="16"/>
          <w:b w:val="1"/>
          <w:bCs w:val="1"/>
          <w:color w:val="auto"/>
        </w:rPr>
        <w:t>9.9 Execution in Counterparts; Electronic Signatures</w:t>
      </w:r>
      <w:r>
        <w:rPr>
          <w:rFonts w:ascii="Arial" w:cs="Arial" w:eastAsia="Arial" w:hAnsi="Arial"/>
          <w:sz w:val="16"/>
          <w:szCs w:val="16"/>
          <w:color w:val="auto"/>
        </w:rPr>
        <w:t>.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the other Loan Documents may be executed in any number of counterparts, each of which shall be deemed an original, but all of which together shall constitute one and the same agreement. This Agreement and each of the other Loan Documents may be executed by electronic signatures. Borrower and Lender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w:t>
      </w:r>
    </w:p>
    <w:p>
      <w:pPr>
        <w:spacing w:after="0" w:line="20" w:lineRule="exact"/>
        <w:rPr>
          <w:sz w:val="20"/>
          <w:szCs w:val="20"/>
          <w:color w:val="auto"/>
        </w:rPr>
      </w:pPr>
      <w:r>
        <w:rPr>
          <w:sz w:val="20"/>
          <w:szCs w:val="20"/>
          <w:color w:val="auto"/>
        </w:rPr>
        <w:br w:type="column"/>
      </w:r>
    </w:p>
    <w:p>
      <w:pPr>
        <w:ind w:right="40"/>
        <w:spacing w:after="0" w:line="254" w:lineRule="auto"/>
        <w:rPr>
          <w:sz w:val="20"/>
          <w:szCs w:val="20"/>
          <w:color w:val="auto"/>
        </w:rPr>
      </w:pPr>
      <w:r>
        <w:rPr>
          <w:rFonts w:ascii="Arial" w:cs="Arial" w:eastAsia="Arial" w:hAnsi="Arial"/>
          <w:sz w:val="18"/>
          <w:szCs w:val="18"/>
          <w:color w:val="auto"/>
        </w:rPr>
        <w:t>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-1231900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8" w:lineRule="exact"/>
        <w:rPr>
          <w:sz w:val="20"/>
          <w:szCs w:val="20"/>
          <w:color w:val="auto"/>
        </w:rPr>
      </w:pPr>
    </w:p>
    <w:p>
      <w:pPr>
        <w:ind w:firstLine="360"/>
        <w:spacing w:after="0" w:line="256" w:lineRule="auto"/>
        <w:rPr>
          <w:sz w:val="20"/>
          <w:szCs w:val="20"/>
          <w:color w:val="auto"/>
        </w:rPr>
      </w:pPr>
      <w:r>
        <w:rPr>
          <w:rFonts w:ascii="Arial" w:cs="Arial" w:eastAsia="Arial" w:hAnsi="Arial"/>
          <w:sz w:val="18"/>
          <w:szCs w:val="18"/>
          <w:b w:val="1"/>
          <w:bCs w:val="1"/>
          <w:color w:val="auto"/>
        </w:rPr>
        <w:t>9.10 Entire Agreement</w:t>
      </w:r>
      <w:r>
        <w:rPr>
          <w:rFonts w:ascii="Arial" w:cs="Arial" w:eastAsia="Arial" w:hAnsi="Arial"/>
          <w:sz w:val="18"/>
          <w:szCs w:val="18"/>
          <w:color w:val="auto"/>
        </w:rPr>
        <w:t>. The Loan Documentsare intended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as the final expression of their agreement and therefore contain the entire agreement between the parties and supersede all prior understandings or agreements concerning the subject matter hereof. This Agreement may be amended only in a writing signed by Borrower and Lender.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9.11 Governing Law and Jurisdiction</w:t>
      </w:r>
      <w:r>
        <w:rPr>
          <w:rFonts w:ascii="Arial" w:cs="Arial" w:eastAsia="Arial" w:hAnsi="Arial"/>
          <w:sz w:val="18"/>
          <w:szCs w:val="18"/>
          <w:color w:val="auto"/>
        </w:rPr>
        <w:t>.</w:t>
      </w:r>
    </w:p>
    <w:p>
      <w:pPr>
        <w:spacing w:after="0" w:line="121" w:lineRule="exact"/>
        <w:rPr>
          <w:sz w:val="20"/>
          <w:szCs w:val="20"/>
          <w:color w:val="auto"/>
        </w:rPr>
      </w:pPr>
    </w:p>
    <w:p>
      <w:pPr>
        <w:ind w:firstLine="354"/>
        <w:spacing w:after="0" w:line="286" w:lineRule="auto"/>
        <w:tabs>
          <w:tab w:leader="none" w:pos="615"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THIS AGREEMENT AND THE LOAN DOCUMENTS SHALL BE GOVERNED BY, AND CONSTRUED IN ACCORDANCE WITH, THE INTERNAL LAWS OF THE STATE OF CALIFORNIA.</w:t>
      </w:r>
    </w:p>
    <w:p>
      <w:pPr>
        <w:spacing w:after="0" w:line="165" w:lineRule="exact"/>
        <w:rPr>
          <w:rFonts w:ascii="Arial" w:cs="Arial" w:eastAsia="Arial" w:hAnsi="Arial"/>
          <w:sz w:val="17"/>
          <w:szCs w:val="17"/>
          <w:b w:val="1"/>
          <w:bCs w:val="1"/>
          <w:color w:val="auto"/>
        </w:rPr>
      </w:pPr>
    </w:p>
    <w:p>
      <w:pPr>
        <w:ind w:right="60" w:firstLine="354"/>
        <w:spacing w:after="0" w:line="267" w:lineRule="auto"/>
        <w:tabs>
          <w:tab w:leader="none" w:pos="625" w:val="left"/>
        </w:tabs>
        <w:numPr>
          <w:ilvl w:val="0"/>
          <w:numId w:val="273"/>
        </w:numPr>
        <w:rPr>
          <w:rFonts w:ascii="Arial" w:cs="Arial" w:eastAsia="Arial" w:hAnsi="Arial"/>
          <w:sz w:val="17"/>
          <w:szCs w:val="17"/>
          <w:b w:val="1"/>
          <w:bCs w:val="1"/>
          <w:color w:val="auto"/>
        </w:rPr>
      </w:pPr>
      <w:r>
        <w:rPr>
          <w:rFonts w:ascii="Arial" w:cs="Arial" w:eastAsia="Arial" w:hAnsi="Arial"/>
          <w:sz w:val="17"/>
          <w:szCs w:val="17"/>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BORROWER AND LENDER CONSENTS, FOR ITSELF AND IN RESPECT OF ITS PROPERTY, TO THE NON-EXCLUSIVE JURISDICTION OF THOSE COURTS. EACH OF BORROWER AND LENDER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BORROWER AND LENDER EACH WAIVE PERSONAL SERVICE OF ANY SUMMONS, COMPLAINT OR OTHER PROCESS, WHICH MAY BE MADE BY ANY OTHER MEANS PERMITTED BY CALIFORNIA LAW.</w:t>
      </w:r>
    </w:p>
    <w:p>
      <w:pPr>
        <w:spacing w:after="0" w:line="186" w:lineRule="exact"/>
        <w:rPr>
          <w:sz w:val="20"/>
          <w:szCs w:val="20"/>
          <w:color w:val="auto"/>
        </w:rPr>
      </w:pPr>
    </w:p>
    <w:p>
      <w:pPr>
        <w:ind w:right="40" w:firstLine="360"/>
        <w:spacing w:after="0" w:line="282" w:lineRule="auto"/>
        <w:rPr>
          <w:sz w:val="20"/>
          <w:szCs w:val="20"/>
          <w:color w:val="auto"/>
        </w:rPr>
      </w:pPr>
      <w:r>
        <w:rPr>
          <w:rFonts w:ascii="Arial" w:cs="Arial" w:eastAsia="Arial" w:hAnsi="Arial"/>
          <w:sz w:val="18"/>
          <w:szCs w:val="18"/>
          <w:b w:val="1"/>
          <w:bCs w:val="1"/>
          <w:color w:val="auto"/>
        </w:rPr>
        <w:t>9.12 Waiver of Jury Trial</w:t>
      </w:r>
      <w:r>
        <w:rPr>
          <w:rFonts w:ascii="Arial" w:cs="Arial" w:eastAsia="Arial" w:hAnsi="Arial"/>
          <w:sz w:val="18"/>
          <w:szCs w:val="18"/>
          <w:color w:val="auto"/>
        </w:rPr>
        <w:t>. TO THE EXTENT NOT PROHIBITED</w:t>
      </w:r>
      <w:r>
        <w:rPr>
          <w:rFonts w:ascii="Arial" w:cs="Arial" w:eastAsia="Arial" w:hAnsi="Arial"/>
          <w:sz w:val="18"/>
          <w:szCs w:val="18"/>
          <w:b w:val="1"/>
          <w:bCs w:val="1"/>
          <w:color w:val="auto"/>
        </w:rPr>
        <w:t xml:space="preserve"> </w:t>
      </w:r>
      <w:r>
        <w:rPr>
          <w:rFonts w:ascii="Arial" w:cs="Arial" w:eastAsia="Arial" w:hAnsi="Arial"/>
          <w:sz w:val="18"/>
          <w:szCs w:val="18"/>
          <w:color w:val="auto"/>
        </w:rPr>
        <w:t>BY APPLICABLE LAW,</w:t>
      </w:r>
    </w:p>
    <w:p>
      <w:pPr>
        <w:spacing w:after="0" w:line="200" w:lineRule="exact"/>
        <w:rPr>
          <w:sz w:val="20"/>
          <w:szCs w:val="20"/>
          <w:color w:val="auto"/>
        </w:rPr>
      </w:pPr>
    </w:p>
    <w:p>
      <w:pPr>
        <w:sectPr>
          <w:pgSz w:w="11900" w:h="16838" w:orient="portrait"/>
          <w:cols w:equalWidth="0" w:num="2">
            <w:col w:w="5284" w:space="340"/>
            <w:col w:w="5320"/>
          </w:cols>
          <w:pgMar w:left="436" w:top="324" w:right="519" w:bottom="1440" w:gutter="0" w:footer="0" w:header="0"/>
        </w:sectPr>
      </w:pPr>
    </w:p>
    <w:p>
      <w:pPr>
        <w:spacing w:after="0" w:line="47" w:lineRule="exact"/>
        <w:rPr>
          <w:sz w:val="20"/>
          <w:szCs w:val="20"/>
          <w:color w:val="auto"/>
        </w:rPr>
      </w:pPr>
    </w:p>
    <w:p>
      <w:pPr>
        <w:jc w:val="center"/>
        <w:ind w:right="-83"/>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944"/>
          </w:cols>
          <w:pgMar w:left="436" w:top="324" w:right="519" w:bottom="1440" w:gutter="0" w:footer="0" w:header="0"/>
          <w:type w:val="continuous"/>
        </w:sectPr>
      </w:pPr>
    </w:p>
    <w:bookmarkStart w:id="369" w:name="page370"/>
    <w:bookmarkEnd w:id="369"/>
    <w:p>
      <w:pPr>
        <w:spacing w:after="0" w:line="251" w:lineRule="auto"/>
        <w:rPr>
          <w:sz w:val="20"/>
          <w:szCs w:val="20"/>
          <w:color w:val="auto"/>
        </w:rPr>
      </w:pPr>
      <w:r>
        <w:rPr>
          <w:rFonts w:ascii="Arial" w:cs="Arial" w:eastAsia="Arial" w:hAnsi="Arial"/>
          <w:sz w:val="18"/>
          <w:szCs w:val="18"/>
          <w:color w:val="auto"/>
        </w:rPr>
        <w:t>BORROWER AND LENDER EACH WAIVES ITS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BORROWER AND LENDER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201"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b w:val="1"/>
          <w:bCs w:val="1"/>
          <w:color w:val="auto"/>
        </w:rPr>
        <w:t>9.13 Confidentiality</w:t>
      </w:r>
      <w:r>
        <w:rPr>
          <w:rFonts w:ascii="Arial" w:cs="Arial" w:eastAsia="Arial" w:hAnsi="Arial"/>
          <w:sz w:val="16"/>
          <w:szCs w:val="16"/>
          <w:color w:val="auto"/>
        </w:rPr>
        <w:t>. Lender agrees to hold in confidence all</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that it receives from Borrower pursuant to the Loan Documents, except for disclosure as shall be reasonably required and, in each case, subject to the same confidentiality obligations set forth herein: (a) to legal counsel and accountants for Lender; (b) to other professional advisors to Lender (to the extent that such professional advisors are subject to the same obligations of confidentiality as set forth herein); (c) to regulatory officials having jurisdiction over Lender to the extent required by law; (d) to Lender’s investors and prospective investors (to the extent that such investors or prospective investors are subject to the same confidentiality obligation set forth herein), and in Lender’s SEC filings as required by law, but only to the extent such disclosure is required under applicable law; (e) as required by law or legal process or in connection with any legal proceeding to which Lender and Borrower are adverse parties; (f) in connection with a disposition or proposed disposition of any or all of Lender’s rights hereunder to any assignee or participant (to the extent that any transferee or proposed transferee is subject to the same confidentiality obligation set forth herein); (g) to Lender’s subsidiaries or Affiliates</w:t>
      </w:r>
    </w:p>
    <w:p>
      <w:pPr>
        <w:spacing w:after="0" w:line="20" w:lineRule="exact"/>
        <w:rPr>
          <w:sz w:val="20"/>
          <w:szCs w:val="20"/>
          <w:color w:val="auto"/>
        </w:rPr>
      </w:pPr>
      <w:r>
        <w:rPr>
          <w:sz w:val="20"/>
          <w:szCs w:val="20"/>
          <w:color w:val="auto"/>
        </w:rPr>
        <w:br w:type="column"/>
      </w:r>
    </w:p>
    <w:p>
      <w:pPr>
        <w:ind w:left="200" w:right="40"/>
        <w:spacing w:after="0" w:line="282" w:lineRule="auto"/>
        <w:rPr>
          <w:sz w:val="20"/>
          <w:szCs w:val="20"/>
          <w:color w:val="auto"/>
        </w:rPr>
      </w:pPr>
      <w:r>
        <w:rPr>
          <w:rFonts w:ascii="Arial" w:cs="Arial" w:eastAsia="Arial" w:hAnsi="Arial"/>
          <w:sz w:val="16"/>
          <w:szCs w:val="16"/>
          <w:color w:val="auto"/>
        </w:rPr>
        <w:t>in connection with their business with Borrower (subject to the same confidentiality obligation set forth herein); (h) as required by valid order of a court of competent jurisdiction, administrative agency or governmental body, or by any applicable law, rule, regulation, subpoena, or any other administrative or legal process, or by applicable regulatory or professional standards, including in connection with any judicial or other proceeding involving Lender relating to this Agreement and the transactions contemplated hereby; and (i) as required in connection with Lender’s examination or audit. For purposes of this section, Lender and Borrower agree that “confidential information” shall mean any information regarding or relating to Borrower other than: (i) information which is or becomes generally available to the public other than as result of a disclosure by Lender in violation of this section, (ii) information which becomes available to Lender from any other source (other than Borrower) which Lender does not know is bound by a confidentiality agreement with respect to the information made available,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-2315210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00" w:hanging="6"/>
        <w:spacing w:after="0" w:line="269" w:lineRule="auto"/>
        <w:tabs>
          <w:tab w:leader="none" w:pos="51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information that Lender knows on a non-confidential basis prior to Borrower disclosing it to Lender. In addition, Borrower agrees that Lender may use Borrower’s name, logo and/or trademark in connection with certain promotional materials that Lender may disseminate to the public, including, but are not limited to, brochures, internet website, press releases and any other materials relating to the fact that Lender has a financing relationship with Borrower.</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ARTICLE 10 - - DEFINITIONS</w:t>
      </w:r>
    </w:p>
    <w:p>
      <w:pPr>
        <w:spacing w:after="0" w:line="121" w:lineRule="exact"/>
        <w:rPr>
          <w:sz w:val="20"/>
          <w:szCs w:val="20"/>
          <w:color w:val="auto"/>
        </w:rPr>
      </w:pPr>
    </w:p>
    <w:p>
      <w:pPr>
        <w:ind w:left="200" w:right="60" w:firstLine="360"/>
        <w:spacing w:after="0" w:line="342" w:lineRule="auto"/>
        <w:rPr>
          <w:sz w:val="20"/>
          <w:szCs w:val="20"/>
          <w:color w:val="auto"/>
        </w:rPr>
      </w:pPr>
      <w:r>
        <w:rPr>
          <w:rFonts w:ascii="Arial" w:cs="Arial" w:eastAsia="Arial" w:hAnsi="Arial"/>
          <w:sz w:val="16"/>
          <w:szCs w:val="16"/>
          <w:color w:val="auto"/>
        </w:rPr>
        <w:t>The definitions appearing in this Agreement or any Supplement shall be applicable to both the singular and plural forms of the defined terms:</w:t>
      </w:r>
    </w:p>
    <w:p>
      <w:pPr>
        <w:spacing w:after="0" w:line="12"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Account</w:t>
      </w:r>
      <w:r>
        <w:rPr>
          <w:rFonts w:ascii="Arial" w:cs="Arial" w:eastAsia="Arial" w:hAnsi="Arial"/>
          <w:sz w:val="17"/>
          <w:szCs w:val="17"/>
          <w:color w:val="auto"/>
        </w:rPr>
        <w:t>” means any “account,” as such term is defined in the UCC, now owned or hereafter acquired by Borrower or in which Borrower now 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Borrower (including, without limitation, under any trade name, style or division thereof) whether arising out of goods sold or services rendered by Borrower or from any other transaction, whether or not the same involves the sale of goods or services by Borrower (including, without limitation, any such obligation that may be characterized as an account or contract right under the UCC) and all of Borrower’s rights in, to and under all purchase orders or receipts now owned or</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5280" w:space="140"/>
            <w:col w:w="5580"/>
          </w:cols>
          <w:pgMar w:left="440" w:top="328" w:right="459" w:bottom="1440" w:gutter="0" w:footer="0" w:header="0"/>
        </w:sectPr>
      </w:pPr>
    </w:p>
    <w:bookmarkStart w:id="370" w:name="page371"/>
    <w:bookmarkEnd w:id="370"/>
    <w:p>
      <w:pPr>
        <w:spacing w:after="0" w:line="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hereafter acquired by it for goods or services, and all of Borrower’s rights to any goods represented by any of the foregoing (including, without limitation, unpaid seller’s rights of rescission, replevin, reclamation and stoppage in transit and rights to returned, reclaimed or repossessed goods), and all monies due or to become due to Borrower under all purchase orders and contracts for the sale of goods or the performance of services or both by Borrower or in connection with any other transaction (whether or not yet earned by performance on the part of Borrower),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means any Person which directly or indirectly controls, is controlled by, or is under common control with Borrower. “Control,” “controlled by” and “under common control with” mean direct or indirect possession of the power to direct or cause the direction of management or policies (whether through ownership of voting securities, by contract or otherwise); provided, that control shall be conclusively presumed when any Person or affiliated group directly or indirectly owns ten percent (10%) or more of the securities having ordinary voting power for the election of directors of a corporation.</w:t>
      </w:r>
    </w:p>
    <w:p>
      <w:pPr>
        <w:spacing w:after="0" w:line="17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means this Loan and Security Agreement and each Supplement thereto, as each may be amended or supplemented from time to time.</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Bankruptcy Code</w:t>
      </w:r>
      <w:r>
        <w:rPr>
          <w:rFonts w:ascii="Arial" w:cs="Arial" w:eastAsia="Arial" w:hAnsi="Arial"/>
          <w:sz w:val="18"/>
          <w:szCs w:val="18"/>
          <w:color w:val="auto"/>
        </w:rPr>
        <w:t xml:space="preserve">” means the Federal Bankruptcy Reform Act of 1978 (11 U.S.C. §101,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w:t>
      </w:r>
    </w:p>
    <w:p>
      <w:pPr>
        <w:spacing w:after="0" w:line="162"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Basic Interest</w:t>
      </w:r>
      <w:r>
        <w:rPr>
          <w:rFonts w:ascii="Arial" w:cs="Arial" w:eastAsia="Arial" w:hAnsi="Arial"/>
          <w:sz w:val="16"/>
          <w:szCs w:val="16"/>
          <w:color w:val="auto"/>
        </w:rPr>
        <w:t>” means the rate of interest payable on the outstanding balance of each Loan at the applicable Designated Rate.</w:t>
      </w:r>
    </w:p>
    <w:p>
      <w:pPr>
        <w:spacing w:after="0" w:line="1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Borrowing Date</w:t>
      </w:r>
      <w:r>
        <w:rPr>
          <w:rFonts w:ascii="Arial" w:cs="Arial" w:eastAsia="Arial" w:hAnsi="Arial"/>
          <w:sz w:val="18"/>
          <w:szCs w:val="18"/>
          <w:color w:val="auto"/>
        </w:rPr>
        <w:t>” means the Business Day on which the proceeds of a Loan are disbursed by Lender.</w:t>
      </w:r>
    </w:p>
    <w:p>
      <w:pPr>
        <w:spacing w:after="0" w:line="162"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Borrowing Request</w:t>
      </w:r>
      <w:r>
        <w:rPr>
          <w:rFonts w:ascii="Arial" w:cs="Arial" w:eastAsia="Arial" w:hAnsi="Arial"/>
          <w:sz w:val="17"/>
          <w:szCs w:val="17"/>
          <w:color w:val="auto"/>
        </w:rPr>
        <w:t xml:space="preserve">” means a written request from Borrower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Supplement, requesting the funding of one or more Loans on a particular Borrowing Date.</w:t>
      </w:r>
    </w:p>
    <w:p>
      <w:pPr>
        <w:spacing w:after="0" w:line="158"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means any day other than a Saturday, Sunday or other day on which commercial banks in New York City or San Francisco are authorized or required by law to close.</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Change of Control</w:t>
      </w:r>
      <w:r>
        <w:rPr>
          <w:rFonts w:ascii="Arial" w:cs="Arial" w:eastAsia="Arial" w:hAnsi="Arial"/>
          <w:sz w:val="16"/>
          <w:szCs w:val="16"/>
          <w:color w:val="auto"/>
        </w:rPr>
        <w:t>” means: (a) any sale, license, or other disposition of all or substantially all of the assets of Borrower; (b) any consolidation, merger or other combination involving Borrower; or (c) any transaction or series of related transactions in which any Person or two or more Persons acting in concert (in each case, other than InCube Labs, LLC and its affiliates) shall have acquired by contract or otherwise, the power to control the management of Borrower, or to control the equity interests of Borrower entitled to vote for members of the Board of Managers or equivalent governing body of Borrower on a fully-diluted basis (and taking into account all such securities that such Person or Persons have the right to acquire pursuant to any option right) representing 50% or more of the combined voting power of such securities (other than in connection with a Qualified Public Offering or a sale to recognized venture capital investors in a transaction or series of transactions effected by Borrower for financing purposes, so long as Borrower identifies to Lender the venture capital investors prior to the closing of the transaction and provides Lender with a description of the material terms of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-2474595</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Chattel Paper</w:t>
      </w:r>
      <w:r>
        <w:rPr>
          <w:rFonts w:ascii="Arial" w:cs="Arial" w:eastAsia="Arial" w:hAnsi="Arial"/>
          <w:sz w:val="18"/>
          <w:szCs w:val="18"/>
          <w:color w:val="auto"/>
        </w:rPr>
        <w:t>” means any “chattel paper,” as such term is defined in the UCC, now owned or hereafter acquired by Borrower or in which Borrower now holds or hereafter acquires any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Collateral</w:t>
      </w:r>
      <w:r>
        <w:rPr>
          <w:rFonts w:ascii="Arial" w:cs="Arial" w:eastAsia="Arial" w:hAnsi="Arial"/>
          <w:sz w:val="16"/>
          <w:szCs w:val="16"/>
          <w:color w:val="auto"/>
        </w:rPr>
        <w:t>” means (I) prior to a Qualified Public Offering, the assets described on Annex I attached hereto; and (II) from and after a Qualified Public Offering, the assets described on Annex II attached hereto.</w:t>
      </w:r>
    </w:p>
    <w:p>
      <w:pPr>
        <w:spacing w:after="0" w:line="142" w:lineRule="exact"/>
        <w:rPr>
          <w:sz w:val="20"/>
          <w:szCs w:val="20"/>
          <w:color w:val="auto"/>
        </w:rPr>
      </w:pPr>
    </w:p>
    <w:p>
      <w:pPr>
        <w:ind w:right="6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Commitment</w:t>
      </w:r>
      <w:r>
        <w:rPr>
          <w:rFonts w:ascii="Arial" w:cs="Arial" w:eastAsia="Arial" w:hAnsi="Arial"/>
          <w:sz w:val="18"/>
          <w:szCs w:val="18"/>
          <w:color w:val="auto"/>
        </w:rPr>
        <w:t>” means the obligation of Lender to make Loans to Borrower up to the aggregate principal amount set forth in the Supplement.</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Copyright License</w:t>
      </w:r>
      <w:r>
        <w:rPr>
          <w:rFonts w:ascii="Arial" w:cs="Arial" w:eastAsia="Arial" w:hAnsi="Arial"/>
          <w:sz w:val="18"/>
          <w:szCs w:val="18"/>
          <w:color w:val="auto"/>
        </w:rPr>
        <w:t>” means any written agreement granting any right to use any Copyright or Copyright registration now owned or hereafter acquired by Borrower or in which Borrower now holds or hereafter acquires any interest.</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Copyrights</w:t>
      </w:r>
      <w:r>
        <w:rPr>
          <w:rFonts w:ascii="Arial" w:cs="Arial" w:eastAsia="Arial" w:hAnsi="Arial"/>
          <w:sz w:val="17"/>
          <w:szCs w:val="17"/>
          <w:color w:val="auto"/>
        </w:rPr>
        <w:t>” means all of the following now owned or hereafter acquired by Borrower or in which Borrower now holds or hereafter acquires any interest: (i) 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spacing w:after="0" w:line="200" w:lineRule="exact"/>
        <w:rPr>
          <w:sz w:val="20"/>
          <w:szCs w:val="20"/>
          <w:color w:val="auto"/>
        </w:rPr>
      </w:pPr>
    </w:p>
    <w:p>
      <w:pPr>
        <w:sectPr>
          <w:pgSz w:w="11900" w:h="16838" w:orient="portrait"/>
          <w:cols w:equalWidth="0" w:num="2">
            <w:col w:w="5280" w:space="340"/>
            <w:col w:w="5400"/>
          </w:cols>
          <w:pgMar w:left="440" w:top="324" w:right="439" w:bottom="1440" w:gutter="0" w:footer="0" w:header="0"/>
        </w:sectPr>
      </w:pP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20"/>
          </w:cols>
          <w:pgMar w:left="440" w:top="324" w:right="439" w:bottom="1440" w:gutter="0" w:footer="0" w:header="0"/>
          <w:type w:val="continuous"/>
        </w:sectPr>
      </w:pPr>
    </w:p>
    <w:bookmarkStart w:id="371" w:name="page372"/>
    <w:bookmarkEnd w:id="371"/>
    <w:p>
      <w:pPr>
        <w:ind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w:t>
      </w:r>
      <w:r>
        <w:rPr>
          <w:rFonts w:ascii="Arial" w:cs="Arial" w:eastAsia="Arial" w:hAnsi="Arial"/>
          <w:sz w:val="18"/>
          <w:szCs w:val="18"/>
          <w:color w:val="auto"/>
        </w:rPr>
        <w:t>” means an event which with the giving of notice, passage of time, or both would constitute an Event of Default.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Default Rate</w:t>
      </w:r>
      <w:r>
        <w:rPr>
          <w:rFonts w:ascii="Arial" w:cs="Arial" w:eastAsia="Arial" w:hAnsi="Arial"/>
          <w:sz w:val="18"/>
          <w:szCs w:val="18"/>
          <w:color w:val="auto"/>
        </w:rPr>
        <w:t>” means the applicable Designated Rate plus five percent (5%) per annum.</w:t>
      </w:r>
    </w:p>
    <w:p>
      <w:pPr>
        <w:spacing w:after="0" w:line="16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Deposit Accounts</w:t>
      </w:r>
      <w:r>
        <w:rPr>
          <w:rFonts w:ascii="Arial" w:cs="Arial" w:eastAsia="Arial" w:hAnsi="Arial"/>
          <w:sz w:val="17"/>
          <w:szCs w:val="17"/>
          <w:color w:val="auto"/>
        </w:rPr>
        <w:t>” means any “</w:t>
      </w:r>
      <w:r>
        <w:rPr>
          <w:rFonts w:ascii="Arial" w:cs="Arial" w:eastAsia="Arial" w:hAnsi="Arial"/>
          <w:sz w:val="17"/>
          <w:szCs w:val="17"/>
          <w:b w:val="1"/>
          <w:bCs w:val="1"/>
          <w:u w:val="single" w:color="auto"/>
          <w:color w:val="auto"/>
        </w:rPr>
        <w:t>deposit accounts,</w:t>
      </w:r>
      <w:r>
        <w:rPr>
          <w:rFonts w:ascii="Arial" w:cs="Arial" w:eastAsia="Arial" w:hAnsi="Arial"/>
          <w:sz w:val="17"/>
          <w:szCs w:val="17"/>
          <w:color w:val="auto"/>
        </w:rPr>
        <w:t>” as such term is defined in the UCC, now owned or hereafter acquired by Borrower or in which Borrower now holds or hereafter acquires any interest.</w:t>
      </w:r>
    </w:p>
    <w:p>
      <w:pPr>
        <w:spacing w:after="0" w:line="158"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Designated Rate</w:t>
      </w:r>
      <w:r>
        <w:rPr>
          <w:rFonts w:ascii="Arial" w:cs="Arial" w:eastAsia="Arial" w:hAnsi="Arial"/>
          <w:sz w:val="18"/>
          <w:szCs w:val="18"/>
          <w:color w:val="auto"/>
        </w:rPr>
        <w:t>” means the rate of interest per annum described in the Supplement as being applicable to an outstanding Loan from time to time.</w:t>
      </w:r>
    </w:p>
    <w:p>
      <w:pPr>
        <w:spacing w:after="0" w:line="176"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Documents</w:t>
      </w:r>
      <w:r>
        <w:rPr>
          <w:rFonts w:ascii="Arial" w:cs="Arial" w:eastAsia="Arial" w:hAnsi="Arial"/>
          <w:sz w:val="17"/>
          <w:szCs w:val="17"/>
          <w:color w:val="auto"/>
        </w:rPr>
        <w:t>” means any “</w:t>
      </w:r>
      <w:r>
        <w:rPr>
          <w:rFonts w:ascii="Arial" w:cs="Arial" w:eastAsia="Arial" w:hAnsi="Arial"/>
          <w:sz w:val="17"/>
          <w:szCs w:val="17"/>
          <w:b w:val="1"/>
          <w:bCs w:val="1"/>
          <w:u w:val="single" w:color="auto"/>
          <w:color w:val="auto"/>
        </w:rPr>
        <w:t>documents,</w:t>
      </w:r>
      <w:r>
        <w:rPr>
          <w:rFonts w:ascii="Arial" w:cs="Arial" w:eastAsia="Arial" w:hAnsi="Arial"/>
          <w:sz w:val="17"/>
          <w:szCs w:val="17"/>
          <w:color w:val="auto"/>
        </w:rPr>
        <w:t>” as such term is defined in the UCC, now owned or hereafter acquired by Borrower or in which Borrower now holds or hereafter acquires any interest.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Dollars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means lawful currency of the United States.</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means all federal, state or local laws, statutes, common law duties, rules, regulations, ordinances and codes, together with all administrative orders, directed duties, requests, licenses, authorizations and permits of, and agreements with, any governmental authorities, in each case relating to environmental, health, or safety matters.</w:t>
      </w:r>
    </w:p>
    <w:p>
      <w:pPr>
        <w:spacing w:after="0" w:line="187"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Equipment</w:t>
      </w:r>
      <w:r>
        <w:rPr>
          <w:rFonts w:ascii="Arial" w:cs="Arial" w:eastAsia="Arial" w:hAnsi="Arial"/>
          <w:sz w:val="16"/>
          <w:szCs w:val="16"/>
          <w:color w:val="auto"/>
        </w:rPr>
        <w:t>” means any “</w:t>
      </w:r>
      <w:r>
        <w:rPr>
          <w:rFonts w:ascii="Arial" w:cs="Arial" w:eastAsia="Arial" w:hAnsi="Arial"/>
          <w:sz w:val="16"/>
          <w:szCs w:val="16"/>
          <w:b w:val="1"/>
          <w:bCs w:val="1"/>
          <w:u w:val="single" w:color="auto"/>
          <w:color w:val="auto"/>
        </w:rPr>
        <w:t>equipment,</w:t>
      </w:r>
      <w:r>
        <w:rPr>
          <w:rFonts w:ascii="Arial" w:cs="Arial" w:eastAsia="Arial" w:hAnsi="Arial"/>
          <w:sz w:val="16"/>
          <w:szCs w:val="16"/>
          <w:color w:val="auto"/>
        </w:rPr>
        <w:t>” as such term is defined in the UCC, now owned or hereafter acquired by Borrower or in which Borrower 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 means any event described in Section 7.1.</w:t>
      </w:r>
    </w:p>
    <w:p>
      <w:pPr>
        <w:spacing w:after="0" w:line="225"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Fixtures</w:t>
      </w:r>
      <w:r>
        <w:rPr>
          <w:rFonts w:ascii="Arial" w:cs="Arial" w:eastAsia="Arial" w:hAnsi="Arial"/>
          <w:sz w:val="18"/>
          <w:szCs w:val="18"/>
          <w:color w:val="auto"/>
        </w:rPr>
        <w:t>” means any “</w:t>
      </w:r>
      <w:r>
        <w:rPr>
          <w:rFonts w:ascii="Arial" w:cs="Arial" w:eastAsia="Arial" w:hAnsi="Arial"/>
          <w:sz w:val="18"/>
          <w:szCs w:val="18"/>
          <w:b w:val="1"/>
          <w:bCs w:val="1"/>
          <w:u w:val="single" w:color="auto"/>
          <w:color w:val="auto"/>
        </w:rPr>
        <w:t>fixtures,</w:t>
      </w:r>
      <w:r>
        <w:rPr>
          <w:rFonts w:ascii="Arial" w:cs="Arial" w:eastAsia="Arial" w:hAnsi="Arial"/>
          <w:sz w:val="18"/>
          <w:szCs w:val="18"/>
          <w:color w:val="auto"/>
        </w:rPr>
        <w:t>” as such term is defined in the UCC, now owned or hereafter acquired by Borrower or in which Borrower now holds or hereafter acquires any interest.</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GAAP</w:t>
      </w:r>
      <w:r>
        <w:rPr>
          <w:rFonts w:ascii="Arial" w:cs="Arial" w:eastAsia="Arial" w:hAnsi="Arial"/>
          <w:sz w:val="18"/>
          <w:szCs w:val="18"/>
          <w:color w:val="auto"/>
        </w:rPr>
        <w:t>” means generally accepted accounting principles and practices consistent with those principles</w:t>
      </w:r>
    </w:p>
    <w:p>
      <w:pPr>
        <w:spacing w:after="0" w:line="20" w:lineRule="exact"/>
        <w:rPr>
          <w:sz w:val="20"/>
          <w:szCs w:val="20"/>
          <w:color w:val="auto"/>
        </w:rPr>
      </w:pPr>
      <w:r>
        <w:rPr>
          <w:sz w:val="20"/>
          <w:szCs w:val="20"/>
          <w:color w:val="auto"/>
        </w:rPr>
        <w:br w:type="column"/>
      </w:r>
    </w:p>
    <w:p>
      <w:pPr>
        <w:ind w:left="200" w:right="80"/>
        <w:spacing w:after="0" w:line="275" w:lineRule="auto"/>
        <w:rPr>
          <w:sz w:val="20"/>
          <w:szCs w:val="20"/>
          <w:color w:val="auto"/>
        </w:rPr>
      </w:pPr>
      <w:r>
        <w:rPr>
          <w:rFonts w:ascii="Arial" w:cs="Arial" w:eastAsia="Arial" w:hAnsi="Arial"/>
          <w:sz w:val="17"/>
          <w:szCs w:val="17"/>
          <w:color w:val="auto"/>
        </w:rPr>
        <w:t>and practices promulgated or adopted by the Financial Accounting Standards Board and the Board of the American Institute of Certified Public Accountants, their respective predecessors and successors. Subject to Section 9.6, each accounting term used but not otherwise expressly defined herein shall have the meaning given it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-829945</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2"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General Intangibles</w:t>
      </w:r>
      <w:r>
        <w:rPr>
          <w:rFonts w:ascii="Arial" w:cs="Arial" w:eastAsia="Arial" w:hAnsi="Arial"/>
          <w:sz w:val="16"/>
          <w:szCs w:val="16"/>
          <w:color w:val="auto"/>
        </w:rPr>
        <w:t>” means any “general intangibles,” as such term is defined in the UCC, now owned or hereafter acquired by Borrower or in which Borrower now holds or hereafter acquires any interest and, in any event, shall include, without limitation, all right, title and interest that Borrower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 checking and other bank accounts, rights to sue for past, present and future infringement of Copyrights, Trademarks and Patents, rights to receive tax refunds and other payments and rights of indemnification.</w:t>
      </w:r>
    </w:p>
    <w:p>
      <w:pPr>
        <w:spacing w:after="0" w:line="382" w:lineRule="exact"/>
        <w:rPr>
          <w:sz w:val="20"/>
          <w:szCs w:val="20"/>
          <w:color w:val="auto"/>
        </w:rPr>
      </w:pPr>
    </w:p>
    <w:p>
      <w:pPr>
        <w:ind w:left="200"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Goods</w:t>
      </w:r>
      <w:r>
        <w:rPr>
          <w:rFonts w:ascii="Arial" w:cs="Arial" w:eastAsia="Arial" w:hAnsi="Arial"/>
          <w:sz w:val="18"/>
          <w:szCs w:val="18"/>
          <w:color w:val="auto"/>
        </w:rPr>
        <w:t>” means any “goods,” as such term is defined in the UCC, now owned or hereafter acquired by Borrower or in which Borrower now holds or hereafter acquires any interest.</w:t>
      </w:r>
    </w:p>
    <w:p>
      <w:pPr>
        <w:spacing w:after="0" w:line="176"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Indebtedness</w:t>
      </w:r>
      <w:r>
        <w:rPr>
          <w:rFonts w:ascii="Arial" w:cs="Arial" w:eastAsia="Arial" w:hAnsi="Arial"/>
          <w:sz w:val="16"/>
          <w:szCs w:val="16"/>
          <w:color w:val="auto"/>
        </w:rPr>
        <w:t>” of any Person means at any date, without duplication and without regard to whether matured or unmatured, absolute or contingent:</w:t>
      </w:r>
    </w:p>
    <w:p>
      <w:pPr>
        <w:spacing w:after="0" w:line="1" w:lineRule="exact"/>
        <w:rPr>
          <w:sz w:val="20"/>
          <w:szCs w:val="20"/>
          <w:color w:val="auto"/>
        </w:rPr>
      </w:pPr>
    </w:p>
    <w:p>
      <w:pPr>
        <w:ind w:left="200" w:right="40" w:hanging="6"/>
        <w:spacing w:after="0" w:line="268" w:lineRule="auto"/>
        <w:tabs>
          <w:tab w:leader="none" w:pos="41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all 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(v) all obligations of such Person to reimburse or prepay any bank or other Person in respect of amounts paid under a letter of credit, banker’s acceptance, or similar instrument, whether drawn or undrawn; (vi) all obligations of such Person to purchase securities which</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5260" w:space="160"/>
            <w:col w:w="5580"/>
          </w:cols>
          <w:pgMar w:left="440" w:top="324" w:right="459" w:bottom="1440" w:gutter="0" w:footer="0" w:header="0"/>
        </w:sectPr>
      </w:pPr>
    </w:p>
    <w:bookmarkStart w:id="372" w:name="page373"/>
    <w:bookmarkEnd w:id="372"/>
    <w:p>
      <w:pPr>
        <w:spacing w:after="0" w:line="4"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arise out of or in connection with the sale of the same or substantially similar securities; (vii) all obligations of such Person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w:t>
      </w:r>
    </w:p>
    <w:p>
      <w:pPr>
        <w:spacing w:after="0" w:line="4" w:lineRule="exact"/>
        <w:rPr>
          <w:sz w:val="20"/>
          <w:szCs w:val="20"/>
          <w:color w:val="auto"/>
        </w:rPr>
      </w:pPr>
    </w:p>
    <w:p>
      <w:pPr>
        <w:ind w:left="4" w:right="20" w:hanging="4"/>
        <w:spacing w:after="0" w:line="290" w:lineRule="auto"/>
        <w:tabs>
          <w:tab w:leader="none" w:pos="40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all obligations to repurchase assets previously sold (including any obligation to repurchase any accounts or chattel paper under any factoring, receivables purchase, or similar arrangement); (ix) obligations of such Person under interest rate swap, cap, collar or similar hedging arrangements; and (x) all obligations of others of any type described in clause (i) through clause (ix) above guaranteed by such Person.</w:t>
      </w:r>
    </w:p>
    <w:p>
      <w:pPr>
        <w:spacing w:after="0" w:line="160"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Insolvency Proceeding</w:t>
      </w:r>
      <w:r>
        <w:rPr>
          <w:rFonts w:ascii="Arial" w:cs="Arial" w:eastAsia="Arial" w:hAnsi="Arial"/>
          <w:sz w:val="17"/>
          <w:szCs w:val="17"/>
          <w:color w:val="auto"/>
        </w:rPr>
        <w:t>” means with respect to a Person (a) any case, action or proceeding before any court or other governmental authority relating to bankruptcy, reorganization, insolvency, liquidation, receivership, dissolution, winding-up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spacing w:after="0" w:line="176" w:lineRule="exact"/>
        <w:rPr>
          <w:sz w:val="20"/>
          <w:szCs w:val="20"/>
          <w:color w:val="auto"/>
        </w:rPr>
      </w:pPr>
    </w:p>
    <w:p>
      <w:pPr>
        <w:ind w:left="4"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Instruments</w:t>
      </w:r>
      <w:r>
        <w:rPr>
          <w:rFonts w:ascii="Arial" w:cs="Arial" w:eastAsia="Arial" w:hAnsi="Arial"/>
          <w:sz w:val="18"/>
          <w:szCs w:val="18"/>
          <w:color w:val="auto"/>
        </w:rPr>
        <w:t>” means any “instrument,” as such term is defined in the UCC, now owned or hereafter acquired by Borrower or in which Borrower now holds or hereafter acquires any interest.</w:t>
      </w:r>
    </w:p>
    <w:p>
      <w:pPr>
        <w:spacing w:after="0" w:line="176"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 means all of Borrower’s Copyrights, Trademarks, Patents, Licenses, trade secrets, source codes, customer lists, proprietary or 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spacing w:after="0" w:line="189"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Intellectual Property Security Agreement</w:t>
      </w:r>
      <w:r>
        <w:rPr>
          <w:rFonts w:ascii="Arial" w:cs="Arial" w:eastAsia="Arial" w:hAnsi="Arial"/>
          <w:sz w:val="18"/>
          <w:szCs w:val="18"/>
          <w:color w:val="auto"/>
        </w:rPr>
        <w:t>” means any Intellectual Property Security Agreement executed and delivered by Borrower in favor of Lender, as the same may be amended, supplemented, or restated from time to time.</w:t>
      </w:r>
    </w:p>
    <w:p>
      <w:pPr>
        <w:spacing w:after="0" w:line="20" w:lineRule="exact"/>
        <w:rPr>
          <w:sz w:val="20"/>
          <w:szCs w:val="20"/>
          <w:color w:val="auto"/>
        </w:rPr>
      </w:pPr>
      <w:r>
        <w:rPr>
          <w:sz w:val="20"/>
          <w:szCs w:val="20"/>
          <w:color w:val="auto"/>
        </w:rPr>
        <w:br w:type="column"/>
      </w:r>
    </w:p>
    <w:p>
      <w:pPr>
        <w:ind w:left="200" w:right="1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Inventory</w:t>
      </w:r>
      <w:r>
        <w:rPr>
          <w:rFonts w:ascii="Arial" w:cs="Arial" w:eastAsia="Arial" w:hAnsi="Arial"/>
          <w:sz w:val="16"/>
          <w:szCs w:val="16"/>
          <w:color w:val="auto"/>
        </w:rPr>
        <w:t>” means any “inventory,” as such term is defined in the UCC, wherever located, now owned or hereafter acquired by Borrower or in which Borrower now holds or hereafter acquires any interest, and, in any event, shall include, without limitation, all inventory, goods and other personal property that are held by or on behalf of Borrower for sale or lease or are furnished or are to be furnished under a contract of service or that constitute raw materials, work in process or materials used or consumed or to be used or consumed in Borrower’s business, or the processing, packaging, promotion, delivery or shipping of the same, and all finished goods, whether or not the same is in transit or in the constructive, actual or exclusive possession of Borrower or is held by others for Borrower’s account, including, without limitation,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-2343785</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4" w:lineRule="exact"/>
        <w:rPr>
          <w:sz w:val="20"/>
          <w:szCs w:val="20"/>
          <w:color w:val="auto"/>
        </w:rPr>
      </w:pPr>
    </w:p>
    <w:p>
      <w:pPr>
        <w:ind w:left="200" w:right="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Investment Property</w:t>
      </w:r>
      <w:r>
        <w:rPr>
          <w:rFonts w:ascii="Arial" w:cs="Arial" w:eastAsia="Arial" w:hAnsi="Arial"/>
          <w:sz w:val="16"/>
          <w:szCs w:val="16"/>
          <w:color w:val="auto"/>
        </w:rPr>
        <w:t>” means any “investment property,” as such term is defined in the UCC, now owned or hereafter acquired by Borrower or in which Borrower now holds or hereafter acquires any interest.</w:t>
      </w:r>
    </w:p>
    <w:p>
      <w:pPr>
        <w:spacing w:after="0" w:line="142" w:lineRule="exact"/>
        <w:rPr>
          <w:sz w:val="20"/>
          <w:szCs w:val="20"/>
          <w:color w:val="auto"/>
        </w:rPr>
      </w:pPr>
    </w:p>
    <w:p>
      <w:pPr>
        <w:ind w:left="20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Letter of Credit Rights</w:t>
      </w:r>
      <w:r>
        <w:rPr>
          <w:rFonts w:ascii="Arial" w:cs="Arial" w:eastAsia="Arial" w:hAnsi="Arial"/>
          <w:sz w:val="17"/>
          <w:szCs w:val="17"/>
          <w:color w:val="auto"/>
        </w:rPr>
        <w:t>” means any “letter of credit rights,” as such term is defined in the UCC, now owned or hereafter acquired by Borrower or in which Borrower now holds or hereafter acquires any interest, including any right to payment under any letter of credit.</w:t>
      </w:r>
    </w:p>
    <w:p>
      <w:pPr>
        <w:spacing w:after="0" w:line="165" w:lineRule="exact"/>
        <w:rPr>
          <w:sz w:val="20"/>
          <w:szCs w:val="20"/>
          <w:color w:val="auto"/>
        </w:rPr>
      </w:pPr>
    </w:p>
    <w:p>
      <w:pPr>
        <w:ind w:left="200" w:right="46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License</w:t>
      </w:r>
      <w:r>
        <w:rPr>
          <w:rFonts w:ascii="Arial" w:cs="Arial" w:eastAsia="Arial" w:hAnsi="Arial"/>
          <w:sz w:val="16"/>
          <w:szCs w:val="16"/>
          <w:color w:val="auto"/>
        </w:rPr>
        <w:t>” means any Copyright License, Patent License, Trademark License or other license of rights or interests now held or hereafter acquired by Borrower or in which Borrower now holds or hereafter acquires any interest and any renewals or extensions thereof.</w:t>
      </w:r>
    </w:p>
    <w:p>
      <w:pPr>
        <w:spacing w:after="0" w:line="151"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Lien</w:t>
      </w:r>
      <w:r>
        <w:rPr>
          <w:rFonts w:ascii="Arial" w:cs="Arial" w:eastAsia="Arial" w:hAnsi="Arial"/>
          <w:sz w:val="17"/>
          <w:szCs w:val="17"/>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w:t>
      </w:r>
      <w:r>
        <w:rPr>
          <w:rFonts w:ascii="Arial" w:cs="Arial" w:eastAsia="Arial" w:hAnsi="Arial"/>
          <w:sz w:val="17"/>
          <w:szCs w:val="17"/>
          <w:color w:val="auto"/>
        </w:rPr>
        <w:t>” means an extension of credit by Lender under this Agreement.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5244" w:space="180"/>
            <w:col w:w="5600"/>
          </w:cols>
          <w:pgMar w:left="436" w:top="324" w:right="439" w:bottom="1440" w:gutter="0" w:footer="0" w:header="0"/>
        </w:sectPr>
      </w:pPr>
    </w:p>
    <w:bookmarkStart w:id="373" w:name="page374"/>
    <w:bookmarkEnd w:id="373"/>
    <w:p>
      <w:pPr>
        <w:ind w:right="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Loan Documents</w:t>
      </w:r>
      <w:r>
        <w:rPr>
          <w:rFonts w:ascii="Arial" w:cs="Arial" w:eastAsia="Arial" w:hAnsi="Arial"/>
          <w:sz w:val="17"/>
          <w:szCs w:val="17"/>
          <w:color w:val="auto"/>
        </w:rPr>
        <w:t>” means, individually and collectively, this Loan and Security Agreement, each Supplement, each Note, the Intellectual Property Security Agreement, and any other security or pledge agreement(s), any Warrant issued by Borrower in connection with this Agreement, and all other contracts, instruments, addenda and documents executed in connection with this Agreement or the extensions of credit which are the subject of this Agreement.</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Adverse Effect</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Material Adverse Change</w:t>
      </w:r>
      <w:r>
        <w:rPr>
          <w:rFonts w:ascii="Arial" w:cs="Arial" w:eastAsia="Arial" w:hAnsi="Arial"/>
          <w:sz w:val="18"/>
          <w:szCs w:val="18"/>
          <w:color w:val="auto"/>
        </w:rPr>
        <w:t>” means (a) a material adverse change in, or a material adverse effect upon, the operations, business, properties, or financial condition of Borrower; (b) a material impairment of the ability of Borrower to perform under any Loan Document; or (c) a material adverse effect upon the legality, validity, binding effect or enforceability against Borrower of any Loan Document.</w:t>
      </w:r>
    </w:p>
    <w:p>
      <w:pPr>
        <w:spacing w:after="0" w:line="18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xml:space="preserve">” means a promissory note substantially in the form attached to the Supplement as </w:t>
      </w:r>
      <w:r>
        <w:rPr>
          <w:rFonts w:ascii="Arial" w:cs="Arial" w:eastAsia="Arial" w:hAnsi="Arial"/>
          <w:sz w:val="18"/>
          <w:szCs w:val="18"/>
          <w:u w:val="single" w:color="auto"/>
          <w:color w:val="auto"/>
        </w:rPr>
        <w:t>Exhibit “A”</w:t>
      </w:r>
      <w:r>
        <w:rPr>
          <w:rFonts w:ascii="Arial" w:cs="Arial" w:eastAsia="Arial" w:hAnsi="Arial"/>
          <w:sz w:val="18"/>
          <w:szCs w:val="18"/>
          <w:color w:val="auto"/>
        </w:rPr>
        <w:t>, executed by Borrower evidencing each Loan.</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Obligations</w:t>
      </w:r>
      <w:r>
        <w:rPr>
          <w:rFonts w:ascii="Arial" w:cs="Arial" w:eastAsia="Arial" w:hAnsi="Arial"/>
          <w:sz w:val="16"/>
          <w:szCs w:val="16"/>
          <w:color w:val="auto"/>
        </w:rPr>
        <w:t>” means all debts, obligations and liabilities of Borrower to Lender now or hereafter made, incurred or created under, pursuant to or in connection with this Agreement or any other Loan Document (other than the Warrant), whether voluntary or involuntary and however arising or evidenced, whether direct or acquired by Lender by assignment or succession, whether due or not due, absolute or contingent, liquidated or unliquidated, determined or undetermined, and whether Borrower may be liable individually or jointly, or whether recovery upon such debt may be or become barred by any statute of limitations or otherwise unenforceable; and all renewals, extensions and modifications thereof; and all attorneys’ fees and costs incurred by Lender in connection with the collection and enforcement thereof as provided for in any such Loan Document. Notwithstanding the foregoing, Borrower’s obligations under any warrants (including the Warrants) issued to Lender or its designated affiliate shall not be “Obligations” hereunder.</w:t>
      </w:r>
    </w:p>
    <w:p>
      <w:pPr>
        <w:spacing w:after="0" w:line="1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Patent License</w:t>
      </w:r>
      <w:r>
        <w:rPr>
          <w:rFonts w:ascii="Arial" w:cs="Arial" w:eastAsia="Arial" w:hAnsi="Arial"/>
          <w:sz w:val="18"/>
          <w:szCs w:val="18"/>
          <w:color w:val="auto"/>
        </w:rPr>
        <w:t>” means any written agreement granting any right with respect to any invention on which a Patent is in existence now owned or hereafter acquired by Borrower or in which Borrower now holds or hereafter acquires any interest.</w:t>
      </w:r>
    </w:p>
    <w:p>
      <w:pPr>
        <w:spacing w:after="0" w:line="180"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Patents</w:t>
      </w:r>
      <w:r>
        <w:rPr>
          <w:rFonts w:ascii="Arial" w:cs="Arial" w:eastAsia="Arial" w:hAnsi="Arial"/>
          <w:sz w:val="16"/>
          <w:szCs w:val="16"/>
          <w:color w:val="auto"/>
        </w:rPr>
        <w:t>” means all of the following property now owned or hereafter acquired by Borrower or in which Borrower now holds or hereafter acquires any interest: (a) all letters patent of, or rights corresponding thereto in, the United States or any other country, all registrations and</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7"/>
          <w:szCs w:val="17"/>
          <w:color w:val="auto"/>
        </w:rPr>
        <w:t>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 (d) all patents to be issued under any such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-1240155</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Permitted Lien</w:t>
      </w:r>
      <w:r>
        <w:rPr>
          <w:rFonts w:ascii="Arial" w:cs="Arial" w:eastAsia="Arial" w:hAnsi="Arial"/>
          <w:sz w:val="18"/>
          <w:szCs w:val="18"/>
          <w:color w:val="auto"/>
        </w:rPr>
        <w:t>” means:</w:t>
      </w:r>
    </w:p>
    <w:p>
      <w:pPr>
        <w:spacing w:after="0" w:line="121" w:lineRule="exact"/>
        <w:rPr>
          <w:sz w:val="20"/>
          <w:szCs w:val="20"/>
          <w:color w:val="auto"/>
        </w:rPr>
      </w:pPr>
    </w:p>
    <w:p>
      <w:pPr>
        <w:ind w:right="140" w:firstLine="354"/>
        <w:spacing w:after="0" w:line="263" w:lineRule="auto"/>
        <w:tabs>
          <w:tab w:leader="none" w:pos="615"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involuntary Liens which, in the aggregate, would not have a Material Adverse Effect and which in any event would not exceed, in the aggregate, the Threshold Amount;</w:t>
      </w:r>
    </w:p>
    <w:p>
      <w:pPr>
        <w:spacing w:after="0" w:line="183" w:lineRule="exact"/>
        <w:rPr>
          <w:rFonts w:ascii="Arial" w:cs="Arial" w:eastAsia="Arial" w:hAnsi="Arial"/>
          <w:sz w:val="18"/>
          <w:szCs w:val="18"/>
          <w:b w:val="1"/>
          <w:bCs w:val="1"/>
          <w:color w:val="auto"/>
        </w:rPr>
      </w:pPr>
    </w:p>
    <w:p>
      <w:pPr>
        <w:ind w:right="20" w:firstLine="354"/>
        <w:spacing w:after="0" w:line="259" w:lineRule="auto"/>
        <w:tabs>
          <w:tab w:leader="none" w:pos="625"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Liens for current taxes or other governmental or regulatory assessments which are not delinquent, or which are contested in good faith by the appropriate procedures and for which appropriate reserves are maintained;</w:t>
      </w:r>
    </w:p>
    <w:p>
      <w:pPr>
        <w:spacing w:after="0" w:line="186" w:lineRule="exact"/>
        <w:rPr>
          <w:rFonts w:ascii="Arial" w:cs="Arial" w:eastAsia="Arial" w:hAnsi="Arial"/>
          <w:sz w:val="18"/>
          <w:szCs w:val="18"/>
          <w:b w:val="1"/>
          <w:bCs w:val="1"/>
          <w:color w:val="auto"/>
        </w:rPr>
      </w:pPr>
    </w:p>
    <w:p>
      <w:pPr>
        <w:ind w:right="20" w:firstLine="354"/>
        <w:spacing w:after="0" w:line="316" w:lineRule="auto"/>
        <w:tabs>
          <w:tab w:leader="none" w:pos="604" w:val="left"/>
        </w:tabs>
        <w:numPr>
          <w:ilvl w:val="0"/>
          <w:numId w:val="277"/>
        </w:numPr>
        <w:rPr>
          <w:rFonts w:ascii="Arial" w:cs="Arial" w:eastAsia="Arial" w:hAnsi="Arial"/>
          <w:sz w:val="15"/>
          <w:szCs w:val="15"/>
          <w:b w:val="1"/>
          <w:bCs w:val="1"/>
          <w:color w:val="auto"/>
        </w:rPr>
      </w:pPr>
      <w:r>
        <w:rPr>
          <w:rFonts w:ascii="Arial" w:cs="Arial" w:eastAsia="Arial" w:hAnsi="Arial"/>
          <w:sz w:val="15"/>
          <w:szCs w:val="15"/>
          <w:color w:val="auto"/>
        </w:rPr>
        <w:t xml:space="preserve">security interests on any property held or acquired by Borrower in the ordinary course of business securing Indebtedness incurred or assumed for the purpose of financing all or any part of the cost of acquiring such property; </w:t>
      </w:r>
      <w:r>
        <w:rPr>
          <w:rFonts w:ascii="Arial" w:cs="Arial" w:eastAsia="Arial" w:hAnsi="Arial"/>
          <w:sz w:val="15"/>
          <w:szCs w:val="15"/>
          <w:u w:val="single" w:color="auto"/>
          <w:color w:val="auto"/>
        </w:rPr>
        <w:t>provided</w:t>
      </w:r>
      <w:r>
        <w:rPr>
          <w:rFonts w:ascii="Arial" w:cs="Arial" w:eastAsia="Arial" w:hAnsi="Arial"/>
          <w:sz w:val="15"/>
          <w:szCs w:val="15"/>
          <w:color w:val="auto"/>
        </w:rPr>
        <w:t>, that such Lien attaches solely to the property acquired with such Indebtedness and that the principal amount of such Indebtedness does not exceed one hundred percent (100%) of the cost of such property;</w:t>
      </w:r>
    </w:p>
    <w:p>
      <w:pPr>
        <w:spacing w:after="0" w:line="149" w:lineRule="exact"/>
        <w:rPr>
          <w:rFonts w:ascii="Arial" w:cs="Arial" w:eastAsia="Arial" w:hAnsi="Arial"/>
          <w:sz w:val="15"/>
          <w:szCs w:val="15"/>
          <w:b w:val="1"/>
          <w:bCs w:val="1"/>
          <w:color w:val="auto"/>
        </w:rPr>
      </w:pPr>
    </w:p>
    <w:p>
      <w:pPr>
        <w:ind w:left="620" w:hanging="266"/>
        <w:spacing w:after="0"/>
        <w:tabs>
          <w:tab w:leader="none" w:pos="62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Liens in favor of Lender;</w:t>
      </w:r>
    </w:p>
    <w:p>
      <w:pPr>
        <w:spacing w:after="0" w:line="225" w:lineRule="exact"/>
        <w:rPr>
          <w:rFonts w:ascii="Arial" w:cs="Arial" w:eastAsia="Arial" w:hAnsi="Arial"/>
          <w:sz w:val="18"/>
          <w:szCs w:val="18"/>
          <w:b w:val="1"/>
          <w:bCs w:val="1"/>
          <w:color w:val="auto"/>
        </w:rPr>
      </w:pPr>
    </w:p>
    <w:p>
      <w:pPr>
        <w:ind w:right="80" w:firstLine="354"/>
        <w:spacing w:after="0" w:line="296" w:lineRule="auto"/>
        <w:tabs>
          <w:tab w:leader="none" w:pos="604" w:val="left"/>
        </w:tabs>
        <w:numPr>
          <w:ilvl w:val="0"/>
          <w:numId w:val="277"/>
        </w:numPr>
        <w:rPr>
          <w:rFonts w:ascii="Arial" w:cs="Arial" w:eastAsia="Arial" w:hAnsi="Arial"/>
          <w:sz w:val="16"/>
          <w:szCs w:val="16"/>
          <w:b w:val="1"/>
          <w:bCs w:val="1"/>
          <w:color w:val="auto"/>
        </w:rPr>
      </w:pPr>
      <w:r>
        <w:rPr>
          <w:rFonts w:ascii="Arial" w:cs="Arial" w:eastAsia="Arial" w:hAnsi="Arial"/>
          <w:sz w:val="16"/>
          <w:szCs w:val="16"/>
          <w:color w:val="auto"/>
        </w:rPr>
        <w:t>bankers’ liens, rights of setoff and similar Liens incurred on deposits made in the ordinary course of business as long as an account control agreement (or equivalent) for each account in which such deposits are held in a form reasonably acceptable to Lender has been executed and delivered to Lender to the extent required under Section 6.11;</w:t>
      </w:r>
    </w:p>
    <w:p>
      <w:pPr>
        <w:spacing w:after="0" w:line="161" w:lineRule="exact"/>
        <w:rPr>
          <w:rFonts w:ascii="Arial" w:cs="Arial" w:eastAsia="Arial" w:hAnsi="Arial"/>
          <w:sz w:val="16"/>
          <w:szCs w:val="16"/>
          <w:b w:val="1"/>
          <w:bCs w:val="1"/>
          <w:color w:val="auto"/>
        </w:rPr>
      </w:pPr>
    </w:p>
    <w:p>
      <w:pPr>
        <w:ind w:left="580" w:hanging="226"/>
        <w:spacing w:after="0"/>
        <w:tabs>
          <w:tab w:leader="none" w:pos="58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materialmen’s, mechanics’, repairmen’s, warehousemen’s,</w:t>
      </w:r>
    </w:p>
    <w:p>
      <w:pPr>
        <w:spacing w:after="0" w:line="23" w:lineRule="exact"/>
        <w:rPr>
          <w:rFonts w:ascii="Arial" w:cs="Arial" w:eastAsia="Arial" w:hAnsi="Arial"/>
          <w:sz w:val="18"/>
          <w:szCs w:val="18"/>
          <w:b w:val="1"/>
          <w:bCs w:val="1"/>
          <w:color w:val="auto"/>
        </w:rPr>
      </w:pPr>
    </w:p>
    <w:p>
      <w:pPr>
        <w:ind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carriers’, landlord’s (subject to Section 5.9(e) hereof), employees’ or other like Liens arising in the ordinary course of business and which are not delinquent for more than 45 days or are being contested in good faith by appropriate proceedings;</w:t>
      </w:r>
    </w:p>
    <w:p>
      <w:pPr>
        <w:spacing w:after="0" w:line="192" w:lineRule="exact"/>
        <w:rPr>
          <w:rFonts w:ascii="Arial" w:cs="Arial" w:eastAsia="Arial" w:hAnsi="Arial"/>
          <w:sz w:val="18"/>
          <w:szCs w:val="18"/>
          <w:b w:val="1"/>
          <w:bCs w:val="1"/>
          <w:color w:val="auto"/>
        </w:rPr>
      </w:pPr>
    </w:p>
    <w:p>
      <w:pPr>
        <w:ind w:right="80" w:firstLine="354"/>
        <w:spacing w:after="0" w:line="308" w:lineRule="auto"/>
        <w:tabs>
          <w:tab w:leader="none" w:pos="615"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Liens arising from any judgment, attachment or similar order that does not constitute an Event of Default under Section 7.1(g);</w:t>
      </w:r>
    </w:p>
    <w:p>
      <w:pPr>
        <w:spacing w:after="0" w:line="731" w:lineRule="exact"/>
        <w:rPr>
          <w:sz w:val="20"/>
          <w:szCs w:val="20"/>
          <w:color w:val="auto"/>
        </w:rPr>
      </w:pPr>
    </w:p>
    <w:p>
      <w:pPr>
        <w:sectPr>
          <w:pgSz w:w="11900" w:h="16838" w:orient="portrait"/>
          <w:cols w:equalWidth="0" w:num="2">
            <w:col w:w="5260" w:space="360"/>
            <w:col w:w="5400"/>
          </w:cols>
          <w:pgMar w:left="440" w:top="324" w:right="439" w:bottom="1440" w:gutter="0" w:footer="0" w:header="0"/>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20"/>
          </w:cols>
          <w:pgMar w:left="440" w:top="324" w:right="439" w:bottom="1440" w:gutter="0" w:footer="0" w:header="0"/>
          <w:type w:val="continuous"/>
        </w:sectPr>
      </w:pPr>
    </w:p>
    <w:bookmarkStart w:id="374" w:name="page375"/>
    <w:bookmarkEnd w:id="374"/>
    <w:p>
      <w:pPr>
        <w:spacing w:after="0" w:line="4" w:lineRule="exact"/>
        <w:rPr>
          <w:sz w:val="20"/>
          <w:szCs w:val="20"/>
          <w:color w:val="auto"/>
        </w:rPr>
      </w:pPr>
    </w:p>
    <w:p>
      <w:pPr>
        <w:ind w:right="280" w:firstLine="356"/>
        <w:spacing w:after="0" w:line="277" w:lineRule="auto"/>
        <w:tabs>
          <w:tab w:leader="none" w:pos="625"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licenses or sublicenses of Intellectual Property in accordance with the terms of Section 6.5 hereof;</w:t>
      </w:r>
    </w:p>
    <w:p>
      <w:pPr>
        <w:spacing w:after="0" w:line="170" w:lineRule="exact"/>
        <w:rPr>
          <w:rFonts w:ascii="Arial" w:cs="Arial" w:eastAsia="Arial" w:hAnsi="Arial"/>
          <w:sz w:val="18"/>
          <w:szCs w:val="18"/>
          <w:b w:val="1"/>
          <w:bCs w:val="1"/>
          <w:color w:val="auto"/>
        </w:rPr>
      </w:pPr>
    </w:p>
    <w:p>
      <w:pPr>
        <w:ind w:left="580" w:hanging="224"/>
        <w:spacing w:after="0"/>
        <w:tabs>
          <w:tab w:leader="none" w:pos="580"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Liens securing Subordinated Debt;</w:t>
      </w:r>
    </w:p>
    <w:p>
      <w:pPr>
        <w:spacing w:after="0" w:line="225" w:lineRule="exact"/>
        <w:rPr>
          <w:rFonts w:ascii="Arial" w:cs="Arial" w:eastAsia="Arial" w:hAnsi="Arial"/>
          <w:sz w:val="18"/>
          <w:szCs w:val="18"/>
          <w:b w:val="1"/>
          <w:bCs w:val="1"/>
          <w:color w:val="auto"/>
        </w:rPr>
      </w:pPr>
    </w:p>
    <w:p>
      <w:pPr>
        <w:jc w:val="both"/>
        <w:ind w:right="40" w:firstLine="356"/>
        <w:spacing w:after="0" w:line="301" w:lineRule="auto"/>
        <w:tabs>
          <w:tab w:leader="none" w:pos="585" w:val="left"/>
        </w:tabs>
        <w:numPr>
          <w:ilvl w:val="0"/>
          <w:numId w:val="278"/>
        </w:numPr>
        <w:rPr>
          <w:rFonts w:ascii="Arial" w:cs="Arial" w:eastAsia="Arial" w:hAnsi="Arial"/>
          <w:sz w:val="16"/>
          <w:szCs w:val="16"/>
          <w:b w:val="1"/>
          <w:bCs w:val="1"/>
          <w:color w:val="auto"/>
        </w:rPr>
      </w:pPr>
      <w:r>
        <w:rPr>
          <w:rFonts w:ascii="Arial" w:cs="Arial" w:eastAsia="Arial" w:hAnsi="Arial"/>
          <w:sz w:val="16"/>
          <w:szCs w:val="16"/>
          <w:color w:val="auto"/>
        </w:rPr>
        <w:t xml:space="preserve">Liens which have been approved by Lender in writing prior to the Closing Date, as shown on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hereto, including any liens incurred in connection with the extension, renewal, or refinancing of any Indebtedness secured by Liens referenced on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hereto;</w:t>
      </w:r>
    </w:p>
    <w:p>
      <w:pPr>
        <w:spacing w:after="0" w:line="157" w:lineRule="exact"/>
        <w:rPr>
          <w:rFonts w:ascii="Arial" w:cs="Arial" w:eastAsia="Arial" w:hAnsi="Arial"/>
          <w:sz w:val="16"/>
          <w:szCs w:val="16"/>
          <w:b w:val="1"/>
          <w:bCs w:val="1"/>
          <w:color w:val="auto"/>
        </w:rPr>
      </w:pPr>
    </w:p>
    <w:p>
      <w:pPr>
        <w:ind w:left="620" w:hanging="264"/>
        <w:spacing w:after="0"/>
        <w:tabs>
          <w:tab w:leader="none" w:pos="620"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the interests of licensors under inbound licenses to Borrower;</w:t>
      </w:r>
    </w:p>
    <w:p>
      <w:pPr>
        <w:spacing w:after="0" w:line="236" w:lineRule="exact"/>
        <w:rPr>
          <w:rFonts w:ascii="Arial" w:cs="Arial" w:eastAsia="Arial" w:hAnsi="Arial"/>
          <w:sz w:val="17"/>
          <w:szCs w:val="17"/>
          <w:b w:val="1"/>
          <w:bCs w:val="1"/>
          <w:color w:val="auto"/>
        </w:rPr>
      </w:pPr>
    </w:p>
    <w:p>
      <w:pPr>
        <w:ind w:left="580" w:hanging="224"/>
        <w:spacing w:after="0"/>
        <w:tabs>
          <w:tab w:leader="none" w:pos="580"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the interests of sub-lessees under subleases of real property;</w:t>
      </w:r>
    </w:p>
    <w:p>
      <w:pPr>
        <w:spacing w:after="0" w:line="236" w:lineRule="exact"/>
        <w:rPr>
          <w:rFonts w:ascii="Arial" w:cs="Arial" w:eastAsia="Arial" w:hAnsi="Arial"/>
          <w:sz w:val="17"/>
          <w:szCs w:val="17"/>
          <w:b w:val="1"/>
          <w:bCs w:val="1"/>
          <w:color w:val="auto"/>
        </w:rPr>
      </w:pPr>
    </w:p>
    <w:p>
      <w:pPr>
        <w:ind w:left="680" w:hanging="324"/>
        <w:spacing w:after="0"/>
        <w:tabs>
          <w:tab w:leader="none" w:pos="680"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Liens to secure payment of workers’ compensation,</w:t>
      </w:r>
    </w:p>
    <w:p>
      <w:pPr>
        <w:spacing w:after="0" w:line="23" w:lineRule="exact"/>
        <w:rPr>
          <w:rFonts w:ascii="Arial" w:cs="Arial" w:eastAsia="Arial" w:hAnsi="Arial"/>
          <w:sz w:val="18"/>
          <w:szCs w:val="18"/>
          <w:b w:val="1"/>
          <w:bCs w:val="1"/>
          <w:color w:val="auto"/>
        </w:rPr>
      </w:pPr>
    </w:p>
    <w:p>
      <w:pPr>
        <w:ind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employment insurance, old-age pensions, social security and other like obligations incurred in the ordinary course of business (other than Liens imposed by ERISA);</w:t>
      </w:r>
    </w:p>
    <w:p>
      <w:pPr>
        <w:spacing w:after="0" w:line="189" w:lineRule="exact"/>
        <w:rPr>
          <w:rFonts w:ascii="Arial" w:cs="Arial" w:eastAsia="Arial" w:hAnsi="Arial"/>
          <w:sz w:val="18"/>
          <w:szCs w:val="18"/>
          <w:b w:val="1"/>
          <w:bCs w:val="1"/>
          <w:color w:val="auto"/>
        </w:rPr>
      </w:pPr>
    </w:p>
    <w:p>
      <w:pPr>
        <w:ind w:firstLine="356"/>
        <w:spacing w:after="0" w:line="257" w:lineRule="auto"/>
        <w:tabs>
          <w:tab w:leader="none" w:pos="625"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deposits to secure the performance of bids, trade contracts (other than for Indebtedness), leases (other than capital lease obligations), statutory obligations, surety and appeal bonds, performance bonds and other obligations of a like nature arising as a matter of law and incurred in the ordinary course of business;</w:t>
      </w:r>
    </w:p>
    <w:p>
      <w:pPr>
        <w:spacing w:after="0" w:line="187" w:lineRule="exact"/>
        <w:rPr>
          <w:rFonts w:ascii="Arial" w:cs="Arial" w:eastAsia="Arial" w:hAnsi="Arial"/>
          <w:sz w:val="18"/>
          <w:szCs w:val="18"/>
          <w:b w:val="1"/>
          <w:bCs w:val="1"/>
          <w:color w:val="auto"/>
        </w:rPr>
      </w:pPr>
    </w:p>
    <w:p>
      <w:pPr>
        <w:ind w:right="80" w:firstLine="356"/>
        <w:spacing w:after="0" w:line="273" w:lineRule="auto"/>
        <w:tabs>
          <w:tab w:leader="none" w:pos="615"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t>zoning restrictions, easements, rights of 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 and</w:t>
      </w:r>
    </w:p>
    <w:p>
      <w:pPr>
        <w:spacing w:after="0" w:line="177" w:lineRule="exact"/>
        <w:rPr>
          <w:rFonts w:ascii="Arial" w:cs="Arial" w:eastAsia="Arial" w:hAnsi="Arial"/>
          <w:sz w:val="17"/>
          <w:szCs w:val="17"/>
          <w:b w:val="1"/>
          <w:bCs w:val="1"/>
          <w:color w:val="auto"/>
        </w:rPr>
      </w:pPr>
    </w:p>
    <w:p>
      <w:pPr>
        <w:ind w:right="360" w:firstLine="356"/>
        <w:spacing w:after="0" w:line="381" w:lineRule="auto"/>
        <w:tabs>
          <w:tab w:leader="none" w:pos="625" w:val="left"/>
        </w:tabs>
        <w:numPr>
          <w:ilvl w:val="0"/>
          <w:numId w:val="278"/>
        </w:numPr>
        <w:rPr>
          <w:rFonts w:ascii="Arial" w:cs="Arial" w:eastAsia="Arial" w:hAnsi="Arial"/>
          <w:sz w:val="15"/>
          <w:szCs w:val="15"/>
          <w:b w:val="1"/>
          <w:bCs w:val="1"/>
          <w:color w:val="auto"/>
        </w:rPr>
      </w:pPr>
      <w:r>
        <w:rPr>
          <w:rFonts w:ascii="Arial" w:cs="Arial" w:eastAsia="Arial" w:hAnsi="Arial"/>
          <w:sz w:val="15"/>
          <w:szCs w:val="15"/>
          <w:color w:val="auto"/>
        </w:rPr>
        <w:t>Liens on cash and cash equivalents securing reimbursement obligations for letters of credit not exceeding $250,000 at any time.</w:t>
      </w:r>
    </w:p>
    <w:p>
      <w:pPr>
        <w:spacing w:after="0" w:line="96"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Person</w:t>
      </w:r>
      <w:r>
        <w:rPr>
          <w:rFonts w:ascii="Arial" w:cs="Arial" w:eastAsia="Arial" w:hAnsi="Arial"/>
          <w:sz w:val="17"/>
          <w:szCs w:val="17"/>
          <w:color w:val="auto"/>
        </w:rPr>
        <w:t>” means any individual, sole proprietorship, partnership, joint venture, trust, unincorporated organization, association, corporation, limited liability company, institution, public benefit corporation, other entity or government (whether federal, state, county, city, municipal, local, foreign, or otherwise, including any instrumentality, division, agency, body or department thereof).</w:t>
      </w:r>
    </w:p>
    <w:p>
      <w:pPr>
        <w:spacing w:after="0" w:line="20" w:lineRule="exact"/>
        <w:rPr>
          <w:sz w:val="20"/>
          <w:szCs w:val="20"/>
          <w:color w:val="auto"/>
        </w:rPr>
      </w:pPr>
      <w:r>
        <w:rPr>
          <w:sz w:val="20"/>
          <w:szCs w:val="20"/>
          <w:color w:val="auto"/>
        </w:rPr>
        <w:br w:type="column"/>
      </w:r>
    </w:p>
    <w:p>
      <w:pPr>
        <w:ind w:right="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Proceeds</w:t>
      </w:r>
      <w:r>
        <w:rPr>
          <w:rFonts w:ascii="Arial" w:cs="Arial" w:eastAsia="Arial" w:hAnsi="Arial"/>
          <w:sz w:val="16"/>
          <w:szCs w:val="16"/>
          <w:color w:val="auto"/>
        </w:rPr>
        <w:t>” means “proceeds,” as such term is defined in the UCC and, in any event, shall include, without limitation, (a) any and all Accounts, Chattel Paper, Instruments, cash or other forms of money or currency or other proceeds payable to Borrower from time to time in respect of the Collateral, (b) any and all proceeds of any insurance, indemnity, warranty or guaranty payable to Borrower from time to time with respect to any of the Collateral, (c) any and all payments (in any form whatsoever) made or due and payable to Borrower from time to time in connection with any requisition, confiscation, condemnation, seizure or forfeiture of all or any part of the Collateral by any governmental authority (or any Person acting under color of governmental authority), (d) any claim of Borrower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-2613660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Public Offering</w:t>
      </w:r>
      <w:r>
        <w:rPr>
          <w:rFonts w:ascii="Arial" w:cs="Arial" w:eastAsia="Arial" w:hAnsi="Arial"/>
          <w:sz w:val="18"/>
          <w:szCs w:val="18"/>
          <w:color w:val="auto"/>
        </w:rPr>
        <w:t>” means the closing of a firmly underwritten public offering of Borrower’s common stock with aggregate proceeds of not less than $75,000,000 (prior to underwriting expenses and commissions).</w:t>
      </w:r>
    </w:p>
    <w:p>
      <w:pPr>
        <w:spacing w:after="0" w:line="18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Rani Management</w:t>
      </w:r>
      <w:r>
        <w:rPr>
          <w:rFonts w:ascii="Arial" w:cs="Arial" w:eastAsia="Arial" w:hAnsi="Arial"/>
          <w:sz w:val="18"/>
          <w:szCs w:val="18"/>
          <w:color w:val="auto"/>
        </w:rPr>
        <w:t>” means Rani Management Services, Inc., a Delaware corporation and wholly-owned Subsidiary of Borrower.</w:t>
      </w:r>
    </w:p>
    <w:p>
      <w:pPr>
        <w:spacing w:after="0" w:line="16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Receivables</w:t>
      </w:r>
      <w:r>
        <w:rPr>
          <w:rFonts w:ascii="Arial" w:cs="Arial" w:eastAsia="Arial" w:hAnsi="Arial"/>
          <w:sz w:val="18"/>
          <w:szCs w:val="18"/>
          <w:color w:val="auto"/>
        </w:rPr>
        <w:t>” means all of Borrower’s Accounts, Instruments, Documents, Chattel Paper, Supporting Obligations, and letters of credit and Letter of Credit Rights.</w:t>
      </w:r>
    </w:p>
    <w:p>
      <w:pPr>
        <w:spacing w:after="0" w:line="176"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Records</w:t>
      </w:r>
      <w:r>
        <w:rPr>
          <w:rFonts w:ascii="Arial" w:cs="Arial" w:eastAsia="Arial" w:hAnsi="Arial"/>
          <w:sz w:val="17"/>
          <w:szCs w:val="17"/>
          <w:color w:val="auto"/>
        </w:rPr>
        <w:t>” means all Borrower’s computer programs, software, hardware, source codes and data processing information, all written documents, books, invoices, ledger sheets, financial information and statements, and all other writings concerning Borrower’s business.</w:t>
      </w:r>
    </w:p>
    <w:p>
      <w:pPr>
        <w:spacing w:after="0" w:line="16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Related Person</w:t>
      </w:r>
      <w:r>
        <w:rPr>
          <w:rFonts w:ascii="Arial" w:cs="Arial" w:eastAsia="Arial" w:hAnsi="Arial"/>
          <w:sz w:val="16"/>
          <w:szCs w:val="16"/>
          <w:color w:val="auto"/>
        </w:rPr>
        <w:t>” means any Affiliate of Borrower, or any officer, employee, manager or equity security holder of Borrower or any Affiliate.</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Rights to Payment</w:t>
      </w:r>
      <w:r>
        <w:rPr>
          <w:rFonts w:ascii="Arial" w:cs="Arial" w:eastAsia="Arial" w:hAnsi="Arial"/>
          <w:sz w:val="16"/>
          <w:szCs w:val="16"/>
          <w:color w:val="auto"/>
        </w:rPr>
        <w:t>” means all Borrower’s accounts, instruments, contract rights, documents, chattel paper and all other rights to payment, including, without limitation, the Accounts, all negotiable certificates of deposit and all rights to payment under any Patent License, any Trademark License, or any commercial or standby letter of credit.</w:t>
      </w:r>
    </w:p>
    <w:p>
      <w:pPr>
        <w:spacing w:after="0" w:line="200" w:lineRule="exact"/>
        <w:rPr>
          <w:sz w:val="20"/>
          <w:szCs w:val="20"/>
          <w:color w:val="auto"/>
        </w:rPr>
      </w:pPr>
    </w:p>
    <w:p>
      <w:pPr>
        <w:sectPr>
          <w:pgSz w:w="11900" w:h="16838" w:orient="portrait"/>
          <w:cols w:equalWidth="0" w:num="2">
            <w:col w:w="5280" w:space="340"/>
            <w:col w:w="5380"/>
          </w:cols>
          <w:pgMar w:left="440" w:top="324" w:right="459" w:bottom="1440" w:gutter="0" w:footer="0" w:header="0"/>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00"/>
          </w:cols>
          <w:pgMar w:left="440" w:top="324" w:right="459" w:bottom="1440" w:gutter="0" w:footer="0" w:header="0"/>
          <w:type w:val="continuous"/>
        </w:sectPr>
      </w:pPr>
    </w:p>
    <w:bookmarkStart w:id="375" w:name="page376"/>
    <w:bookmarkEnd w:id="375"/>
    <w:p>
      <w:pPr>
        <w:ind w:left="4" w:right="22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Security Documents</w:t>
      </w:r>
      <w:r>
        <w:rPr>
          <w:rFonts w:ascii="Arial" w:cs="Arial" w:eastAsia="Arial" w:hAnsi="Arial"/>
          <w:sz w:val="16"/>
          <w:szCs w:val="16"/>
          <w:color w:val="auto"/>
        </w:rPr>
        <w:t>” means this Loan and Security Agreement, the Supplement hereto, the Intellectual Property Security Agreement, and any and all account control agreements, collateral assignments, chattel mortgages, financing statements, amendments to any of the foregoing and other documents from time to time executed or filed to create, perfect or maintain the perfection of Lender’s Liens on the Collateral.</w:t>
      </w:r>
    </w:p>
    <w:p>
      <w:pPr>
        <w:spacing w:after="0" w:line="160"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means: (a) one hundred percent (100%) of the issued and outstanding capital stock, membership units or other securities owned or held of record by Borrower in any Subsidiary that is not a controlled foreign corporation (as defined in the Internal Revenue Code), and (b) 65% of the issued and outstanding capital stock, membership units or other securities entitled to vote owned or held of record by Borrower in any Subsidiary that is a controlled foreign corporation (as defined in the Internal Revenue Code).</w:t>
      </w:r>
    </w:p>
    <w:p>
      <w:pPr>
        <w:spacing w:after="0" w:line="17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Subordinated Debt</w:t>
      </w:r>
      <w:r>
        <w:rPr>
          <w:rFonts w:ascii="Arial" w:cs="Arial" w:eastAsia="Arial" w:hAnsi="Arial"/>
          <w:sz w:val="16"/>
          <w:szCs w:val="16"/>
          <w:color w:val="auto"/>
        </w:rPr>
        <w:t>” means Indebtedness (i) approved by Lender; and</w:t>
      </w:r>
    </w:p>
    <w:p>
      <w:pPr>
        <w:spacing w:after="0" w:line="50" w:lineRule="exact"/>
        <w:rPr>
          <w:sz w:val="20"/>
          <w:szCs w:val="20"/>
          <w:color w:val="auto"/>
        </w:rPr>
      </w:pPr>
    </w:p>
    <w:p>
      <w:pPr>
        <w:ind w:left="4" w:hanging="4"/>
        <w:spacing w:after="0" w:line="288" w:lineRule="auto"/>
        <w:tabs>
          <w:tab w:leader="none" w:pos="269" w:val="left"/>
        </w:tabs>
        <w:numPr>
          <w:ilvl w:val="0"/>
          <w:numId w:val="279"/>
        </w:numPr>
        <w:rPr>
          <w:rFonts w:ascii="Arial" w:cs="Arial" w:eastAsia="Arial" w:hAnsi="Arial"/>
          <w:sz w:val="16"/>
          <w:szCs w:val="16"/>
          <w:color w:val="auto"/>
        </w:rPr>
      </w:pPr>
      <w:r>
        <w:rPr>
          <w:rFonts w:ascii="Arial" w:cs="Arial" w:eastAsia="Arial" w:hAnsi="Arial"/>
          <w:sz w:val="16"/>
          <w:szCs w:val="16"/>
          <w:color w:val="auto"/>
        </w:rPr>
        <w:t>where the holder’s right to payment of such Indebtedness, the priority of any Lien securing the same, and the rights of the holder thereof to enforce remedies against Borrower following default have been made subordinate to the Liens of Lender and to the prior payment to Lender of the Obligations, either (A) pursuant to a written subordination agreement approved by Lender in its sole but reasonable discretion or (B) on terms otherwise approved by Lender in its sole but reasonable discretion.</w:t>
      </w:r>
    </w:p>
    <w:p>
      <w:pPr>
        <w:spacing w:after="0" w:line="164" w:lineRule="exact"/>
        <w:rPr>
          <w:sz w:val="20"/>
          <w:szCs w:val="20"/>
          <w:color w:val="auto"/>
        </w:rPr>
      </w:pPr>
    </w:p>
    <w:p>
      <w:pPr>
        <w:jc w:val="both"/>
        <w:ind w:left="4" w:right="22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means any Person a majority of the equity ownership or voting stock of which is directly or indirectly now owned or hereafter acquired by Borrower or by one or more other Subsidiaries.</w:t>
      </w:r>
    </w:p>
    <w:p>
      <w:pPr>
        <w:spacing w:after="0" w:line="142" w:lineRule="exact"/>
        <w:rPr>
          <w:sz w:val="20"/>
          <w:szCs w:val="20"/>
          <w:color w:val="auto"/>
        </w:rPr>
      </w:pPr>
    </w:p>
    <w:p>
      <w:pPr>
        <w:jc w:val="both"/>
        <w:ind w:left="4" w:right="1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Supplement</w:t>
      </w:r>
      <w:r>
        <w:rPr>
          <w:rFonts w:ascii="Arial" w:cs="Arial" w:eastAsia="Arial" w:hAnsi="Arial"/>
          <w:sz w:val="16"/>
          <w:szCs w:val="16"/>
          <w:color w:val="auto"/>
        </w:rPr>
        <w:t>” means that certain supplement to the Loan and Security Agreement, as the same may be amended or restated from time to time, and any other supplements entered into between Borrower and Lender, as the same may be amended or restated from time to time.</w:t>
      </w:r>
    </w:p>
    <w:p>
      <w:pPr>
        <w:spacing w:after="0" w:line="151"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Supporting Obligations</w:t>
      </w:r>
      <w:r>
        <w:rPr>
          <w:rFonts w:ascii="Arial" w:cs="Arial" w:eastAsia="Arial" w:hAnsi="Arial"/>
          <w:sz w:val="18"/>
          <w:szCs w:val="18"/>
          <w:color w:val="auto"/>
        </w:rPr>
        <w:t>” means any “supporting obligations,” as such term is defined in the UCC, now owned or hereafter acquired by Borrower or in which Borrower now holds or hereafter acquires any interest.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Termination Date</w:t>
      </w:r>
      <w:r>
        <w:rPr>
          <w:rFonts w:ascii="Arial" w:cs="Arial" w:eastAsia="Arial" w:hAnsi="Arial"/>
          <w:sz w:val="17"/>
          <w:szCs w:val="17"/>
          <w:color w:val="auto"/>
        </w:rPr>
        <w:t>” has the meaning specified in the Supplement.</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Threshold Amount</w:t>
      </w:r>
      <w:r>
        <w:rPr>
          <w:rFonts w:ascii="Arial" w:cs="Arial" w:eastAsia="Arial" w:hAnsi="Arial"/>
          <w:sz w:val="17"/>
          <w:szCs w:val="17"/>
          <w:color w:val="auto"/>
        </w:rPr>
        <w:t>” has the meaning specified in the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-240665</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17"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Trademark License</w:t>
      </w:r>
      <w:r>
        <w:rPr>
          <w:rFonts w:ascii="Arial" w:cs="Arial" w:eastAsia="Arial" w:hAnsi="Arial"/>
          <w:sz w:val="18"/>
          <w:szCs w:val="18"/>
          <w:color w:val="auto"/>
        </w:rPr>
        <w:t>” means any written agreement granting any right to use any Trademark or Trademark registration now owned or hereafter acquired by Borrower or in which Borrower now holds or hereafter acquires any interest.</w:t>
      </w:r>
    </w:p>
    <w:p>
      <w:pPr>
        <w:spacing w:after="0" w:line="180" w:lineRule="exact"/>
        <w:rPr>
          <w:sz w:val="20"/>
          <w:szCs w:val="20"/>
          <w:color w:val="auto"/>
        </w:rPr>
      </w:pPr>
    </w:p>
    <w:p>
      <w:pPr>
        <w:ind w:left="200" w:right="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Trademarks</w:t>
      </w:r>
      <w:r>
        <w:rPr>
          <w:rFonts w:ascii="Arial" w:cs="Arial" w:eastAsia="Arial" w:hAnsi="Arial"/>
          <w:sz w:val="16"/>
          <w:szCs w:val="16"/>
          <w:color w:val="auto"/>
        </w:rPr>
        <w:t>” means all of the following property now owned or hereafter acquired by Borrower or in which Borrower now holds or hereafter acquires any interest: (a) all trademarks, tradenames,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68"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UCC</w:t>
      </w:r>
      <w:r>
        <w:rPr>
          <w:rFonts w:ascii="Arial" w:cs="Arial" w:eastAsia="Arial" w:hAnsi="Arial"/>
          <w:sz w:val="17"/>
          <w:szCs w:val="17"/>
          <w:color w:val="auto"/>
        </w:rPr>
        <w:t xml:space="preserve">” means the Uniform Commercial Code as the same may, from time to time, be in effect in the State of California;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by reason of mandatory provisions of law, any or all of the attachment, perfection or priority of, or remedies with respect to, Lender’s Lien on any Collateral is governed by the Uniform Commercial Code as enacted and in effect in a jurisdiction other than the State of California, the term “</w:t>
      </w:r>
      <w:r>
        <w:rPr>
          <w:rFonts w:ascii="Arial" w:cs="Arial" w:eastAsia="Arial" w:hAnsi="Arial"/>
          <w:sz w:val="17"/>
          <w:szCs w:val="17"/>
          <w:b w:val="1"/>
          <w:bCs w:val="1"/>
          <w:u w:val="single" w:color="auto"/>
          <w:color w:val="auto"/>
        </w:rPr>
        <w:t>UCC</w:t>
      </w:r>
      <w:r>
        <w:rPr>
          <w:rFonts w:ascii="Arial" w:cs="Arial" w:eastAsia="Arial" w:hAnsi="Arial"/>
          <w:sz w:val="17"/>
          <w:szCs w:val="17"/>
          <w:color w:val="auto"/>
        </w:rPr>
        <w:t>”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has the meaning specified in the Supplement.</w:t>
      </w:r>
    </w:p>
    <w:p>
      <w:pPr>
        <w:spacing w:after="0" w:line="229"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5284" w:space="140"/>
            <w:col w:w="5580"/>
          </w:cols>
          <w:pgMar w:left="436" w:top="324" w:right="45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page to Loan and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as of the date first above written.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AVENUE VENTURE OPPORTUNITIES FUND, L.P.</w:t>
      </w:r>
    </w:p>
    <w:p>
      <w:pPr>
        <w:sectPr>
          <w:pgSz w:w="11900" w:h="16838" w:orient="portrait"/>
          <w:cols w:equalWidth="0" w:num="1">
            <w:col w:w="10019"/>
          </w:cols>
          <w:pgMar w:left="440" w:top="274" w:right="1440"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Avenue Venture Opportunities Partners,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260" w:space="360"/>
            <w:col w:w="9399"/>
          </w:cols>
          <w:pgMar w:left="440" w:top="274" w:right="1440" w:bottom="1440" w:gutter="0" w:footer="0" w:header="0"/>
          <w:type w:val="continuous"/>
        </w:sectPr>
      </w:pPr>
    </w:p>
    <w:p>
      <w:pPr>
        <w:spacing w:after="0" w:line="11"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Sonia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29210</wp:posOffset>
            </wp:positionV>
            <wp:extent cx="24345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type w:val="continuous"/>
        </w:sectPr>
      </w:pPr>
    </w:p>
    <w:bookmarkStart w:id="377" w:name="page378"/>
    <w:bookmarkEnd w:id="37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 and Security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September 15,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Rani Therapeutics,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Avenue Venture Opportunities Fund, L.P.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Collateral consists of all of Borrower’s right, title and interest in and to the following property, whether now owned or hereafter acquired and wherever located: (a) all Receivables; (b) all Equipment; (c) all Fixtures; (d) all General Intangibles (including all Intellectual Property); (e) all Inventory; (f) all Investment Property; (g) 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9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Notwithstanding the foregoing the term “Collateral” shall not include: (i) more than sixty-five percent (65%) of the issued and outstanding capital stock, membership units or other securities entitled to vote owned or held of record by Borrower in any Subsidiary that is a controlled foreign corporation (as defined in the Internal Revenue Code), provided that the Collateral shall include one hundred percent (100%) of the issued and outstanding non-voting capital stock of such Subsidiary;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(iii) any property (including any accessions, additions, replacements or substitutions) subject to a Lien that constitutes a Permitted Lien under clause (c) of the definition of Permitted Liens if Borrower is prohibited from granting a security interest in such property provided, that immediately upon the lapse or termination of any such provision, the term “Collateral” shall include, and Borrower shall be deemed to have granted a security interest in, all its rights, title and interests in and to such property; (iv) any contract, Instrument or Chattel Paper in which Borrower has any right, title or interest if and to the extent such contract, Instrument or Chattel Paper includes a provision containing a restriction on assignment such that the creation of a security interest in the right, title or interest of Borrower therein would be prohibited and would, in and of itself, cause or result in a default thereunder enabling another person party to such contract, Instrument or Chattel Paper to enforce any remedy with respect thereto; or (v) the Excluded Accounts;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foregoing exclusions in clauses (iii) and (iv)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immediately upon the ineffectiveness, lapse or termination of any such provision, the term “Collateral” shall include, and Borrower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or Chattel Paper.</w:t>
      </w:r>
    </w:p>
    <w:p>
      <w:pPr>
        <w:sectPr>
          <w:pgSz w:w="11900" w:h="16838" w:orient="portrait"/>
          <w:cols w:equalWidth="0" w:num="1">
            <w:col w:w="11000"/>
          </w:cols>
          <w:pgMar w:left="440" w:top="274" w:right="459"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II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Loan and Security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September 15,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Rani Therapeutics, LLC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Avenue Venture Opportunities Fund, L.P.</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Collateral consists of all of Borrower’s right, title and interest in and to the following property, whether now owned or hereafter acquired and wherever located: (a) all Receivables; (b) all Equipment; (c) all Fixtures; (d) all General Intangibles (except as noted below); (e) all Inventory; (f) all Investment Property; (g) 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6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Notwithstanding the foregoing the term “Collateral” shall not include: (i) more than sixty-five percent (65%) of the issued and outstanding capital stock, membership units or other securities entitled to vote owned or held of record by Borrower in any Subsidiary that is a controlled foreign corporation (as defined in the Internal Revenue Code), provided that the Collateral shall include one hundred percent (100%) of the issued and outstanding non-voting capital stock of such Subsidiary; (ii)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Closing Date, include the Intellectual Property to the extent necessary to permit perfection of Lender’s security interest in such Accounts and such other property of Borrower that are proceeds of the Intellectual Property; (iii)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(iv) any property (including any accessions, additions, replacements or substitutions) subject to a Lien that constitutes a Permitted Lien under clause (c) of the definition of Permitted Liens if Borrower is prohibited from granting a security interest in such property provided, that immediately upon the lapse or termination of any such provision, the term “Collateral” shall include, and Borrower shall be deemed to have granted a security interest in, all its rights, title and interests in and to such property; (v) any contract, Instrument or Chattel Paper in which Borrower has any right, title or interest if and to the extent such contract, Instrument or Chattel Paper includes a provision containing a restriction on assignment such that the creation of a security interest in the right, title or interest of Borrower therein would be prohibited and would, in and of itself, cause or result in a default thereunder enabling another person party to such contract, Instrument or Chattel Paper to enforce any remedy with respect thereto; or (vi) the Excluded Accounts;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foregoing exclusions in clauses (iv) and (v)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immediately upon the ineffectiveness, lapse or termination of any such provision, the term “Collateral” shall include, and Borrower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or Chattel Paper.</w:t>
      </w:r>
    </w:p>
    <w:p>
      <w:pPr>
        <w:sectPr>
          <w:pgSz w:w="11900" w:h="16838" w:orient="portrait"/>
          <w:cols w:equalWidth="0" w:num="1">
            <w:col w:w="10980"/>
          </w:cols>
          <w:pgMar w:left="440" w:top="274" w:right="47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29"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Note No. 1</w:t>
      </w:r>
    </w:p>
    <w:p>
      <w:pPr>
        <w:spacing w:after="0" w:line="275" w:lineRule="exact"/>
        <w:rPr>
          <w:sz w:val="20"/>
          <w:szCs w:val="20"/>
          <w:color w:val="auto"/>
        </w:rPr>
      </w:pPr>
    </w:p>
    <w:p>
      <w:pPr>
        <w:spacing w:after="0"/>
        <w:tabs>
          <w:tab w:leader="none" w:pos="9540" w:val="left"/>
        </w:tabs>
        <w:rPr>
          <w:sz w:val="20"/>
          <w:szCs w:val="20"/>
          <w:color w:val="auto"/>
        </w:rPr>
      </w:pPr>
      <w:r>
        <w:rPr>
          <w:rFonts w:ascii="Arial" w:cs="Arial" w:eastAsia="Arial" w:hAnsi="Arial"/>
          <w:sz w:val="18"/>
          <w:szCs w:val="18"/>
          <w:color w:val="auto"/>
        </w:rPr>
        <w:t>$3,000,000.00</w:t>
      </w:r>
      <w:r>
        <w:rPr>
          <w:sz w:val="20"/>
          <w:szCs w:val="20"/>
          <w:color w:val="auto"/>
        </w:rPr>
        <w:tab/>
      </w:r>
      <w:r>
        <w:rPr>
          <w:rFonts w:ascii="Arial" w:cs="Arial" w:eastAsia="Arial" w:hAnsi="Arial"/>
          <w:sz w:val="16"/>
          <w:szCs w:val="16"/>
          <w:color w:val="auto"/>
        </w:rPr>
        <w:t>September 15, 2020</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undersigned (“</w:t>
      </w:r>
      <w:r>
        <w:rPr>
          <w:rFonts w:ascii="Arial" w:cs="Arial" w:eastAsia="Arial" w:hAnsi="Arial"/>
          <w:sz w:val="18"/>
          <w:szCs w:val="18"/>
          <w:u w:val="single" w:color="auto"/>
          <w:color w:val="auto"/>
        </w:rPr>
        <w:t>Borrower</w:t>
      </w:r>
      <w:r>
        <w:rPr>
          <w:rFonts w:ascii="Arial" w:cs="Arial" w:eastAsia="Arial" w:hAnsi="Arial"/>
          <w:sz w:val="18"/>
          <w:szCs w:val="18"/>
          <w:color w:val="auto"/>
        </w:rPr>
        <w:t>”) promises to pay to the order of AVENUE VENTURE OPPORTUNITIES FUND, L.P., a Delaware limited partnership (“</w:t>
      </w:r>
      <w:r>
        <w:rPr>
          <w:rFonts w:ascii="Arial" w:cs="Arial" w:eastAsia="Arial" w:hAnsi="Arial"/>
          <w:sz w:val="18"/>
          <w:szCs w:val="18"/>
          <w:u w:val="single" w:color="auto"/>
          <w:color w:val="auto"/>
        </w:rPr>
        <w:t>Lender</w:t>
      </w:r>
      <w:r>
        <w:rPr>
          <w:rFonts w:ascii="Arial" w:cs="Arial" w:eastAsia="Arial" w:hAnsi="Arial"/>
          <w:sz w:val="18"/>
          <w:szCs w:val="18"/>
          <w:color w:val="auto"/>
        </w:rPr>
        <w:t>”), at such place as Lender may designate in writing, in lawful money of the United States of America, the principal sum of Three Million Dollars ($3,000,000.00), with interest thereon from the date hereof until maturity, whether scheduled or accelerated, at a variable rate per annum equal to the sum of (i) the greater of (A) the Prime Rate and (B) three and one-quarters percent (3.25%), plus (ii) eight percent (8.00%) (the “</w:t>
      </w:r>
      <w:r>
        <w:rPr>
          <w:rFonts w:ascii="Arial" w:cs="Arial" w:eastAsia="Arial" w:hAnsi="Arial"/>
          <w:sz w:val="18"/>
          <w:szCs w:val="18"/>
          <w:u w:val="single" w:color="auto"/>
          <w:color w:val="auto"/>
        </w:rPr>
        <w:t>Designated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according to the payment schedule described herein, except as otherwise provided herein. In addition, on the Maturity Date, the Borrower promises to pay to the order of Lender (i) all principal and accrued interest then remaining unpaid and (ii) the Final Payment (as defined in the Loan Agreement (as defined herein)).</w:t>
      </w:r>
    </w:p>
    <w:p>
      <w:pPr>
        <w:spacing w:after="0" w:line="19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Note is one of the Notes referred to in, and is entitled to all the benefits of, a Loan and Security Agreement, dated as of September 15, 2020, between Borrower and Lender (as the same has been and may be amended, restated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Each capitalized term not otherwise defined herein shall have the meaning set forth in the Loan Agreement. The Loan Agreement contains provisions for the acceleration of the maturity of this Note upon the happening of certain stated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Principal of and interest on this Note shall be payable as provided under Section 2 of Part 2 of the Supplement to the 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Note may be prepaid only as permitted under Section 2 of Part 2 of the Supplement to the Loan Agreement.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unpaid payments of principal or interest on this Note shall bear interest from their respective maturities, whether scheduled or accelerated, at a rate per annum equal to the Default Rate, compounded monthly. Borrower shall pay such interest on demand.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charges and fees shall be calculated for actual days elapsed on the basis of a 360-day year, which results in higher interest, charge or fee payments than if a 365-day year were used. In no event shall Borrower be obligated to pay interest, charges or fees at a rate in excess of the highest rate permitted by applicable law from time to time in effect.</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Borrower is late in making any scheduled payment under this Note by more than five (5) days, Borrower agrees to pay a “late charge” of five percent (5%) of the installment due, but not less than fifty dollars ($50)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Note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Note or any of the other Loan Documents or from exercising any other rights and remedies of Lender.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Note shall be governed by, and construed in accordance with, the laws of the State of California, excluding those laws that direct the application of the laws of another jurisdiction.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Svai Sanford</w:t>
            </w:r>
          </w:p>
        </w:tc>
      </w:tr>
      <w:tr>
        <w:trPr>
          <w:trHeight w:val="209"/>
        </w:trPr>
        <w:tc>
          <w:tcPr>
            <w:tcW w:w="520" w:type="dxa"/>
            <w:vAlign w:val="bottom"/>
          </w:tcPr>
          <w:p>
            <w:pPr>
              <w:spacing w:after="0"/>
              <w:rPr>
                <w:sz w:val="20"/>
                <w:szCs w:val="20"/>
                <w:color w:val="auto"/>
              </w:rPr>
            </w:pPr>
            <w:r>
              <w:rPr>
                <w:rFonts w:ascii="Arial" w:cs="Arial" w:eastAsia="Arial" w:hAnsi="Arial"/>
                <w:sz w:val="18"/>
                <w:szCs w:val="18"/>
                <w:color w:val="auto"/>
                <w:w w:val="94"/>
              </w:rPr>
              <w:t>Name:</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Svai Sanford</w:t>
            </w:r>
          </w:p>
        </w:tc>
      </w:tr>
      <w:tr>
        <w:trPr>
          <w:trHeight w:val="210"/>
        </w:trPr>
        <w:tc>
          <w:tcPr>
            <w:tcW w:w="520" w:type="dxa"/>
            <w:vAlign w:val="bottom"/>
          </w:tcPr>
          <w:p>
            <w:pPr>
              <w:spacing w:after="0"/>
              <w:rPr>
                <w:sz w:val="20"/>
                <w:szCs w:val="20"/>
                <w:color w:val="auto"/>
              </w:rPr>
            </w:pPr>
            <w:r>
              <w:rPr>
                <w:rFonts w:ascii="Arial" w:cs="Arial" w:eastAsia="Arial" w:hAnsi="Arial"/>
                <w:sz w:val="18"/>
                <w:szCs w:val="18"/>
                <w:color w:val="auto"/>
              </w:rPr>
              <w:t>Its:</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4" w:right="4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September 15,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LLC (“Borrower”)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Avenue Venture Opportunities Fund, L.P.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is a Supplement identified in the document entitled Loan and Security Agreement, dated as of September 15, 2020 (as amended, restated, supplemented and modified from time to time, the “</w:t>
      </w:r>
      <w:r>
        <w:rPr>
          <w:rFonts w:ascii="Arial" w:cs="Arial" w:eastAsia="Arial" w:hAnsi="Arial"/>
          <w:sz w:val="18"/>
          <w:szCs w:val="18"/>
          <w:b w:val="1"/>
          <w:bCs w:val="1"/>
          <w:color w:val="auto"/>
        </w:rPr>
        <w:t>Loan and Security Agreement</w:t>
      </w:r>
      <w:r>
        <w:rPr>
          <w:rFonts w:ascii="Arial" w:cs="Arial" w:eastAsia="Arial" w:hAnsi="Arial"/>
          <w:sz w:val="18"/>
          <w:szCs w:val="18"/>
          <w:color w:val="auto"/>
        </w:rPr>
        <w:t>”), by and between Borrower and Lender. All capitalized terms used in this Supplement and not otherwise defined in this Supplement have the meanings ascribed to them in Article 10 of the Loan and Security Agreement, which is incorporated in its entirety into this Supplement. In the event of any inconsistency between the provisions of the Loan and Security Agreement and this Supplement, this Supplement is controlling.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provisions of the Loan and Security Agreement, the parties agree as follows: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Part 1 - Additional Definitions:</w:t>
      </w:r>
    </w:p>
    <w:p>
      <w:pPr>
        <w:spacing w:after="0" w:line="117"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Period</w:t>
      </w:r>
      <w:r>
        <w:rPr>
          <w:rFonts w:ascii="Arial" w:cs="Arial" w:eastAsia="Arial" w:hAnsi="Arial"/>
          <w:sz w:val="18"/>
          <w:szCs w:val="18"/>
          <w:color w:val="auto"/>
        </w:rPr>
        <w:t>” means the period commencing on the first day of the first full calendar month following the Interest-only Period and continuing until the Maturity Date.</w:t>
      </w:r>
    </w:p>
    <w:p>
      <w:pPr>
        <w:spacing w:after="0" w:line="162"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subject to the terms and conditions set forth in the Loan and Security Agreement and this Supplement, Lender’s commitment to make Growth Capital Loans to Borrower up to the aggregate original principal amount of Ten Million Dollars ($10,000,000), with Three Million Dollars ($3,000,000) funded on the Closing Date; and up to Seven Million Dollars ($7,000,000) to be funded between the Tranche 2 Start Date and the Termination Date, subject to the conditions in Section 1(a) of Part 2 (“</w:t>
      </w:r>
      <w:r>
        <w:rPr>
          <w:rFonts w:ascii="Arial" w:cs="Arial" w:eastAsia="Arial" w:hAnsi="Arial"/>
          <w:sz w:val="18"/>
          <w:szCs w:val="18"/>
          <w:b w:val="1"/>
          <w:bCs w:val="1"/>
          <w:color w:val="auto"/>
        </w:rPr>
        <w:t>Tranche 2</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Option Principal</w:t>
      </w:r>
      <w:r>
        <w:rPr>
          <w:rFonts w:ascii="Arial" w:cs="Arial" w:eastAsia="Arial" w:hAnsi="Arial"/>
          <w:sz w:val="18"/>
          <w:szCs w:val="18"/>
          <w:color w:val="auto"/>
        </w:rPr>
        <w:t>” is defined in Part 2, Section 3(d)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Financing</w:t>
      </w:r>
      <w:r>
        <w:rPr>
          <w:rFonts w:ascii="Arial" w:cs="Arial" w:eastAsia="Arial" w:hAnsi="Arial"/>
          <w:sz w:val="18"/>
          <w:szCs w:val="18"/>
          <w:color w:val="auto"/>
        </w:rPr>
        <w:t>” is defined in Part 2, Section 3(d) hereof.</w:t>
      </w:r>
    </w:p>
    <w:p>
      <w:pPr>
        <w:spacing w:after="0" w:line="225"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Rate</w:t>
      </w:r>
      <w:r>
        <w:rPr>
          <w:rFonts w:ascii="Arial" w:cs="Arial" w:eastAsia="Arial" w:hAnsi="Arial"/>
          <w:sz w:val="17"/>
          <w:szCs w:val="17"/>
          <w:color w:val="auto"/>
        </w:rPr>
        <w:t xml:space="preserve">” means, for each Growth Capital Loan, a variable rate of interest per annum equal to the sum of (i) the greater of (A) the Prime Rate and (B) three and one-quarters percent (3.25%),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 eight percent (8.00%). Changes to the Designated Rate based on changes to the Prime Rate shall be effective as of the next scheduled interest payment date immediately following such change.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 or any successor thereto.</w:t>
      </w:r>
    </w:p>
    <w:p>
      <w:pPr>
        <w:spacing w:after="0" w:line="225" w:lineRule="exact"/>
        <w:rPr>
          <w:sz w:val="20"/>
          <w:szCs w:val="20"/>
          <w:color w:val="auto"/>
        </w:rPr>
      </w:pPr>
    </w:p>
    <w:p>
      <w:pPr>
        <w:ind w:right="4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Payment</w:t>
      </w:r>
      <w:r>
        <w:rPr>
          <w:rFonts w:ascii="Arial" w:cs="Arial" w:eastAsia="Arial" w:hAnsi="Arial"/>
          <w:sz w:val="17"/>
          <w:szCs w:val="17"/>
          <w:color w:val="auto"/>
        </w:rPr>
        <w:t>” means a payment (in addition to and not a substitution for the regular monthly payments of principal plus accrued interest) equal to four and one-quarter percent (4.25%) of the original Commitment amount of Ten Million Dollars ($10,000,000).</w:t>
      </w:r>
    </w:p>
    <w:p>
      <w:pPr>
        <w:spacing w:after="0" w:line="14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Growth Capital Loan</w:t>
      </w:r>
      <w:r>
        <w:rPr>
          <w:rFonts w:ascii="Arial" w:cs="Arial" w:eastAsia="Arial" w:hAnsi="Arial"/>
          <w:sz w:val="18"/>
          <w:szCs w:val="18"/>
          <w:color w:val="auto"/>
        </w:rPr>
        <w:t>” means any Loan requested by Borrower and funded by Lender under its Commitment for general corporate purposes of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IDE</w:t>
      </w:r>
      <w:r>
        <w:rPr>
          <w:rFonts w:ascii="Arial" w:cs="Arial" w:eastAsia="Arial" w:hAnsi="Arial"/>
          <w:sz w:val="18"/>
          <w:szCs w:val="18"/>
          <w:color w:val="auto"/>
        </w:rPr>
        <w:t>” means an investigational device exemption issued by the FDA.</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Interest-only Period</w:t>
      </w:r>
      <w:r>
        <w:rPr>
          <w:rFonts w:ascii="Arial" w:cs="Arial" w:eastAsia="Arial" w:hAnsi="Arial"/>
          <w:sz w:val="18"/>
          <w:szCs w:val="18"/>
          <w:color w:val="auto"/>
        </w:rPr>
        <w:t>” means the period commencing on the Closing Date and continuing until the twelfth (12</w:t>
      </w:r>
      <w:r>
        <w:rPr>
          <w:rFonts w:ascii="Arial" w:cs="Arial" w:eastAsia="Arial" w:hAnsi="Arial"/>
          <w:sz w:val="15"/>
          <w:szCs w:val="15"/>
          <w:color w:val="auto"/>
        </w:rPr>
        <w:t>th</w:t>
      </w:r>
      <w:r>
        <w:rPr>
          <w:rFonts w:ascii="Arial" w:cs="Arial" w:eastAsia="Arial" w:hAnsi="Arial"/>
          <w:sz w:val="18"/>
          <w:szCs w:val="18"/>
          <w:color w:val="auto"/>
        </w:rPr>
        <w:t>) month anniversary of the Closing Date; provided, however, that such period shall be extended for six (6) months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82" w:name="page383"/>
    <w:bookmarkEnd w:id="382"/>
    <w:p>
      <w:pPr>
        <w:ind w:right="16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Arial" w:cs="Arial" w:eastAsia="Arial" w:hAnsi="Arial"/>
          <w:sz w:val="16"/>
          <w:szCs w:val="16"/>
          <w:b w:val="1"/>
          <w:bCs w:val="1"/>
          <w:color w:val="auto"/>
        </w:rPr>
        <w:t>First Interest-only Period Extension</w:t>
      </w:r>
      <w:r>
        <w:rPr>
          <w:rFonts w:ascii="Arial" w:cs="Arial" w:eastAsia="Arial" w:hAnsi="Arial"/>
          <w:sz w:val="16"/>
          <w:szCs w:val="16"/>
          <w:color w:val="auto"/>
        </w:rPr>
        <w:t xml:space="preserve">”) if as of the last day of the Interest-only Period then in effect Borrower has achieved the Qualified Public Offering;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however that such period shall be extended for an additional six (6) months if, as of the last day of the Interest-only Period then in effect, Borrower has achieved (a) the First Interest-only Period Extension and (b) positive IDE study data, which supports FDA approval of RaniPill Master File; </w:t>
      </w:r>
      <w:r>
        <w:rPr>
          <w:rFonts w:ascii="Arial" w:cs="Arial" w:eastAsia="Arial" w:hAnsi="Arial"/>
          <w:sz w:val="16"/>
          <w:szCs w:val="16"/>
          <w:i w:val="1"/>
          <w:iCs w:val="1"/>
          <w:color w:val="auto"/>
        </w:rPr>
        <w:t>provided, further</w:t>
      </w:r>
      <w:r>
        <w:rPr>
          <w:rFonts w:ascii="Arial" w:cs="Arial" w:eastAsia="Arial" w:hAnsi="Arial"/>
          <w:sz w:val="16"/>
          <w:szCs w:val="16"/>
          <w:color w:val="auto"/>
        </w:rPr>
        <w:t>, however, that the Interest-only Period shall not exceed twenty-four (24) months.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or “</w:t>
      </w:r>
      <w:r>
        <w:rPr>
          <w:rFonts w:ascii="Arial" w:cs="Arial" w:eastAsia="Arial" w:hAnsi="Arial"/>
          <w:sz w:val="18"/>
          <w:szCs w:val="18"/>
          <w:b w:val="1"/>
          <w:bCs w:val="1"/>
          <w:color w:val="auto"/>
        </w:rPr>
        <w:t>Loans</w:t>
      </w:r>
      <w:r>
        <w:rPr>
          <w:rFonts w:ascii="Arial" w:cs="Arial" w:eastAsia="Arial" w:hAnsi="Arial"/>
          <w:sz w:val="18"/>
          <w:szCs w:val="18"/>
          <w:color w:val="auto"/>
        </w:rPr>
        <w:t>” mean, as the context may require, individually a Growth Capital Loan, and collectively, the Growth Capital Loans.</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Commencement Date</w:t>
      </w:r>
      <w:r>
        <w:rPr>
          <w:rFonts w:ascii="Arial" w:cs="Arial" w:eastAsia="Arial" w:hAnsi="Arial"/>
          <w:sz w:val="18"/>
          <w:szCs w:val="18"/>
          <w:color w:val="auto"/>
        </w:rPr>
        <w:t>” means, with respect to each Growth Capital Loan: (a) the first day of the first full calendar month following the Borrowing Date of such Loan if such Borrowing Date is not the first day of a month; or (b) the same day as the Borrowing Date if the Borrowing Date is the first day of a month.</w:t>
      </w:r>
    </w:p>
    <w:p>
      <w:pPr>
        <w:spacing w:after="0" w:line="176"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September 1, 2023; provided that, upon Borrower achieving the First Interest-only Period Extension, the Maturity Date shall be extended six (6) months and shall mean March 1, 2024.</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means, with respect to any prepayment of the Loans:</w:t>
      </w:r>
    </w:p>
    <w:p>
      <w:pPr>
        <w:spacing w:after="0" w:line="121" w:lineRule="exact"/>
        <w:rPr>
          <w:sz w:val="20"/>
          <w:szCs w:val="20"/>
          <w:color w:val="auto"/>
        </w:rPr>
      </w:pPr>
    </w:p>
    <w:p>
      <w:pPr>
        <w:ind w:right="120" w:firstLine="987"/>
        <w:spacing w:after="0" w:line="277" w:lineRule="auto"/>
        <w:tabs>
          <w:tab w:leader="none" w:pos="120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the prepayment occurs during the period commencing on the Closing Date and ending on (but including) the last day of the Interest-only Period, an amount equal to the principal amount of the Loans prepaid multiplied by 3.00%; and</w:t>
      </w:r>
    </w:p>
    <w:p>
      <w:pPr>
        <w:spacing w:after="0" w:line="170" w:lineRule="exact"/>
        <w:rPr>
          <w:rFonts w:ascii="Arial" w:cs="Arial" w:eastAsia="Arial" w:hAnsi="Arial"/>
          <w:sz w:val="18"/>
          <w:szCs w:val="18"/>
          <w:color w:val="auto"/>
        </w:rPr>
      </w:pPr>
    </w:p>
    <w:p>
      <w:pPr>
        <w:ind w:right="120" w:firstLine="987"/>
        <w:spacing w:after="0" w:line="308" w:lineRule="auto"/>
        <w:tabs>
          <w:tab w:leader="none" w:pos="125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if the prepayment occurs during the period commencing on the day immediately following the last day of the Interest-only Period and ending on (but excluding) the Maturity Date, an amount equal to the principal amount of the Loans prepaid multiplied by 1.00%.</w:t>
      </w:r>
    </w:p>
    <w:p>
      <w:pPr>
        <w:spacing w:after="0" w:line="142"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Supplement; and provided further that if such rate of interest, as set forth from time to time in the money rates section of The Wall Street Journal, becomes unavailable for any reason as determined by Lender, the “</w:t>
      </w:r>
      <w:r>
        <w:rPr>
          <w:rFonts w:ascii="Arial" w:cs="Arial" w:eastAsia="Arial" w:hAnsi="Arial"/>
          <w:sz w:val="17"/>
          <w:szCs w:val="17"/>
          <w:b w:val="1"/>
          <w:bCs w:val="1"/>
          <w:color w:val="auto"/>
        </w:rPr>
        <w:t>Prime Rate</w:t>
      </w:r>
      <w:r>
        <w:rPr>
          <w:rFonts w:ascii="Arial" w:cs="Arial" w:eastAsia="Arial" w:hAnsi="Arial"/>
          <w:sz w:val="17"/>
          <w:szCs w:val="17"/>
          <w:color w:val="auto"/>
        </w:rPr>
        <w:t>” shall mean the rate of interest per annum announced by Silicon Valley Bank as its prime rate in effect at its principal office in the State of California (such announced Prime Rate not being intended to be the lowest rate of interest charged by such institution in connection with extensions of credit to debtors); provided that, in the event such rate of interest is less than zero, such rate shall be deemed to be zero for purposes of this Supplement.</w:t>
      </w:r>
    </w:p>
    <w:p>
      <w:pPr>
        <w:spacing w:after="0" w:line="17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Financing</w:t>
      </w:r>
      <w:r>
        <w:rPr>
          <w:rFonts w:ascii="Arial" w:cs="Arial" w:eastAsia="Arial" w:hAnsi="Arial"/>
          <w:sz w:val="18"/>
          <w:szCs w:val="18"/>
          <w:color w:val="auto"/>
        </w:rPr>
        <w:t>” means the closing of the next bona fide round of Borrower equity financing which becomes effective after the Closing Date and results in aggregate proceeds to Borrower of at least Thirty Million Dollars ($30,000,000).</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earlier of: (i) the date Lender may terminate making Growth Capital Loans or extending other credit pursuant to the rights of Lender under Article 7 of the Loan and Security Agreement; and (ii) March 31, 2021.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Two Hundred Fifty Thousand Dollars ($250,000).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2 Start Date</w:t>
      </w:r>
      <w:r>
        <w:rPr>
          <w:rFonts w:ascii="Arial" w:cs="Arial" w:eastAsia="Arial" w:hAnsi="Arial"/>
          <w:sz w:val="18"/>
          <w:szCs w:val="18"/>
          <w:color w:val="auto"/>
        </w:rPr>
        <w:t>” means the date Borrower has satisfied the condition in Part 2, Section 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is defined in Part 2, Section 3(a)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83" w:name="page384"/>
    <w:bookmarkEnd w:id="38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2 - Additional Covenants and Conditions:</w:t>
      </w:r>
    </w:p>
    <w:p>
      <w:pPr>
        <w:spacing w:after="0" w:line="117" w:lineRule="exact"/>
        <w:rPr>
          <w:sz w:val="20"/>
          <w:szCs w:val="20"/>
          <w:color w:val="auto"/>
        </w:rPr>
      </w:pPr>
    </w:p>
    <w:p>
      <w:pPr>
        <w:ind w:left="620" w:hanging="184"/>
        <w:spacing w:after="0"/>
        <w:tabs>
          <w:tab w:leader="none" w:pos="62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Growth Capital Loan Facility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40" w:firstLine="987"/>
        <w:spacing w:after="0" w:line="277" w:lineRule="auto"/>
        <w:tabs>
          <w:tab w:leader="none" w:pos="1246" w:val="left"/>
        </w:tabs>
        <w:numPr>
          <w:ilvl w:val="1"/>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t>Additional Condition(s) Precedent Regarding Growth Capital Loan Commitments</w:t>
      </w:r>
      <w:r>
        <w:rPr>
          <w:rFonts w:ascii="Arial" w:cs="Arial" w:eastAsia="Arial" w:hAnsi="Arial"/>
          <w:sz w:val="17"/>
          <w:szCs w:val="17"/>
          <w:color w:val="auto"/>
        </w:rPr>
        <w:t>. In addition to the satisfaction of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applicable conditions precedent specified in Sections 4.1 and 4.2 of the Loan and Security Agreement and this Supplement, Lender’s obligation to fund Tranche 2 of its Commitment of Growth Capital Loans is subject to receipt by Lender of evidence, as determined by Lender in its reasonable discretion, that Borrower has received no less than Forty Million Dollars ($40,000,000) of net new capital in the form of equity proceeds and/or upfront licensing payments, after the Closing Date and prior to March 31, 2021.</w:t>
      </w:r>
    </w:p>
    <w:p>
      <w:pPr>
        <w:spacing w:after="0" w:line="172"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Subject to satisfaction of the conditions precedent specified in Sections 4.1 and Section 4.2 of the Loan and Security Agreement and this Supplement, Lender agrees to make Growth Capital Loans to Borrower under Lender’s Commitment from time to time from and after the Closing Date up to and including the Termination Date in an aggregate, original principal amount up to, but not exceeding, the then-unfunded portion of Lender’s Commitment.</w:t>
      </w:r>
    </w:p>
    <w:p>
      <w:pPr>
        <w:spacing w:after="0" w:line="183" w:lineRule="exact"/>
        <w:rPr>
          <w:sz w:val="20"/>
          <w:szCs w:val="20"/>
          <w:color w:val="auto"/>
        </w:rPr>
      </w:pPr>
    </w:p>
    <w:p>
      <w:pPr>
        <w:jc w:val="both"/>
        <w:ind w:firstLine="987"/>
        <w:spacing w:after="0" w:line="289" w:lineRule="auto"/>
        <w:tabs>
          <w:tab w:leader="none" w:pos="1256"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Minimum Funding Amount; Maximum Number of Borrowing Requests</w:t>
      </w:r>
      <w:r>
        <w:rPr>
          <w:rFonts w:ascii="Arial" w:cs="Arial" w:eastAsia="Arial" w:hAnsi="Arial"/>
          <w:sz w:val="16"/>
          <w:szCs w:val="16"/>
          <w:color w:val="auto"/>
        </w:rPr>
        <w:t>. Growth Capital Loans requested by Borrower to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on a single Business Day shall be for a minimum aggregate, original principal amount of One Million Dollars ($1,000,000); provided, however, that the initial Growth Capital Loan shall be funded on the Closing Date in a minimum original principal amount of Three Million Dollars ($3,000,000).</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Borrower shall not submit a Borrowing Request more frequently than once per calendar month.</w:t>
      </w:r>
    </w:p>
    <w:p>
      <w:pPr>
        <w:spacing w:after="0" w:line="206" w:lineRule="exact"/>
        <w:rPr>
          <w:rFonts w:ascii="Arial" w:cs="Arial" w:eastAsia="Arial" w:hAnsi="Arial"/>
          <w:sz w:val="16"/>
          <w:szCs w:val="16"/>
          <w:b w:val="1"/>
          <w:bCs w:val="1"/>
          <w:color w:val="auto"/>
        </w:rPr>
      </w:pPr>
    </w:p>
    <w:p>
      <w:pPr>
        <w:ind w:right="20" w:firstLine="987"/>
        <w:spacing w:after="0" w:line="286" w:lineRule="auto"/>
        <w:tabs>
          <w:tab w:leader="none" w:pos="1236" w:val="left"/>
        </w:tabs>
        <w:numPr>
          <w:ilvl w:val="1"/>
          <w:numId w:val="282"/>
        </w:numPr>
        <w:rPr>
          <w:rFonts w:ascii="Arial" w:cs="Arial" w:eastAsia="Arial" w:hAnsi="Arial"/>
          <w:sz w:val="16"/>
          <w:szCs w:val="16"/>
          <w:b w:val="1"/>
          <w:bCs w:val="1"/>
          <w:color w:val="auto"/>
        </w:rPr>
      </w:pPr>
      <w:r>
        <w:rPr>
          <w:rFonts w:ascii="Arial" w:cs="Arial" w:eastAsia="Arial" w:hAnsi="Arial"/>
          <w:sz w:val="16"/>
          <w:szCs w:val="16"/>
          <w:b w:val="1"/>
          <w:bCs w:val="1"/>
          <w:color w:val="auto"/>
        </w:rPr>
        <w:t>Repayment of Growth Capital Loans</w:t>
      </w:r>
      <w:r>
        <w:rPr>
          <w:rFonts w:ascii="Arial" w:cs="Arial" w:eastAsia="Arial" w:hAnsi="Arial"/>
          <w:sz w:val="16"/>
          <w:szCs w:val="16"/>
          <w:color w:val="auto"/>
        </w:rPr>
        <w:t>. Principal of, and interest on, each Growth Capital Loan shall be payable as set forth in a Note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evidencing such Growth Capital Loan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which Note shall provide substantially as follows: principal shall be fully amortized over the Amortization Period in equal, monthly principal installments plus, in each case, unpaid interest thereon at the Designated Rate, commencing after the Interest-only Period of interest-only installments at the Designated Rate. In particular, on the Borrowing Date applicable to such Growth Capital Loan, Borrower shall pay to Lender (i) if the Borrowing Date is earlier than the Loan Commencement Date, interest only at the Designated Rate, in advance, on the outstanding principal balance of the Growth Capital Loan for the period from the Borrowing Date through the last day of the calendar month in which such Borrowing Date occurs, and (ii) the first (1</w:t>
      </w:r>
      <w:r>
        <w:rPr>
          <w:rFonts w:ascii="Arial" w:cs="Arial" w:eastAsia="Arial" w:hAnsi="Arial"/>
          <w:sz w:val="13"/>
          <w:szCs w:val="13"/>
          <w:color w:val="auto"/>
        </w:rPr>
        <w:t>st</w:t>
      </w:r>
      <w:r>
        <w:rPr>
          <w:rFonts w:ascii="Arial" w:cs="Arial" w:eastAsia="Arial" w:hAnsi="Arial"/>
          <w:sz w:val="16"/>
          <w:szCs w:val="16"/>
          <w:color w:val="auto"/>
        </w:rPr>
        <w:t>) interest-only installment at the Designated Rate, in advance, on the outstanding principal balance of the Note evidencing such Loan for the ensuing month. Commencing on the first day of the second (2</w:t>
      </w:r>
      <w:r>
        <w:rPr>
          <w:rFonts w:ascii="Arial" w:cs="Arial" w:eastAsia="Arial" w:hAnsi="Arial"/>
          <w:sz w:val="13"/>
          <w:szCs w:val="13"/>
          <w:color w:val="auto"/>
        </w:rPr>
        <w:t>nd</w:t>
      </w:r>
      <w:r>
        <w:rPr>
          <w:rFonts w:ascii="Arial" w:cs="Arial" w:eastAsia="Arial" w:hAnsi="Arial"/>
          <w:sz w:val="16"/>
          <w:szCs w:val="16"/>
          <w:color w:val="auto"/>
        </w:rPr>
        <w:t>) full month after the Borrowing Date and continuing on the first (1</w:t>
      </w:r>
      <w:r>
        <w:rPr>
          <w:rFonts w:ascii="Arial" w:cs="Arial" w:eastAsia="Arial" w:hAnsi="Arial"/>
          <w:sz w:val="13"/>
          <w:szCs w:val="13"/>
          <w:color w:val="auto"/>
        </w:rPr>
        <w:t>st</w:t>
      </w:r>
      <w:r>
        <w:rPr>
          <w:rFonts w:ascii="Arial" w:cs="Arial" w:eastAsia="Arial" w:hAnsi="Arial"/>
          <w:sz w:val="16"/>
          <w:szCs w:val="16"/>
          <w:color w:val="auto"/>
        </w:rPr>
        <w:t>) day of each month during the Interest-only Period thereafter, Borrower shall pay to Lender interest only at the Designated Rate, in advance, on the outstanding principal balance of the Loan evidenced by such Note for the ensuing month. Commencing on the first (1</w:t>
      </w:r>
      <w:r>
        <w:rPr>
          <w:rFonts w:ascii="Arial" w:cs="Arial" w:eastAsia="Arial" w:hAnsi="Arial"/>
          <w:sz w:val="13"/>
          <w:szCs w:val="13"/>
          <w:color w:val="auto"/>
        </w:rPr>
        <w:t>st</w:t>
      </w:r>
      <w:r>
        <w:rPr>
          <w:rFonts w:ascii="Arial" w:cs="Arial" w:eastAsia="Arial" w:hAnsi="Arial"/>
          <w:sz w:val="16"/>
          <w:szCs w:val="16"/>
          <w:color w:val="auto"/>
        </w:rPr>
        <w:t>) day of the first (1</w:t>
      </w:r>
      <w:r>
        <w:rPr>
          <w:rFonts w:ascii="Arial" w:cs="Arial" w:eastAsia="Arial" w:hAnsi="Arial"/>
          <w:sz w:val="13"/>
          <w:szCs w:val="13"/>
          <w:color w:val="auto"/>
        </w:rPr>
        <w:t>st</w:t>
      </w:r>
      <w:r>
        <w:rPr>
          <w:rFonts w:ascii="Arial" w:cs="Arial" w:eastAsia="Arial" w:hAnsi="Arial"/>
          <w:sz w:val="16"/>
          <w:szCs w:val="16"/>
          <w:color w:val="auto"/>
        </w:rPr>
        <w:t>) full month after the Interest-only Period, and continuing on the first (1</w:t>
      </w:r>
      <w:r>
        <w:rPr>
          <w:rFonts w:ascii="Arial" w:cs="Arial" w:eastAsia="Arial" w:hAnsi="Arial"/>
          <w:sz w:val="13"/>
          <w:szCs w:val="13"/>
          <w:color w:val="auto"/>
        </w:rPr>
        <w:t>st</w:t>
      </w:r>
      <w:r>
        <w:rPr>
          <w:rFonts w:ascii="Arial" w:cs="Arial" w:eastAsia="Arial" w:hAnsi="Arial"/>
          <w:sz w:val="16"/>
          <w:szCs w:val="16"/>
          <w:color w:val="auto"/>
        </w:rPr>
        <w:t>) day of each consecutive calendar month thereafter, Borrower shall pay to Lender principal, plus interest at the Designated Rate, in advance, in equal consecutive monthly installments in an amount sufficient to fully amortize the Loan evidenced by such Note over the Amortization Period. On the Maturity Date, all principal and accrued interest then remaining unpaid and the Final Payment shall be due and payable.</w:t>
      </w:r>
    </w:p>
    <w:p>
      <w:pPr>
        <w:spacing w:after="0" w:line="170" w:lineRule="exact"/>
        <w:rPr>
          <w:rFonts w:ascii="Arial" w:cs="Arial" w:eastAsia="Arial" w:hAnsi="Arial"/>
          <w:sz w:val="16"/>
          <w:szCs w:val="16"/>
          <w:b w:val="1"/>
          <w:bCs w:val="1"/>
          <w:color w:val="auto"/>
        </w:rPr>
      </w:pPr>
    </w:p>
    <w:p>
      <w:pPr>
        <w:ind w:firstLine="436"/>
        <w:spacing w:after="0" w:line="254" w:lineRule="auto"/>
        <w:tabs>
          <w:tab w:leader="none" w:pos="6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r>
        <w:rPr>
          <w:rFonts w:ascii="Arial" w:cs="Arial" w:eastAsia="Arial" w:hAnsi="Arial"/>
          <w:sz w:val="18"/>
          <w:szCs w:val="18"/>
          <w:color w:val="auto"/>
        </w:rPr>
        <w:t>. Borrower may prepay all, but not less than all, Growth Capital Loans in whole, but not in part, at any time by tendering to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 cash payment in respect of such Loans in an amount determined by Lender equal to the sum of: (i) the aggregate outstanding principal amount of such Loans; (ii) the accrued and unpaid interest on such Loans as of the date of prepayment; (iii) the Prepayment Fee; and (iv) the Final Payment; provided that, if Lender has not yet exercised its rights under Section 3(d) hereof, Borrower shall provide written notice of prepayment at least ten (10) Business Days in advance of the proposed prepayment date and Lender shall have the option, with respect to the Conversion Option Principal, to exercise its rights pursuant to Section 3(d) hereof by delivering written notice to Borrower at least two (2) Business Days in advance of the proposed prepayment date; provided, further, that Lender’s failure to deliver such notice shall be deemed a waiver of Lender’s rights pursuant to Section 3(d) hereof and such conversion right shall terminate.</w:t>
      </w:r>
    </w:p>
    <w:p>
      <w:pPr>
        <w:spacing w:after="0" w:line="191" w:lineRule="exact"/>
        <w:rPr>
          <w:rFonts w:ascii="Arial" w:cs="Arial" w:eastAsia="Arial" w:hAnsi="Arial"/>
          <w:sz w:val="18"/>
          <w:szCs w:val="18"/>
          <w:b w:val="1"/>
          <w:bCs w:val="1"/>
          <w:color w:val="auto"/>
        </w:rPr>
      </w:pPr>
    </w:p>
    <w:p>
      <w:pPr>
        <w:ind w:left="620" w:hanging="184"/>
        <w:spacing w:after="0"/>
        <w:tabs>
          <w:tab w:leader="none" w:pos="6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Warrant; Right to Invest; Right to Convert</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340" w:firstLine="987"/>
        <w:spacing w:after="0" w:line="347" w:lineRule="auto"/>
        <w:tabs>
          <w:tab w:leader="none" w:pos="1246" w:val="left"/>
        </w:tabs>
        <w:numPr>
          <w:ilvl w:val="1"/>
          <w:numId w:val="283"/>
        </w:numPr>
        <w:rPr>
          <w:rFonts w:ascii="Arial" w:cs="Arial" w:eastAsia="Arial" w:hAnsi="Arial"/>
          <w:sz w:val="16"/>
          <w:szCs w:val="16"/>
          <w:b w:val="1"/>
          <w:bCs w:val="1"/>
          <w:color w:val="auto"/>
        </w:rPr>
      </w:pPr>
      <w:r>
        <w:rPr>
          <w:rFonts w:ascii="Arial" w:cs="Arial" w:eastAsia="Arial" w:hAnsi="Arial"/>
          <w:sz w:val="16"/>
          <w:szCs w:val="16"/>
          <w:b w:val="1"/>
          <w:bCs w:val="1"/>
          <w:color w:val="auto"/>
        </w:rPr>
        <w:t>Warrant</w:t>
      </w:r>
      <w:r>
        <w:rPr>
          <w:rFonts w:ascii="Arial" w:cs="Arial" w:eastAsia="Arial" w:hAnsi="Arial"/>
          <w:sz w:val="16"/>
          <w:szCs w:val="16"/>
          <w:color w:val="auto"/>
        </w:rPr>
        <w:t>. As additional consideration for the making of its Commitment, Lender has earned and is entitled to receive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execution of the Loan and Security Agreement and this Supplement, a warrant instrument issued by Borrower (the “</w:t>
      </w:r>
      <w:r>
        <w:rPr>
          <w:rFonts w:ascii="Arial" w:cs="Arial" w:eastAsia="Arial" w:hAnsi="Arial"/>
          <w:sz w:val="16"/>
          <w:szCs w:val="16"/>
          <w:b w:val="1"/>
          <w:bCs w:val="1"/>
          <w:color w:val="auto"/>
        </w:rPr>
        <w:t>Warrant</w:t>
      </w:r>
      <w:r>
        <w:rPr>
          <w:rFonts w:ascii="Arial" w:cs="Arial" w:eastAsia="Arial" w:hAnsi="Arial"/>
          <w:sz w:val="16"/>
          <w:szCs w:val="16"/>
          <w:color w:val="auto"/>
        </w:rPr>
        <w:t>”).</w:t>
      </w:r>
    </w:p>
    <w:p>
      <w:pPr>
        <w:spacing w:after="0" w:line="115" w:lineRule="exact"/>
        <w:rPr>
          <w:rFonts w:ascii="Arial" w:cs="Arial" w:eastAsia="Arial" w:hAnsi="Arial"/>
          <w:sz w:val="16"/>
          <w:szCs w:val="16"/>
          <w:b w:val="1"/>
          <w:bCs w:val="1"/>
          <w:color w:val="auto"/>
        </w:rPr>
      </w:pPr>
    </w:p>
    <w:p>
      <w:pPr>
        <w:ind w:left="1260" w:hanging="273"/>
        <w:spacing w:after="0"/>
        <w:tabs>
          <w:tab w:leader="none" w:pos="1260" w:val="left"/>
        </w:tabs>
        <w:numPr>
          <w:ilvl w:val="1"/>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Warrant General</w:t>
      </w:r>
      <w:r>
        <w:rPr>
          <w:rFonts w:ascii="Arial" w:cs="Arial" w:eastAsia="Arial" w:hAnsi="Arial"/>
          <w:sz w:val="18"/>
          <w:szCs w:val="18"/>
          <w:color w:val="auto"/>
        </w:rPr>
        <w:t>. The Warrant shall be in form and substance reasonably satisfactory to Lender.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384" w:name="page385"/>
    <w:bookmarkEnd w:id="384"/>
    <w:p>
      <w:pPr>
        <w:ind w:left="4" w:firstLine="987"/>
        <w:spacing w:after="0" w:line="273" w:lineRule="auto"/>
        <w:tabs>
          <w:tab w:leader="none" w:pos="1240" w:val="left"/>
        </w:tabs>
        <w:numPr>
          <w:ilvl w:val="1"/>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to Invest</w:t>
      </w:r>
      <w:r>
        <w:rPr>
          <w:rFonts w:ascii="Arial" w:cs="Arial" w:eastAsia="Arial" w:hAnsi="Arial"/>
          <w:sz w:val="17"/>
          <w:szCs w:val="17"/>
          <w:color w:val="auto"/>
        </w:rPr>
        <w:t>. Lender shall have the right, in its discretion, but not the obligation, to invest up to One Million Dollars ($1,000,000) in</w:t>
      </w:r>
      <w:r>
        <w:rPr>
          <w:rFonts w:ascii="Arial" w:cs="Arial" w:eastAsia="Arial" w:hAnsi="Arial"/>
          <w:sz w:val="17"/>
          <w:szCs w:val="17"/>
          <w:b w:val="1"/>
          <w:bCs w:val="1"/>
          <w:color w:val="auto"/>
        </w:rPr>
        <w:t xml:space="preserve"> </w:t>
      </w:r>
      <w:r>
        <w:rPr>
          <w:rFonts w:ascii="Arial" w:cs="Arial" w:eastAsia="Arial" w:hAnsi="Arial"/>
          <w:sz w:val="17"/>
          <w:szCs w:val="17"/>
          <w:color w:val="auto"/>
        </w:rPr>
        <w:t>equity securities of Borrower offered in the first bona fide round of Borrower equity financing after the Closing Date, including any public offering of Borrower’s equity securities (in either case, the “</w:t>
      </w:r>
      <w:r>
        <w:rPr>
          <w:rFonts w:ascii="Arial" w:cs="Arial" w:eastAsia="Arial" w:hAnsi="Arial"/>
          <w:sz w:val="17"/>
          <w:szCs w:val="17"/>
          <w:b w:val="1"/>
          <w:bCs w:val="1"/>
          <w:color w:val="auto"/>
        </w:rPr>
        <w:t>Next Round Financing</w:t>
      </w:r>
      <w:r>
        <w:rPr>
          <w:rFonts w:ascii="Arial" w:cs="Arial" w:eastAsia="Arial" w:hAnsi="Arial"/>
          <w:sz w:val="17"/>
          <w:szCs w:val="17"/>
          <w:color w:val="auto"/>
        </w:rPr>
        <w:t>”), at the initial (or any subsequent) closing of such Next Round Financing and on the same terms, conditions, and pricing offered by Borrower to the investors participating in such Next Round Financing; provided, however, such terms shall exclude a seat on the Borrower’s Board of Directors, which may be offered to other investors at Borrower’s discretion. This right shall survive the repayment of Indebtedness under the Loan and Security Agreement and shall otherwise survive the expiration or other termination of the Loan and Security Agreement until the final closing of the Next Round Financing.</w:t>
      </w:r>
    </w:p>
    <w:p>
      <w:pPr>
        <w:spacing w:after="0" w:line="171" w:lineRule="exact"/>
        <w:rPr>
          <w:rFonts w:ascii="Arial" w:cs="Arial" w:eastAsia="Arial" w:hAnsi="Arial"/>
          <w:sz w:val="17"/>
          <w:szCs w:val="17"/>
          <w:b w:val="1"/>
          <w:bCs w:val="1"/>
          <w:color w:val="auto"/>
        </w:rPr>
      </w:pPr>
    </w:p>
    <w:p>
      <w:pPr>
        <w:ind w:left="4" w:right="60" w:firstLine="987"/>
        <w:spacing w:after="0" w:line="287" w:lineRule="auto"/>
        <w:tabs>
          <w:tab w:leader="none" w:pos="1260" w:val="left"/>
        </w:tabs>
        <w:numPr>
          <w:ilvl w:val="1"/>
          <w:numId w:val="284"/>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 Right</w:t>
      </w:r>
      <w:r>
        <w:rPr>
          <w:rFonts w:ascii="Arial" w:cs="Arial" w:eastAsia="Arial" w:hAnsi="Arial"/>
          <w:sz w:val="16"/>
          <w:szCs w:val="16"/>
          <w:color w:val="auto"/>
        </w:rPr>
        <w:t>. Lender shall have the right, in its discretion and at any time and from time to time, while the Loan is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to convert an amount of up to Three Million Dollars ($3,000,000) of the principal amount of the outstanding Growth Capital Loans (the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Option Principal</w:t>
      </w:r>
      <w:r>
        <w:rPr>
          <w:rFonts w:ascii="Arial" w:cs="Arial" w:eastAsia="Arial" w:hAnsi="Arial"/>
          <w:sz w:val="16"/>
          <w:szCs w:val="16"/>
          <w:color w:val="auto"/>
        </w:rPr>
        <w:t>”) into the latest round of Borrower’s equity securities closed on or before the Closing Date (the “</w:t>
      </w:r>
      <w:r>
        <w:rPr>
          <w:rFonts w:ascii="Arial" w:cs="Arial" w:eastAsia="Arial" w:hAnsi="Arial"/>
          <w:sz w:val="16"/>
          <w:szCs w:val="16"/>
          <w:b w:val="1"/>
          <w:bCs w:val="1"/>
          <w:color w:val="auto"/>
        </w:rPr>
        <w:t>Current Financing</w:t>
      </w:r>
      <w:r>
        <w:rPr>
          <w:rFonts w:ascii="Arial" w:cs="Arial" w:eastAsia="Arial" w:hAnsi="Arial"/>
          <w:sz w:val="16"/>
          <w:szCs w:val="16"/>
          <w:color w:val="auto"/>
        </w:rPr>
        <w:t>”) and/or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Subsequent Financing, in each case (i) at a price per share equal to a twenty percent (20.00%) premium to the exercise price set forth in the Warrant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285"/>
        </w:numPr>
        <w:rPr>
          <w:rFonts w:ascii="Arial" w:cs="Arial" w:eastAsia="Arial" w:hAnsi="Arial"/>
          <w:sz w:val="16"/>
          <w:szCs w:val="16"/>
          <w:color w:val="auto"/>
        </w:rPr>
      </w:pPr>
      <w:r>
        <w:rPr>
          <w:rFonts w:ascii="Arial" w:cs="Arial" w:eastAsia="Arial" w:hAnsi="Arial"/>
          <w:sz w:val="16"/>
          <w:szCs w:val="16"/>
          <w:color w:val="auto"/>
        </w:rPr>
        <w:t>otherwise on the same terms and conditions afforded to others participating in the Current Financing and/or Subsequent Financing, as applicable.</w:t>
      </w:r>
    </w:p>
    <w:p>
      <w:pPr>
        <w:spacing w:after="0" w:line="230" w:lineRule="exact"/>
        <w:rPr>
          <w:sz w:val="20"/>
          <w:szCs w:val="20"/>
          <w:color w:val="auto"/>
        </w:rPr>
      </w:pPr>
    </w:p>
    <w:p>
      <w:pPr>
        <w:ind w:left="624" w:hanging="184"/>
        <w:spacing w:after="0"/>
        <w:tabs>
          <w:tab w:leader="none" w:pos="624"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 Fee</w:t>
      </w:r>
      <w:r>
        <w:rPr>
          <w:rFonts w:ascii="Arial" w:cs="Arial" w:eastAsia="Arial" w:hAnsi="Arial"/>
          <w:sz w:val="17"/>
          <w:szCs w:val="17"/>
          <w:color w:val="auto"/>
        </w:rPr>
        <w:t>. Borrower shall pay to Lender a commitment fee in the amount of one percent (1.00%) of the Ten Million Dollars</w:t>
      </w:r>
    </w:p>
    <w:p>
      <w:pPr>
        <w:spacing w:after="0" w:line="39"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($10,000,000) Commitment due and payable on the Closing Date, of which Fifty Thousand Dollars ($50,000) has been paid by Borrower to Lender as an advance deposit prior to the date hereof. As an additional condition precedent under Section 4.1 of the Loan and Security Agreement, Lender shall have completed to its satisfaction its due diligence review of Borrower’s business and financial condition and prospects, and Lender’s Commitment shall have been approved. If this condition is not satisfied, the Fifty Thousand Dollars ($50,000) advance deposit previously paid by Borrower shall be refunded. Except as set forth in this Section 4, the Commitment Fee is not refundable.</w:t>
      </w:r>
    </w:p>
    <w:p>
      <w:pPr>
        <w:spacing w:after="0" w:line="174" w:lineRule="exact"/>
        <w:rPr>
          <w:sz w:val="20"/>
          <w:szCs w:val="20"/>
          <w:color w:val="auto"/>
        </w:rPr>
      </w:pPr>
    </w:p>
    <w:p>
      <w:pPr>
        <w:ind w:left="4" w:right="60" w:firstLine="436"/>
        <w:spacing w:after="0" w:line="258" w:lineRule="auto"/>
        <w:tabs>
          <w:tab w:leader="none" w:pos="62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 Fee Payment</w:t>
      </w:r>
      <w:r>
        <w:rPr>
          <w:rFonts w:ascii="Arial" w:cs="Arial" w:eastAsia="Arial" w:hAnsi="Arial"/>
          <w:sz w:val="18"/>
          <w:szCs w:val="18"/>
          <w:color w:val="auto"/>
        </w:rPr>
        <w:t>. On the Closing Date, Borrower shall reimburse Lender pursuant to Section 9.8(a) of the Loan and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(i) its reasonable attorneys’ fees, costs and expenses incurred in connection with the preparation and negotiation of the Loan Documents and (ii) such Lender’s costs and filing fees related to perfection of its Liens in the Collateral in any jurisdiction in which the same is located, recording a copy of the Intellectual Property Security Agreement with the United States Patent and Trademark Office or the United States Copyright Office, as applicable, and confirming the priority of such Liens.</w:t>
      </w:r>
    </w:p>
    <w:p>
      <w:pPr>
        <w:spacing w:after="0" w:line="183" w:lineRule="exact"/>
        <w:rPr>
          <w:rFonts w:ascii="Arial" w:cs="Arial" w:eastAsia="Arial" w:hAnsi="Arial"/>
          <w:sz w:val="18"/>
          <w:szCs w:val="18"/>
          <w:b w:val="1"/>
          <w:bCs w:val="1"/>
          <w:color w:val="auto"/>
        </w:rPr>
      </w:pPr>
    </w:p>
    <w:p>
      <w:pPr>
        <w:ind w:left="624" w:hanging="184"/>
        <w:spacing w:after="0"/>
        <w:tabs>
          <w:tab w:leader="none" w:pos="62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Borrower’s Primary Operating Account and Wire Transfer Instructions:</w:t>
      </w:r>
    </w:p>
    <w:p>
      <w:pPr>
        <w:spacing w:after="0" w:line="270" w:lineRule="exact"/>
        <w:rPr>
          <w:sz w:val="20"/>
          <w:szCs w:val="20"/>
          <w:color w:val="auto"/>
        </w:rPr>
      </w:pPr>
    </w:p>
    <w:p>
      <w:pPr>
        <w:ind w:left="924"/>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11741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17895" cy="1174115"/>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No.:</w:t>
      </w:r>
    </w:p>
    <w:p>
      <w:pPr>
        <w:spacing w:after="0" w:line="234" w:lineRule="exact"/>
        <w:rPr>
          <w:sz w:val="20"/>
          <w:szCs w:val="20"/>
          <w:color w:val="auto"/>
        </w:rPr>
      </w:pPr>
    </w:p>
    <w:p>
      <w:pPr>
        <w:ind w:left="4" w:right="220" w:firstLine="436"/>
        <w:spacing w:after="0" w:line="274" w:lineRule="auto"/>
        <w:tabs>
          <w:tab w:leader="none" w:pos="624"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color w:val="auto"/>
        </w:rPr>
        <w:t>Debits to Account for ACH Transfers</w:t>
      </w:r>
      <w:r>
        <w:rPr>
          <w:rFonts w:ascii="Arial" w:cs="Arial" w:eastAsia="Arial" w:hAnsi="Arial"/>
          <w:sz w:val="17"/>
          <w:szCs w:val="17"/>
          <w:color w:val="auto"/>
        </w:rPr>
        <w:t>. For purposes of Sections 2.2 and 5.10 of the Loan and Security Agreement, the Primary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shall be the bank account set forth in Section 6 above, unless and until such account is changed in accordance with Section 5.10 of the Loan and Security Agreement. Borrower hereby agrees that the Growth Capital Loans will be advanced to the account specified above and regularly scheduled payments of principal, interest and fees will be automatically debited from the same account. Borrower hereby confirms that the bank at which the Primary Operating Account is maintained uses that same ABA Number for incoming wires transfers to the Primary Operating Account and outgoing ACH transfers from the Primary Operating Account.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85" w:name="page386"/>
    <w:bookmarkEnd w:id="38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3 - Additional Representations: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Borrower represents and warrants that as of the Closing Date and, subject to any written updates of the information set forth below by Borrower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each Borrowing Date:</w:t>
      </w:r>
    </w:p>
    <w:p>
      <w:pPr>
        <w:spacing w:after="0" w:line="116" w:lineRule="exact"/>
        <w:rPr>
          <w:sz w:val="20"/>
          <w:szCs w:val="20"/>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Its chief executive office is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Its Equipment is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Its Inventory is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Its Records are located at: 2051 Ringwood Ave, San Jose, CA 95131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addition to its chief executive office, Borrower maintains offices or operates its business at the following locations: N/A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Other than its full corporate name, Borrower has conducted business using the following trade names or fictitious business names: N/A</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Its state identification number is: ___________ (CA ID)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Its U.S. federal tax identification number is: ____________</w:t>
      </w:r>
    </w:p>
    <w:p>
      <w:pPr>
        <w:spacing w:after="0" w:line="130"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Including Borrower’s Primary Operating Account identified in Section 6 above, Borrower maintains the following Deposit Accounts and investment accounts:</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-130175</wp:posOffset>
            </wp:positionV>
            <wp:extent cx="5743575" cy="11741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743575" cy="11741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No.:</w:t>
      </w:r>
    </w:p>
    <w:p>
      <w:pPr>
        <w:spacing w:after="0" w:line="2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-130175</wp:posOffset>
            </wp:positionV>
            <wp:extent cx="5743575" cy="11741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743575" cy="1174115"/>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Account No.: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440" w:top="270" w:right="619" w:bottom="1440" w:gutter="0" w:footer="0" w:header="0"/>
        </w:sectPr>
      </w:pPr>
    </w:p>
    <w:bookmarkStart w:id="386" w:name="page387"/>
    <w:bookmarkEnd w:id="38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4 - Additional Loan Documents:</w:t>
      </w:r>
    </w:p>
    <w:p>
      <w:pPr>
        <w:sectPr>
          <w:pgSz w:w="11900" w:h="16838" w:orient="portrait"/>
          <w:cols w:equalWidth="0" w:num="1">
            <w:col w:w="9579"/>
          </w:cols>
          <w:pgMar w:left="880" w:top="270" w:right="1440" w:bottom="1440" w:gutter="0" w:footer="0" w:header="0"/>
        </w:sect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of Promissory Note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Form of Borrowing Request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Form of Compliance Certificate</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200" w:lineRule="exact"/>
        <w:rPr>
          <w:sz w:val="20"/>
          <w:szCs w:val="20"/>
          <w:color w:val="auto"/>
        </w:rPr>
      </w:pPr>
    </w:p>
    <w:p>
      <w:pPr>
        <w:sectPr>
          <w:pgSz w:w="11900" w:h="16838" w:orient="portrait"/>
          <w:cols w:equalWidth="0" w:num="2">
            <w:col w:w="4620" w:space="720"/>
            <w:col w:w="4239"/>
          </w:cols>
          <w:pgMar w:left="880" w:top="270" w:right="1440" w:bottom="1440" w:gutter="0" w:footer="0" w:header="0"/>
          <w:type w:val="continuous"/>
        </w:sectPr>
      </w:pPr>
    </w:p>
    <w:p>
      <w:pPr>
        <w:spacing w:after="0" w:line="11" w:lineRule="exact"/>
        <w:rPr>
          <w:sz w:val="20"/>
          <w:szCs w:val="20"/>
          <w:color w:val="auto"/>
        </w:rPr>
      </w:pPr>
    </w:p>
    <w:p>
      <w:pPr>
        <w:jc w:val="center"/>
        <w:ind w:righ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this page intentionally left blank; signature page follows</w:t>
      </w:r>
      <w:r>
        <w:rPr>
          <w:rFonts w:ascii="Arial" w:cs="Arial" w:eastAsia="Arial" w:hAnsi="Arial"/>
          <w:sz w:val="16"/>
          <w:szCs w:val="16"/>
          <w:color w:val="auto"/>
        </w:rPr>
        <w:t>]</w:t>
      </w:r>
    </w:p>
    <w:p>
      <w:pPr>
        <w:spacing w:after="0" w:line="18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579"/>
          </w:cols>
          <w:pgMar w:left="880" w:top="270" w:right="1440" w:bottom="1440" w:gutter="0" w:footer="0" w:header="0"/>
          <w:type w:val="continuous"/>
        </w:sectPr>
      </w:pPr>
    </w:p>
    <w:bookmarkStart w:id="387" w:name="page388"/>
    <w:bookmarkEnd w:id="387"/>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Supplement to Loan and Security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parties have executed this Supplement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BORROWER:</w:t>
            </w:r>
          </w:p>
        </w:tc>
      </w:tr>
      <w:tr>
        <w:trPr>
          <w:trHeight w:val="432"/>
        </w:trPr>
        <w:tc>
          <w:tcPr>
            <w:tcW w:w="3500" w:type="dxa"/>
            <w:vAlign w:val="bottom"/>
          </w:tcPr>
          <w:p>
            <w:pPr>
              <w:spacing w:after="0"/>
              <w:rPr>
                <w:sz w:val="24"/>
                <w:szCs w:val="24"/>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RANI THERAPEUTICS, LLC</w:t>
            </w:r>
          </w:p>
        </w:tc>
      </w:tr>
      <w:tr>
        <w:trPr>
          <w:trHeight w:val="432"/>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Svai Sanford</w:t>
            </w:r>
          </w:p>
        </w:tc>
      </w:tr>
      <w:tr>
        <w:trPr>
          <w:trHeight w:val="210"/>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w w:val="98"/>
              </w:rPr>
              <w:t>Name: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Svai Sanford</w:t>
            </w:r>
          </w:p>
        </w:tc>
      </w:tr>
      <w:tr>
        <w:trPr>
          <w:trHeight w:val="209"/>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Chief Financial Officer</w:t>
            </w:r>
          </w:p>
        </w:tc>
      </w:tr>
      <w:tr>
        <w:trPr>
          <w:trHeight w:val="398"/>
        </w:trPr>
        <w:tc>
          <w:tcPr>
            <w:tcW w:w="3500" w:type="dxa"/>
            <w:vAlign w:val="bottom"/>
          </w:tcPr>
          <w:p>
            <w:pPr>
              <w:spacing w:after="0"/>
              <w:rPr>
                <w:sz w:val="20"/>
                <w:szCs w:val="20"/>
                <w:color w:val="auto"/>
              </w:rPr>
            </w:pPr>
            <w:r>
              <w:rPr>
                <w:rFonts w:ascii="Arial" w:cs="Arial" w:eastAsia="Arial" w:hAnsi="Arial"/>
                <w:sz w:val="18"/>
                <w:szCs w:val="18"/>
                <w:color w:val="auto"/>
              </w:rPr>
              <w:t>Address for Notices:</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2051 Ringwood Ave</w:t>
            </w:r>
          </w:p>
        </w:tc>
      </w:tr>
      <w:tr>
        <w:trPr>
          <w:trHeight w:val="216"/>
        </w:trPr>
        <w:tc>
          <w:tcPr>
            <w:tcW w:w="3500" w:type="dxa"/>
            <w:vAlign w:val="bottom"/>
          </w:tcPr>
          <w:p>
            <w:pPr>
              <w:spacing w:after="0"/>
              <w:rPr>
                <w:sz w:val="18"/>
                <w:szCs w:val="18"/>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San Jose, CA 95131</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Attn: Svai Sanford, CFO</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LENDER:</w:t>
            </w:r>
          </w:p>
        </w:tc>
      </w:tr>
      <w:tr>
        <w:trPr>
          <w:trHeight w:val="432"/>
        </w:trPr>
        <w:tc>
          <w:tcPr>
            <w:tcW w:w="3500" w:type="dxa"/>
            <w:vAlign w:val="bottom"/>
          </w:tcPr>
          <w:p>
            <w:pPr>
              <w:spacing w:after="0"/>
              <w:rPr>
                <w:sz w:val="24"/>
                <w:szCs w:val="24"/>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AVENUE VENTURE OPPORTUNITIES FUND, L.P.</w:t>
            </w:r>
          </w:p>
        </w:tc>
      </w:tr>
      <w:tr>
        <w:trPr>
          <w:trHeight w:val="418"/>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Pr>
          <w:p>
            <w:pPr>
              <w:ind w:left="100"/>
              <w:spacing w:after="0"/>
              <w:rPr>
                <w:sz w:val="20"/>
                <w:szCs w:val="20"/>
                <w:color w:val="auto"/>
              </w:rPr>
            </w:pPr>
            <w:r>
              <w:rPr>
                <w:rFonts w:ascii="Arial" w:cs="Arial" w:eastAsia="Arial" w:hAnsi="Arial"/>
                <w:sz w:val="18"/>
                <w:szCs w:val="18"/>
                <w:color w:val="auto"/>
              </w:rPr>
              <w:t>Avenue Venture Opportunities Partners, LLC</w:t>
            </w:r>
          </w:p>
        </w:tc>
      </w:tr>
      <w:tr>
        <w:trPr>
          <w:trHeight w:val="230"/>
        </w:trPr>
        <w:tc>
          <w:tcPr>
            <w:tcW w:w="3500" w:type="dxa"/>
            <w:vAlign w:val="bottom"/>
          </w:tcPr>
          <w:p>
            <w:pPr>
              <w:spacing w:after="0"/>
              <w:rPr>
                <w:sz w:val="20"/>
                <w:szCs w:val="20"/>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Its:</w:t>
            </w:r>
          </w:p>
        </w:tc>
        <w:tc>
          <w:tcPr>
            <w:tcW w:w="4960" w:type="dxa"/>
            <w:vAlign w:val="bottom"/>
          </w:tcPr>
          <w:p>
            <w:pPr>
              <w:ind w:left="100"/>
              <w:spacing w:after="0"/>
              <w:rPr>
                <w:sz w:val="20"/>
                <w:szCs w:val="20"/>
                <w:color w:val="auto"/>
              </w:rPr>
            </w:pPr>
            <w:r>
              <w:rPr>
                <w:rFonts w:ascii="Arial" w:cs="Arial" w:eastAsia="Arial" w:hAnsi="Arial"/>
                <w:sz w:val="18"/>
                <w:szCs w:val="18"/>
                <w:color w:val="auto"/>
              </w:rPr>
              <w:t>General Partner</w:t>
            </w:r>
          </w:p>
        </w:tc>
      </w:tr>
      <w:tr>
        <w:trPr>
          <w:trHeight w:val="432"/>
        </w:trPr>
        <w:tc>
          <w:tcPr>
            <w:tcW w:w="3500" w:type="dxa"/>
            <w:vAlign w:val="bottom"/>
          </w:tcPr>
          <w:p>
            <w:pPr>
              <w:spacing w:after="0"/>
              <w:rPr>
                <w:sz w:val="24"/>
                <w:szCs w:val="24"/>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Sonia Gardner</w:t>
            </w:r>
          </w:p>
        </w:tc>
      </w:tr>
      <w:tr>
        <w:trPr>
          <w:trHeight w:val="209"/>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w w:val="98"/>
              </w:rPr>
              <w:t>Name: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Sonia Gardner</w:t>
            </w:r>
          </w:p>
        </w:tc>
      </w:tr>
      <w:tr>
        <w:trPr>
          <w:trHeight w:val="210"/>
        </w:trPr>
        <w:tc>
          <w:tcPr>
            <w:tcW w:w="3500" w:type="dxa"/>
            <w:vAlign w:val="bottom"/>
          </w:tcPr>
          <w:p>
            <w:pPr>
              <w:spacing w:after="0"/>
              <w:rPr>
                <w:sz w:val="18"/>
                <w:szCs w:val="18"/>
                <w:color w:val="auto"/>
              </w:rPr>
            </w:pPr>
          </w:p>
        </w:tc>
        <w:tc>
          <w:tcPr>
            <w:tcW w:w="2560" w:type="dxa"/>
            <w:vAlign w:val="bottom"/>
          </w:tcPr>
          <w:p>
            <w:pPr>
              <w:ind w:left="2020"/>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Authorized Signatory</w:t>
            </w:r>
          </w:p>
        </w:tc>
      </w:tr>
      <w:tr>
        <w:trPr>
          <w:trHeight w:val="398"/>
        </w:trPr>
        <w:tc>
          <w:tcPr>
            <w:tcW w:w="3500" w:type="dxa"/>
            <w:vAlign w:val="bottom"/>
          </w:tcPr>
          <w:p>
            <w:pPr>
              <w:spacing w:after="0"/>
              <w:rPr>
                <w:sz w:val="20"/>
                <w:szCs w:val="20"/>
                <w:color w:val="auto"/>
              </w:rPr>
            </w:pPr>
            <w:r>
              <w:rPr>
                <w:rFonts w:ascii="Arial" w:cs="Arial" w:eastAsia="Arial" w:hAnsi="Arial"/>
                <w:sz w:val="18"/>
                <w:szCs w:val="18"/>
                <w:color w:val="auto"/>
              </w:rPr>
              <w:t>Address for Notices:</w:t>
            </w: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11 West 42</w:t>
            </w:r>
            <w:r>
              <w:rPr>
                <w:rFonts w:ascii="Arial" w:cs="Arial" w:eastAsia="Arial" w:hAnsi="Arial"/>
                <w:sz w:val="15"/>
                <w:szCs w:val="15"/>
                <w:color w:val="auto"/>
              </w:rPr>
              <w:t>nd</w:t>
            </w:r>
            <w:r>
              <w:rPr>
                <w:rFonts w:ascii="Arial" w:cs="Arial" w:eastAsia="Arial" w:hAnsi="Arial"/>
                <w:sz w:val="18"/>
                <w:szCs w:val="18"/>
                <w:color w:val="auto"/>
              </w:rPr>
              <w:t xml:space="preserve"> Street, 9</w:t>
            </w:r>
            <w:r>
              <w:rPr>
                <w:rFonts w:ascii="Arial" w:cs="Arial" w:eastAsia="Arial" w:hAnsi="Arial"/>
                <w:sz w:val="15"/>
                <w:szCs w:val="15"/>
                <w:color w:val="auto"/>
              </w:rPr>
              <w:t>th</w:t>
            </w:r>
            <w:r>
              <w:rPr>
                <w:rFonts w:ascii="Arial" w:cs="Arial" w:eastAsia="Arial" w:hAnsi="Arial"/>
                <w:sz w:val="18"/>
                <w:szCs w:val="18"/>
                <w:color w:val="auto"/>
              </w:rPr>
              <w:t xml:space="preserve"> Floor</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New York, New York 10036</w:t>
            </w:r>
          </w:p>
        </w:tc>
      </w:tr>
    </w:tbl>
    <w:p>
      <w:pPr>
        <w:sectPr>
          <w:pgSz w:w="11900" w:h="16838" w:orient="portrait"/>
          <w:cols w:equalWidth="0" w:num="1">
            <w:col w:w="11020"/>
          </w:cols>
          <w:pgMar w:left="440" w:top="274" w:right="439" w:bottom="1440" w:gutter="0" w:footer="0" w:header="0"/>
        </w:sectPr>
      </w:pPr>
    </w:p>
    <w:bookmarkStart w:id="388" w:name="page389"/>
    <w:bookmarkEnd w:id="38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OF PROMISSORY NOTE</w:t>
      </w:r>
    </w:p>
    <w:p>
      <w:pPr>
        <w:spacing w:after="0" w:line="229" w:lineRule="exact"/>
        <w:rPr>
          <w:sz w:val="20"/>
          <w:szCs w:val="20"/>
          <w:color w:val="auto"/>
        </w:rPr>
      </w:pPr>
    </w:p>
    <w:p>
      <w:pPr>
        <w:ind w:left="9604"/>
        <w:spacing w:after="0"/>
        <w:rPr>
          <w:sz w:val="20"/>
          <w:szCs w:val="20"/>
          <w:color w:val="auto"/>
        </w:rPr>
      </w:pPr>
      <w:r>
        <w:rPr>
          <w:rFonts w:ascii="Arial" w:cs="Arial" w:eastAsia="Arial" w:hAnsi="Arial"/>
          <w:sz w:val="18"/>
          <w:szCs w:val="18"/>
          <w:color w:val="auto"/>
        </w:rPr>
        <w:t>[Note No. X-XXX]</w:t>
      </w:r>
    </w:p>
    <w:p>
      <w:pPr>
        <w:sectPr>
          <w:pgSz w:w="11900" w:h="16838" w:orient="portrait"/>
          <w:cols w:equalWidth="0" w:num="1">
            <w:col w:w="11024"/>
          </w:cols>
          <w:pgMar w:left="436" w:top="270"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$_______________________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September 15, 2020</w:t>
      </w:r>
    </w:p>
    <w:p>
      <w:pPr>
        <w:spacing w:after="0" w:line="200" w:lineRule="exact"/>
        <w:rPr>
          <w:sz w:val="20"/>
          <w:szCs w:val="20"/>
          <w:color w:val="auto"/>
        </w:rPr>
      </w:pPr>
    </w:p>
    <w:p>
      <w:pPr>
        <w:sectPr>
          <w:pgSz w:w="11900" w:h="16838" w:orient="portrait"/>
          <w:cols w:equalWidth="0" w:num="2">
            <w:col w:w="8844" w:space="720"/>
            <w:col w:w="1460"/>
          </w:cols>
          <w:pgMar w:left="436" w:top="270" w:right="439" w:bottom="1440" w:gutter="0" w:footer="0" w:header="0"/>
          <w:type w:val="continuous"/>
        </w:sectPr>
      </w:pPr>
    </w:p>
    <w:p>
      <w:pPr>
        <w:spacing w:after="0" w:line="48" w:lineRule="exact"/>
        <w:rPr>
          <w:sz w:val="20"/>
          <w:szCs w:val="20"/>
          <w:color w:val="auto"/>
        </w:rPr>
      </w:pPr>
    </w:p>
    <w:p>
      <w:pPr>
        <w:ind w:left="4" w:right="260"/>
        <w:spacing w:after="0" w:line="274" w:lineRule="auto"/>
        <w:rPr>
          <w:sz w:val="20"/>
          <w:szCs w:val="20"/>
          <w:color w:val="auto"/>
        </w:rPr>
      </w:pPr>
      <w:r>
        <w:rPr>
          <w:rFonts w:ascii="Arial" w:cs="Arial" w:eastAsia="Arial" w:hAnsi="Arial"/>
          <w:sz w:val="17"/>
          <w:szCs w:val="17"/>
          <w:color w:val="auto"/>
        </w:rPr>
        <w:t>The undersigned (“</w:t>
      </w:r>
      <w:r>
        <w:rPr>
          <w:rFonts w:ascii="Arial" w:cs="Arial" w:eastAsia="Arial" w:hAnsi="Arial"/>
          <w:sz w:val="17"/>
          <w:szCs w:val="17"/>
          <w:u w:val="single" w:color="auto"/>
          <w:color w:val="auto"/>
        </w:rPr>
        <w:t>Borrower</w:t>
      </w:r>
      <w:r>
        <w:rPr>
          <w:rFonts w:ascii="Arial" w:cs="Arial" w:eastAsia="Arial" w:hAnsi="Arial"/>
          <w:sz w:val="17"/>
          <w:szCs w:val="17"/>
          <w:color w:val="auto"/>
        </w:rPr>
        <w:t>”) promises to pay to the order of AVENUE VENTURE OPPORTUNITIES FUND, L.P., a Delaware limited partnership (“</w:t>
      </w:r>
      <w:r>
        <w:rPr>
          <w:rFonts w:ascii="Arial" w:cs="Arial" w:eastAsia="Arial" w:hAnsi="Arial"/>
          <w:sz w:val="17"/>
          <w:szCs w:val="17"/>
          <w:u w:val="single" w:color="auto"/>
          <w:color w:val="auto"/>
        </w:rPr>
        <w:t>Lender</w:t>
      </w:r>
      <w:r>
        <w:rPr>
          <w:rFonts w:ascii="Arial" w:cs="Arial" w:eastAsia="Arial" w:hAnsi="Arial"/>
          <w:sz w:val="17"/>
          <w:szCs w:val="17"/>
          <w:color w:val="auto"/>
        </w:rPr>
        <w:t>”), at such place as Lender may designate in writing, in lawful money of the United States of America, the principal sum of</w:t>
      </w:r>
    </w:p>
    <w:p>
      <w:pPr>
        <w:ind w:left="4"/>
        <w:spacing w:after="0"/>
        <w:rPr>
          <w:sz w:val="20"/>
          <w:szCs w:val="20"/>
          <w:color w:val="auto"/>
        </w:rPr>
      </w:pPr>
      <w:r>
        <w:rPr>
          <w:rFonts w:ascii="Arial" w:cs="Arial" w:eastAsia="Arial" w:hAnsi="Arial"/>
          <w:sz w:val="17"/>
          <w:szCs w:val="17"/>
          <w:color w:val="auto"/>
        </w:rPr>
        <w:t>_______________________________ Dollars ($___________), with interest thereon from the date hereof until maturity, whether scheduled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accelerated, at a variable rate per annum equal to the sum of (i) the greater of (A) the Prime Rate and (B) three and one-quarters percent (3.25%), plus</w:t>
      </w:r>
    </w:p>
    <w:p>
      <w:pPr>
        <w:spacing w:after="0" w:line="32" w:lineRule="exact"/>
        <w:rPr>
          <w:sz w:val="20"/>
          <w:szCs w:val="20"/>
          <w:color w:val="auto"/>
        </w:rPr>
      </w:pPr>
    </w:p>
    <w:p>
      <w:pPr>
        <w:ind w:left="264" w:hanging="264"/>
        <w:spacing w:after="0"/>
        <w:tabs>
          <w:tab w:leader="none" w:pos="26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eight percent (8.00%) (the “</w:t>
      </w:r>
      <w:r>
        <w:rPr>
          <w:rFonts w:ascii="Arial" w:cs="Arial" w:eastAsia="Arial" w:hAnsi="Arial"/>
          <w:sz w:val="17"/>
          <w:szCs w:val="17"/>
          <w:u w:val="single" w:color="auto"/>
          <w:color w:val="auto"/>
        </w:rPr>
        <w:t>Designated Rate</w:t>
      </w:r>
      <w:r>
        <w:rPr>
          <w:rFonts w:ascii="Arial" w:cs="Arial" w:eastAsia="Arial" w:hAnsi="Arial"/>
          <w:sz w:val="17"/>
          <w:szCs w:val="17"/>
          <w:color w:val="auto"/>
        </w:rPr>
        <w:t>”), according to the payment schedule described herein, except as otherwise provided herein. In</w:t>
      </w:r>
    </w:p>
    <w:p>
      <w:pPr>
        <w:spacing w:after="0" w:line="20"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7"/>
          <w:szCs w:val="17"/>
          <w:color w:val="auto"/>
        </w:rPr>
        <w:t>addition, on the Maturity Date, the Borrower promises to pay to the order of Lender (i) all principal and accrued interest then remaining unpaid and</w:t>
      </w:r>
    </w:p>
    <w:p>
      <w:pPr>
        <w:spacing w:after="0" w:line="20" w:lineRule="exact"/>
        <w:rPr>
          <w:rFonts w:ascii="Arial" w:cs="Arial" w:eastAsia="Arial" w:hAnsi="Arial"/>
          <w:sz w:val="17"/>
          <w:szCs w:val="17"/>
          <w:color w:val="auto"/>
        </w:rPr>
      </w:pPr>
    </w:p>
    <w:p>
      <w:pPr>
        <w:ind w:left="264" w:hanging="264"/>
        <w:spacing w:after="0"/>
        <w:tabs>
          <w:tab w:leader="none" w:pos="2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Final Payment (as defined in the Loan Agreement (as defined herein)).</w:t>
      </w:r>
    </w:p>
    <w:p>
      <w:pPr>
        <w:spacing w:after="0" w:line="21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This Note is one of the Notes referred to in, and is entitled to all the benefits of, a Loan and Security Agreement, dated as of September 15, 2020, between Borrower and Lender (as the same has been and may be amended, restated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Each capitalized term not otherwise defined herein shall have the meaning set forth in the Loan Agreement. The Loan Agreement contains provisions for the acceleration of the maturity of this Note upon the happening of certain stated events.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of and interest on this Note shall be payable as provided under Section 2 of Part 2 of the Supplement to the Loan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Note may be prepaid only as permitted under Section 2 of Part 2 of the Supplement to the Loan Agreement.</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Any unpaid payments of principal or interest on this Note shall bear interest from their respective maturities, whether scheduled or accelerated, at a rate per annum equal to the Default Rate, compounded monthly. Borrower shall pay such interest on demand.</w:t>
      </w:r>
    </w:p>
    <w:p>
      <w:pPr>
        <w:spacing w:after="0" w:line="170"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Interest, charges and fees shall be calculated for actual days elapsed on the basis of a 360-day year, which results in higher interest, charge or fee payments than if a 365-day year were used. In no event shall Borrower be obligated to pay interest, charges or fees at a rate in excess of the highest rate permitted by applicable law from time to time in effect.</w:t>
      </w:r>
    </w:p>
    <w:p>
      <w:pPr>
        <w:spacing w:after="0" w:line="184"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If Borrower is late in making any scheduled payment under this Note by more than five (5) days, Borrower agrees to pay a “late charge” of five percent (5%) of the installment due, but not less than fifty dollars ($50)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Note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Note or any of the other Loan Documents or from exercising any other rights and remedies of Lender.</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type w:val="continuous"/>
        </w:sectPr>
      </w:pPr>
    </w:p>
    <w:bookmarkStart w:id="389" w:name="page390"/>
    <w:bookmarkEnd w:id="38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Note shall be governed by, and construed in accordance with, the laws of the State of California, excluding those laws that direct the application of the laws of another jurisdiction.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22860</wp:posOffset>
            </wp:positionV>
            <wp:extent cx="24599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-121920</wp:posOffset>
            </wp:positionV>
            <wp:extent cx="24599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ectPr>
          <w:pgSz w:w="11900" w:h="16838" w:orient="portrait"/>
          <w:cols w:equalWidth="0" w:num="1">
            <w:col w:w="10920"/>
          </w:cols>
          <w:pgMar w:left="440" w:top="274" w:right="539" w:bottom="1440" w:gutter="0" w:footer="0" w:header="0"/>
        </w:sectPr>
      </w:pPr>
    </w:p>
    <w:bookmarkStart w:id="390" w:name="page391"/>
    <w:bookmarkEnd w:id="39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FORM OF BORROWING REQUEST</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of Borrowing Request]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Avenue Venture Opportunities Fund,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11 West 42nd Street, 9th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New York 10036</w:t>
      </w:r>
    </w:p>
    <w:p>
      <w:pPr>
        <w:spacing w:after="0" w:line="35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RANI THERAPEUTICS, LLC</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Reference is made to the Loan and Security Agreement, dated as of September 15, 2020 (as amended, restated or supplemented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the capitalized terms used herein as defined therein), between Avenue Venture Opportunities Fund, L.P. (“</w:t>
      </w:r>
      <w:r>
        <w:rPr>
          <w:rFonts w:ascii="Arial" w:cs="Arial" w:eastAsia="Arial" w:hAnsi="Arial"/>
          <w:sz w:val="18"/>
          <w:szCs w:val="18"/>
          <w:u w:val="single" w:color="auto"/>
          <w:color w:val="auto"/>
        </w:rPr>
        <w:t>Lender</w:t>
      </w:r>
      <w:r>
        <w:rPr>
          <w:rFonts w:ascii="Arial" w:cs="Arial" w:eastAsia="Arial" w:hAnsi="Arial"/>
          <w:sz w:val="18"/>
          <w:szCs w:val="18"/>
          <w:color w:val="auto"/>
        </w:rPr>
        <w:t>”) and RANI THERAPEUTICS, LLC (“</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undersigned is the __________________ of Borrower and hereby requests on behalf of Borrower a Loan under the Loan Agreement, and in that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connection certifies as follows:</w:t>
      </w:r>
    </w:p>
    <w:p>
      <w:pPr>
        <w:spacing w:after="0" w:line="211" w:lineRule="exact"/>
        <w:rPr>
          <w:sz w:val="20"/>
          <w:szCs w:val="20"/>
          <w:color w:val="auto"/>
        </w:rPr>
      </w:pPr>
    </w:p>
    <w:p>
      <w:pPr>
        <w:ind w:left="184" w:hanging="184"/>
        <w:spacing w:after="0"/>
        <w:tabs>
          <w:tab w:leader="none" w:pos="18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amount of the proposed Loan is ________________________ Dollars ($_______________). The Borrowing Date of the proposed Loan 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___________________ (the “</w:t>
      </w:r>
      <w:r>
        <w:rPr>
          <w:rFonts w:ascii="Arial" w:cs="Arial" w:eastAsia="Arial" w:hAnsi="Arial"/>
          <w:sz w:val="18"/>
          <w:szCs w:val="18"/>
          <w:u w:val="single" w:color="auto"/>
          <w:color w:val="auto"/>
        </w:rPr>
        <w:t>Borrowing Date</w:t>
      </w:r>
      <w:r>
        <w:rPr>
          <w:rFonts w:ascii="Arial" w:cs="Arial" w:eastAsia="Arial" w:hAnsi="Arial"/>
          <w:sz w:val="18"/>
          <w:szCs w:val="18"/>
          <w:color w:val="auto"/>
        </w:rPr>
        <w:t>”).</w:t>
      </w:r>
    </w:p>
    <w:p>
      <w:pPr>
        <w:spacing w:after="0" w:line="211" w:lineRule="exact"/>
        <w:rPr>
          <w:sz w:val="20"/>
          <w:szCs w:val="20"/>
          <w:color w:val="auto"/>
        </w:rPr>
      </w:pPr>
    </w:p>
    <w:p>
      <w:pPr>
        <w:ind w:left="4" w:hanging="4"/>
        <w:spacing w:after="0" w:line="277" w:lineRule="auto"/>
        <w:tabs>
          <w:tab w:leader="none" w:pos="24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On the Borrowing Date, the Lender will wire $[__________] less fees and expenses to be deducted on the Borrowing Date of $[__________] for net proceeds of $[__________] to Borrower pursuant to the following wire instructions.</w:t>
      </w:r>
    </w:p>
    <w:p>
      <w:pPr>
        <w:spacing w:after="0" w:line="211" w:lineRule="exact"/>
        <w:rPr>
          <w:sz w:val="20"/>
          <w:szCs w:val="20"/>
          <w:color w:val="auto"/>
        </w:rPr>
      </w:pPr>
    </w:p>
    <w:p>
      <w:pPr>
        <w:ind w:left="924"/>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11741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017895" cy="1174115"/>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ABA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Contact Name: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No.:</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7"/>
          <w:szCs w:val="17"/>
          <w:color w:val="auto"/>
        </w:rPr>
        <w:t>(b) On the Borrowing Date, the Lender will wire $[__________] to [__________] for fees and expenses pursuant to the following wire instructions.</w:t>
      </w:r>
    </w:p>
    <w:p>
      <w:pPr>
        <w:spacing w:after="0" w:line="277" w:lineRule="exact"/>
        <w:rPr>
          <w:sz w:val="20"/>
          <w:szCs w:val="20"/>
          <w:color w:val="auto"/>
        </w:rPr>
      </w:pPr>
    </w:p>
    <w:p>
      <w:pPr>
        <w:ind w:left="924"/>
        <w:spacing w:after="0"/>
        <w:rPr>
          <w:sz w:val="20"/>
          <w:szCs w:val="20"/>
          <w:color w:val="auto"/>
        </w:rPr>
      </w:pPr>
      <w:r>
        <w:rPr>
          <w:rFonts w:ascii="Arial" w:cs="Arial" w:eastAsia="Arial" w:hAnsi="Arial"/>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4457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17895" cy="445770"/>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ABA No.:</w:t>
      </w:r>
    </w:p>
    <w:p>
      <w:pPr>
        <w:spacing w:after="0" w:line="17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4"/>
          </w:cols>
          <w:pgMar w:left="436" w:top="270" w:right="499" w:bottom="1440" w:gutter="0" w:footer="0" w:header="0"/>
        </w:sectPr>
      </w:pPr>
    </w:p>
    <w:bookmarkStart w:id="391" w:name="page392"/>
    <w:bookmarkEnd w:id="391"/>
    <w:p>
      <w:pPr>
        <w:ind w:left="9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-130175</wp:posOffset>
            </wp:positionV>
            <wp:extent cx="6017895" cy="7372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017895" cy="737235"/>
                    </a:xfrm>
                    <a:prstGeom prst="rect">
                      <a:avLst/>
                    </a:prstGeom>
                    <a:noFill/>
                  </pic:spPr>
                </pic:pic>
              </a:graphicData>
            </a:graphic>
          </wp:anchor>
        </w:drawing>
      </w:r>
    </w:p>
    <w:p>
      <w:pPr>
        <w:spacing w:after="0" w:line="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Phone No.:</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Title:</w:t>
      </w:r>
    </w:p>
    <w:p>
      <w:pPr>
        <w:spacing w:after="0" w:line="23" w:lineRule="exact"/>
        <w:rPr>
          <w:sz w:val="20"/>
          <w:szCs w:val="20"/>
          <w:color w:val="auto"/>
        </w:rPr>
      </w:pPr>
    </w:p>
    <w:p>
      <w:pPr>
        <w:ind w:left="924"/>
        <w:spacing w:after="0"/>
        <w:rPr>
          <w:sz w:val="20"/>
          <w:szCs w:val="20"/>
          <w:color w:val="auto"/>
        </w:rPr>
      </w:pPr>
      <w:r>
        <w:rPr>
          <w:rFonts w:ascii="Arial" w:cs="Arial" w:eastAsia="Arial" w:hAnsi="Arial"/>
          <w:sz w:val="18"/>
          <w:szCs w:val="18"/>
          <w:color w:val="auto"/>
        </w:rPr>
        <w:t>Account No.:</w:t>
      </w:r>
    </w:p>
    <w:p>
      <w:pPr>
        <w:spacing w:after="0" w:line="238" w:lineRule="exact"/>
        <w:rPr>
          <w:sz w:val="20"/>
          <w:szCs w:val="20"/>
          <w:color w:val="auto"/>
        </w:rPr>
      </w:pPr>
    </w:p>
    <w:p>
      <w:pPr>
        <w:ind w:left="4" w:right="80" w:hanging="4"/>
        <w:spacing w:after="0" w:line="257" w:lineRule="auto"/>
        <w:tabs>
          <w:tab w:leader="none" w:pos="18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As of this date, no Default or Event of Default has occurred and is continuing, or will result from the making of the proposed Loan, the representations and warranties of Borrower contained in Article 3 of the Loan Agreement and Part 3 of the Supplement are true and correct in all material respects other than those representations and warranties expressly referring to a specific date which are true and correct in all material respects as of such date, and the conditions precedent described in Sections 4.1 and/or 4.2 of the Loan Agreement and Part 2 of the Supplement, as applicable, have been met.</w:t>
      </w:r>
    </w:p>
    <w:p>
      <w:pPr>
        <w:spacing w:after="0" w:line="187" w:lineRule="exact"/>
        <w:rPr>
          <w:rFonts w:ascii="Arial" w:cs="Arial" w:eastAsia="Arial" w:hAnsi="Arial"/>
          <w:sz w:val="18"/>
          <w:szCs w:val="18"/>
          <w:color w:val="auto"/>
        </w:rPr>
      </w:pPr>
    </w:p>
    <w:p>
      <w:pPr>
        <w:ind w:left="184" w:hanging="184"/>
        <w:spacing w:after="0"/>
        <w:tabs>
          <w:tab w:leader="none" w:pos="18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No event has occurred that has had or could reasonably be expected to have a Material Adverse Change.</w:t>
      </w:r>
    </w:p>
    <w:p>
      <w:pPr>
        <w:spacing w:after="0" w:line="225" w:lineRule="exact"/>
        <w:rPr>
          <w:rFonts w:ascii="Arial" w:cs="Arial" w:eastAsia="Arial" w:hAnsi="Arial"/>
          <w:sz w:val="18"/>
          <w:szCs w:val="18"/>
          <w:color w:val="auto"/>
        </w:rPr>
      </w:pPr>
    </w:p>
    <w:p>
      <w:pPr>
        <w:ind w:left="4" w:hanging="4"/>
        <w:spacing w:after="0" w:line="342" w:lineRule="auto"/>
        <w:tabs>
          <w:tab w:leader="none" w:pos="18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Borrower’s most recent financial statements, financial projections or business plan dated __________, as reviewed by Borrower’s Board of Directors, are enclosed herewith in the event such financial statements, financial projections or business plan have not been previously provided to Lender.</w:t>
      </w:r>
    </w:p>
    <w:p>
      <w:pPr>
        <w:spacing w:after="0" w:line="124" w:lineRule="exact"/>
        <w:rPr>
          <w:sz w:val="20"/>
          <w:szCs w:val="20"/>
          <w:color w:val="auto"/>
        </w:rPr>
      </w:pPr>
    </w:p>
    <w:p>
      <w:pPr>
        <w:jc w:val="center"/>
        <w:ind w:right="-43"/>
        <w:spacing w:after="0"/>
        <w:rPr>
          <w:sz w:val="20"/>
          <w:szCs w:val="20"/>
          <w:color w:val="auto"/>
        </w:rPr>
      </w:pPr>
      <w:r>
        <w:rPr>
          <w:rFonts w:ascii="Arial" w:cs="Arial" w:eastAsia="Arial" w:hAnsi="Arial"/>
          <w:sz w:val="18"/>
          <w:szCs w:val="18"/>
          <w:i w:val="1"/>
          <w:iCs w:val="1"/>
          <w:color w:val="auto"/>
        </w:rPr>
        <w:t>Remainder of this page intentionally left blank; signature page follows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87" w:right="499" w:bottom="1440" w:gutter="0" w:footer="0" w:header="0"/>
        </w:sectPr>
      </w:pPr>
    </w:p>
    <w:bookmarkStart w:id="392" w:name="page393"/>
    <w:bookmarkEnd w:id="392"/>
    <w:p>
      <w:pPr>
        <w:jc w:val="center"/>
        <w:ind w:right="-48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Borrowing Request</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Borrower shall notify you promptly before the funding of the Loan if any of the matters to which I have certified above shall not be true and correct on the Borrowing Date.</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RANI THERAPEUTICS, LLC</w:t>
      </w:r>
    </w:p>
    <w:p>
      <w:pPr>
        <w:spacing w:after="0" w:line="23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22860</wp:posOffset>
            </wp:positionV>
            <wp:extent cx="24599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-121920</wp:posOffset>
            </wp:positionV>
            <wp:extent cx="24599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4" w:lineRule="exact"/>
        <w:rPr>
          <w:sz w:val="20"/>
          <w:szCs w:val="20"/>
          <w:color w:val="auto"/>
        </w:rPr>
      </w:pPr>
    </w:p>
    <w:p>
      <w:pPr>
        <w:ind w:left="424" w:hanging="424"/>
        <w:spacing w:after="0"/>
        <w:tabs>
          <w:tab w:leader="none" w:pos="424" w:val="left"/>
        </w:tabs>
        <w:numPr>
          <w:ilvl w:val="0"/>
          <w:numId w:val="295"/>
        </w:numPr>
        <w:rPr>
          <w:rFonts w:ascii="Arial" w:cs="Arial" w:eastAsia="Arial" w:hAnsi="Arial"/>
          <w:sz w:val="15"/>
          <w:szCs w:val="15"/>
          <w:color w:val="auto"/>
        </w:rPr>
      </w:pPr>
      <w:r>
        <w:rPr>
          <w:rFonts w:ascii="Arial" w:cs="Arial" w:eastAsia="Arial" w:hAnsi="Arial"/>
          <w:sz w:val="18"/>
          <w:szCs w:val="18"/>
          <w:color w:val="auto"/>
        </w:rPr>
        <w:t>Must be executed by Borrower’s Chief Financial Officer or other executive officer.</w:t>
      </w:r>
    </w:p>
    <w:p>
      <w:pPr>
        <w:sectPr>
          <w:pgSz w:w="11900" w:h="16838" w:orient="portrait"/>
          <w:cols w:equalWidth="0" w:num="1">
            <w:col w:w="10524"/>
          </w:cols>
          <w:pgMar w:left="436" w:top="274" w:right="939" w:bottom="1440" w:gutter="0" w:footer="0" w:header="0"/>
        </w:sectPr>
      </w:pPr>
    </w:p>
    <w:bookmarkStart w:id="393" w:name="page394"/>
    <w:bookmarkEnd w:id="3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Avenue Venture Opportunities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 West 42nd Street, 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7"/>
          <w:szCs w:val="17"/>
          <w:u w:val="single" w:color="auto"/>
          <w:color w:val="auto"/>
        </w:rPr>
        <w:t>RANI THERAPEUTICS,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540" w:firstLine="440"/>
        <w:spacing w:after="0" w:line="263" w:lineRule="auto"/>
        <w:rPr>
          <w:sz w:val="20"/>
          <w:szCs w:val="20"/>
          <w:color w:val="auto"/>
        </w:rPr>
      </w:pPr>
      <w:r>
        <w:rPr>
          <w:rFonts w:ascii="Arial" w:cs="Arial" w:eastAsia="Arial" w:hAnsi="Arial"/>
          <w:sz w:val="18"/>
          <w:szCs w:val="18"/>
          <w:color w:val="auto"/>
        </w:rPr>
        <w:t>Reference is made to the Loan and Security Agreement, dated as of September 15, 2020 (as the same has been and may be supplemented, amended and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the capitalized terms used herein as defined therein), between Avenue Venture Opportunities Fund, L.P. (“</w:t>
      </w:r>
      <w:r>
        <w:rPr>
          <w:rFonts w:ascii="Arial" w:cs="Arial" w:eastAsia="Arial" w:hAnsi="Arial"/>
          <w:sz w:val="18"/>
          <w:szCs w:val="18"/>
          <w:b w:val="1"/>
          <w:bCs w:val="1"/>
          <w:color w:val="auto"/>
        </w:rPr>
        <w:t>Lender</w:t>
      </w:r>
      <w:r>
        <w:rPr>
          <w:rFonts w:ascii="Arial" w:cs="Arial" w:eastAsia="Arial" w:hAnsi="Arial"/>
          <w:sz w:val="18"/>
          <w:szCs w:val="18"/>
          <w:color w:val="auto"/>
        </w:rPr>
        <w:t>”) and RANI THERAPEUTICS, LLC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84"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The undersigned authorized representative of Borrower hereby certifies in such capacity that in accordance with the terms and conditions of the Loan Agreement, (i) no Default or Event of Default has occurred and is continuing, except as noted below, and (ii) Borrower is in compliance for the financial reporting period ending ______________________________ with all required financial reporting under the Loan Agreement, except as noted</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below. Attached herewith are the required documents supporting the foregoing certification. The undersigned authorized representative of Borrower further certifies in such capacity that: (a) the accompanying financial statements have been prepared in accordance with Borrower’s past practices applied on a consistent basis, or in such manner as otherwise disclosed in writing to Lender, throughout the periods indicated; and (b) the financial statements fairly present in all material respects the financial condition and operating results of Borrower and its Subsidiaries, if any, as of the dates, and for the periods, indicated therein, subject to the absence of footnotes and normal year-end audit adjustments (in the case of interim monthly financial statements), except as explained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provide the following requested information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indicate compliance status by circling (or otherwise indicating) Yes/No under “Included/Complies”: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REPORTING REQUIREMENT</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REQUIRED</w:t>
            </w:r>
          </w:p>
        </w:tc>
        <w:tc>
          <w:tcPr>
            <w:tcW w:w="36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INCLUDED/COMPLIES</w:t>
            </w:r>
          </w:p>
        </w:tc>
      </w:tr>
      <w:tr>
        <w:trPr>
          <w:trHeight w:val="318"/>
        </w:trPr>
        <w:tc>
          <w:tcPr>
            <w:tcW w:w="4400" w:type="dxa"/>
            <w:vAlign w:val="bottom"/>
            <w:gridSpan w:val="4"/>
          </w:tcPr>
          <w:p>
            <w:pPr>
              <w:spacing w:after="0"/>
              <w:rPr>
                <w:sz w:val="20"/>
                <w:szCs w:val="20"/>
                <w:color w:val="auto"/>
              </w:rPr>
            </w:pPr>
            <w:r>
              <w:rPr>
                <w:rFonts w:ascii="Arial" w:cs="Arial" w:eastAsia="Arial" w:hAnsi="Arial"/>
                <w:sz w:val="18"/>
                <w:szCs w:val="18"/>
                <w:color w:val="auto"/>
                <w:w w:val="93"/>
              </w:rPr>
              <w:t>Balance Sheet, Income Statement &amp; Cash Flow Statement</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Monthly, within 30 days</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310"/>
        </w:trPr>
        <w:tc>
          <w:tcPr>
            <w:tcW w:w="4400" w:type="dxa"/>
            <w:vAlign w:val="bottom"/>
            <w:gridSpan w:val="4"/>
          </w:tcPr>
          <w:p>
            <w:pPr>
              <w:spacing w:after="0"/>
              <w:rPr>
                <w:sz w:val="20"/>
                <w:szCs w:val="20"/>
                <w:color w:val="auto"/>
              </w:rPr>
            </w:pPr>
            <w:r>
              <w:rPr>
                <w:rFonts w:ascii="Arial" w:cs="Arial" w:eastAsia="Arial" w:hAnsi="Arial"/>
                <w:sz w:val="18"/>
                <w:szCs w:val="18"/>
                <w:color w:val="auto"/>
              </w:rPr>
              <w:t>Operating Budgets, 409(A) Valuations &amp; Updated</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As modified</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230"/>
        </w:trPr>
        <w:tc>
          <w:tcPr>
            <w:tcW w:w="4400" w:type="dxa"/>
            <w:vAlign w:val="bottom"/>
            <w:gridSpan w:val="4"/>
          </w:tcPr>
          <w:p>
            <w:pPr>
              <w:spacing w:after="0"/>
              <w:rPr>
                <w:sz w:val="20"/>
                <w:szCs w:val="20"/>
                <w:color w:val="auto"/>
              </w:rPr>
            </w:pPr>
            <w:r>
              <w:rPr>
                <w:rFonts w:ascii="Arial" w:cs="Arial" w:eastAsia="Arial" w:hAnsi="Arial"/>
                <w:sz w:val="18"/>
                <w:szCs w:val="18"/>
                <w:color w:val="auto"/>
              </w:rPr>
              <w:t>Capitalization Tables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24"/>
        </w:trPr>
        <w:tc>
          <w:tcPr>
            <w:tcW w:w="4400" w:type="dxa"/>
            <w:vAlign w:val="bottom"/>
            <w:gridSpan w:val="4"/>
          </w:tcPr>
          <w:p>
            <w:pPr>
              <w:spacing w:after="0"/>
              <w:rPr>
                <w:sz w:val="20"/>
                <w:szCs w:val="20"/>
                <w:color w:val="auto"/>
              </w:rPr>
            </w:pPr>
            <w:r>
              <w:rPr>
                <w:rFonts w:ascii="Arial" w:cs="Arial" w:eastAsia="Arial" w:hAnsi="Arial"/>
                <w:sz w:val="18"/>
                <w:szCs w:val="18"/>
                <w:color w:val="auto"/>
              </w:rPr>
              <w:t>Annual Financial Statements</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Annually, within 120 day of fiscal year-end</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324"/>
        </w:trPr>
        <w:tc>
          <w:tcPr>
            <w:tcW w:w="4400" w:type="dxa"/>
            <w:vAlign w:val="bottom"/>
            <w:gridSpan w:val="4"/>
          </w:tcPr>
          <w:p>
            <w:pPr>
              <w:spacing w:after="0"/>
              <w:rPr>
                <w:sz w:val="20"/>
                <w:szCs w:val="20"/>
                <w:color w:val="auto"/>
              </w:rPr>
            </w:pPr>
            <w:r>
              <w:rPr>
                <w:rFonts w:ascii="Arial" w:cs="Arial" w:eastAsia="Arial" w:hAnsi="Arial"/>
                <w:sz w:val="18"/>
                <w:szCs w:val="18"/>
                <w:color w:val="auto"/>
              </w:rPr>
              <w:t>Board Packages</w:t>
            </w:r>
          </w:p>
        </w:tc>
        <w:tc>
          <w:tcPr>
            <w:tcW w:w="4740" w:type="dxa"/>
            <w:vAlign w:val="bottom"/>
            <w:gridSpan w:val="3"/>
          </w:tcPr>
          <w:p>
            <w:pPr>
              <w:ind w:left="220"/>
              <w:spacing w:after="0"/>
              <w:rPr>
                <w:sz w:val="20"/>
                <w:szCs w:val="20"/>
                <w:color w:val="auto"/>
              </w:rPr>
            </w:pPr>
            <w:r>
              <w:rPr>
                <w:rFonts w:ascii="Arial" w:cs="Arial" w:eastAsia="Arial" w:hAnsi="Arial"/>
                <w:sz w:val="18"/>
                <w:szCs w:val="18"/>
                <w:color w:val="auto"/>
              </w:rPr>
              <w:t>As modified</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r>
        <w:trPr>
          <w:trHeight w:val="310"/>
        </w:trPr>
        <w:tc>
          <w:tcPr>
            <w:tcW w:w="4400" w:type="dxa"/>
            <w:vAlign w:val="bottom"/>
            <w:gridSpan w:val="4"/>
          </w:tcPr>
          <w:p>
            <w:pPr>
              <w:spacing w:after="0"/>
              <w:rPr>
                <w:sz w:val="20"/>
                <w:szCs w:val="20"/>
                <w:color w:val="auto"/>
              </w:rPr>
            </w:pPr>
            <w:r>
              <w:rPr>
                <w:rFonts w:ascii="Arial" w:cs="Arial" w:eastAsia="Arial" w:hAnsi="Arial"/>
                <w:sz w:val="18"/>
                <w:szCs w:val="18"/>
                <w:color w:val="auto"/>
              </w:rPr>
              <w:t>Date of most recent Board-approved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90"/>
        </w:trPr>
        <w:tc>
          <w:tcPr>
            <w:tcW w:w="1200" w:type="dxa"/>
            <w:vAlign w:val="bottom"/>
          </w:tcPr>
          <w:p>
            <w:pPr>
              <w:ind w:left="180"/>
              <w:spacing w:after="0" w:line="190" w:lineRule="exact"/>
              <w:rPr>
                <w:sz w:val="20"/>
                <w:szCs w:val="20"/>
                <w:color w:val="auto"/>
              </w:rPr>
            </w:pPr>
            <w:r>
              <w:rPr>
                <w:rFonts w:ascii="Arial" w:cs="Arial" w:eastAsia="Arial" w:hAnsi="Arial"/>
                <w:sz w:val="18"/>
                <w:szCs w:val="18"/>
                <w:color w:val="auto"/>
              </w:rPr>
              <w:t>budget/plan</w:t>
            </w:r>
          </w:p>
        </w:tc>
        <w:tc>
          <w:tcPr>
            <w:tcW w:w="720" w:type="dxa"/>
            <w:vAlign w:val="bottom"/>
            <w:tcBorders>
              <w:bottom w:val="single" w:sz="8" w:color="auto"/>
            </w:tcBorders>
          </w:tcPr>
          <w:p>
            <w:pPr>
              <w:spacing w:after="0"/>
              <w:rPr>
                <w:sz w:val="16"/>
                <w:szCs w:val="16"/>
                <w:color w:val="auto"/>
              </w:rPr>
            </w:pPr>
          </w:p>
        </w:tc>
        <w:tc>
          <w:tcPr>
            <w:tcW w:w="24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345"/>
        </w:trPr>
        <w:tc>
          <w:tcPr>
            <w:tcW w:w="9140" w:type="dxa"/>
            <w:vAlign w:val="bottom"/>
            <w:gridSpan w:val="7"/>
          </w:tcPr>
          <w:p>
            <w:pPr>
              <w:spacing w:after="0"/>
              <w:rPr>
                <w:sz w:val="20"/>
                <w:szCs w:val="20"/>
                <w:color w:val="auto"/>
              </w:rPr>
            </w:pPr>
            <w:r>
              <w:rPr>
                <w:rFonts w:ascii="Arial" w:cs="Arial" w:eastAsia="Arial" w:hAnsi="Arial"/>
                <w:sz w:val="18"/>
                <w:szCs w:val="18"/>
                <w:color w:val="auto"/>
              </w:rPr>
              <w:t>Any change in budget/plan since version most recently delivered to Lender</w:t>
            </w:r>
          </w:p>
        </w:tc>
        <w:tc>
          <w:tcPr>
            <w:tcW w:w="1880" w:type="dxa"/>
            <w:vAlign w:val="bottom"/>
          </w:tcPr>
          <w:p>
            <w:pPr>
              <w:jc w:val="right"/>
              <w:spacing w:after="0"/>
              <w:rPr>
                <w:sz w:val="20"/>
                <w:szCs w:val="20"/>
                <w:color w:val="auto"/>
              </w:rPr>
            </w:pPr>
            <w:r>
              <w:rPr>
                <w:rFonts w:ascii="Arial" w:cs="Arial" w:eastAsia="Arial" w:hAnsi="Arial"/>
                <w:sz w:val="18"/>
                <w:szCs w:val="18"/>
                <w:color w:val="auto"/>
              </w:rPr>
              <w:t>YES / NO</w:t>
            </w:r>
          </w:p>
        </w:tc>
      </w:tr>
    </w:tbl>
    <w:p>
      <w:pPr>
        <w:ind w:left="180"/>
        <w:spacing w:after="0"/>
        <w:rPr>
          <w:sz w:val="20"/>
          <w:szCs w:val="20"/>
          <w:color w:val="auto"/>
        </w:rPr>
      </w:pPr>
      <w:r>
        <w:rPr>
          <w:rFonts w:ascii="Arial" w:cs="Arial" w:eastAsia="Arial" w:hAnsi="Arial"/>
          <w:sz w:val="18"/>
          <w:szCs w:val="18"/>
          <w:i w:val="1"/>
          <w:iCs w:val="1"/>
          <w:color w:val="auto"/>
        </w:rPr>
        <w:t>If Yes, please attach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of most recent capitalization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1935480</wp:posOffset>
            </wp:positionH>
            <wp:positionV relativeFrom="paragraph">
              <wp:posOffset>-10160</wp:posOffset>
            </wp:positionV>
            <wp:extent cx="102806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94" w:name="page395"/>
    <w:bookmarkEnd w:id="39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changes in capitalization table since version most recently delivered to Lender?:</w:t>
      </w:r>
    </w:p>
    <w:p>
      <w:pPr>
        <w:spacing w:after="0" w:line="46" w:lineRule="exact"/>
        <w:rPr>
          <w:sz w:val="20"/>
          <w:szCs w:val="20"/>
          <w:color w:val="auto"/>
        </w:rPr>
      </w:pPr>
    </w:p>
    <w:p>
      <w:pPr>
        <w:ind w:left="184"/>
        <w:spacing w:after="0"/>
        <w:rPr>
          <w:sz w:val="20"/>
          <w:szCs w:val="20"/>
          <w:color w:val="auto"/>
        </w:rPr>
      </w:pPr>
      <w:r>
        <w:rPr>
          <w:rFonts w:ascii="Arial" w:cs="Arial" w:eastAsia="Arial" w:hAnsi="Arial"/>
          <w:sz w:val="18"/>
          <w:szCs w:val="18"/>
          <w:i w:val="1"/>
          <w:iCs w:val="1"/>
          <w:color w:val="auto"/>
        </w:rPr>
        <w:t>If Yes, please attach a copy of latest capitalization table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YES / NO</w:t>
      </w:r>
    </w:p>
    <w:p>
      <w:pPr>
        <w:spacing w:after="0" w:line="441" w:lineRule="exact"/>
        <w:rPr>
          <w:sz w:val="20"/>
          <w:szCs w:val="20"/>
          <w:color w:val="auto"/>
        </w:rPr>
      </w:pPr>
    </w:p>
    <w:p>
      <w:pPr>
        <w:sectPr>
          <w:pgSz w:w="11900" w:h="16838" w:orient="portrait"/>
          <w:cols w:equalWidth="0" w:num="2">
            <w:col w:w="9564" w:space="720"/>
            <w:col w:w="740"/>
          </w:cols>
          <w:pgMar w:left="436" w:top="382" w:right="439" w:bottom="1440" w:gutter="0" w:footer="0" w:header="0"/>
        </w:sectPr>
      </w:pP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EQUITY &amp; CONVERTIBLE NOTE FINANCINGS</w:t>
      </w:r>
    </w:p>
    <w:p>
      <w:pPr>
        <w:spacing w:after="0" w:line="11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b w:val="1"/>
          <w:bCs w:val="1"/>
          <w:i w:val="1"/>
          <w:iCs w:val="1"/>
          <w:color w:val="auto"/>
        </w:rPr>
        <w:t>Please provide the following information (if applicable) regarding Borrower’s most-recent equity and/or convertible note financing each time this Certificate is delivered to Lender</w:t>
      </w:r>
    </w:p>
    <w:p>
      <w:pPr>
        <w:spacing w:after="0" w:line="6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Date of Last Round Raised: ________________</w:t>
            </w:r>
          </w:p>
        </w:tc>
        <w:tc>
          <w:tcPr>
            <w:tcW w:w="2840" w:type="dxa"/>
            <w:vAlign w:val="bottom"/>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Has there been any new financing since the last Compliance Certificate submitted?</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attach a copy of the Capitalization Table</w:t>
            </w:r>
          </w:p>
        </w:tc>
        <w:tc>
          <w:tcPr>
            <w:tcW w:w="2840" w:type="dxa"/>
            <w:vAlign w:val="bottom"/>
          </w:tcPr>
          <w:p>
            <w:pPr>
              <w:spacing w:after="0"/>
              <w:rPr>
                <w:sz w:val="20"/>
                <w:szCs w:val="20"/>
                <w:color w:val="auto"/>
              </w:rPr>
            </w:pPr>
          </w:p>
        </w:tc>
      </w:tr>
      <w:tr>
        <w:trPr>
          <w:trHeight w:val="431"/>
        </w:trPr>
        <w:tc>
          <w:tcPr>
            <w:tcW w:w="8180" w:type="dxa"/>
            <w:vAlign w:val="bottom"/>
          </w:tcPr>
          <w:p>
            <w:pPr>
              <w:spacing w:after="0"/>
              <w:rPr>
                <w:sz w:val="20"/>
                <w:szCs w:val="20"/>
                <w:color w:val="auto"/>
              </w:rPr>
            </w:pPr>
            <w:r>
              <w:rPr>
                <w:rFonts w:ascii="Arial" w:cs="Arial" w:eastAsia="Arial" w:hAnsi="Arial"/>
                <w:sz w:val="18"/>
                <w:szCs w:val="18"/>
                <w:color w:val="auto"/>
              </w:rPr>
              <w:t>Date Closed: ____________ Series: ________ Per Share Price: $ _______________</w:t>
            </w:r>
          </w:p>
        </w:tc>
        <w:tc>
          <w:tcPr>
            <w:tcW w:w="2840" w:type="dxa"/>
            <w:vAlign w:val="bottom"/>
          </w:tcPr>
          <w:p>
            <w:pPr>
              <w:spacing w:after="0"/>
              <w:rPr>
                <w:sz w:val="24"/>
                <w:szCs w:val="24"/>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Amount Raised: _______________ Post Money Valuation: ________________</w:t>
            </w:r>
          </w:p>
        </w:tc>
        <w:tc>
          <w:tcPr>
            <w:tcW w:w="2840" w:type="dxa"/>
            <w:vAlign w:val="bottom"/>
          </w:tcPr>
          <w:p>
            <w:pPr>
              <w:spacing w:after="0"/>
              <w:rPr>
                <w:sz w:val="20"/>
                <w:szCs w:val="20"/>
                <w:color w:val="auto"/>
              </w:rPr>
            </w:pPr>
          </w:p>
        </w:tc>
      </w:tr>
      <w:tr>
        <w:trPr>
          <w:trHeight w:val="553"/>
        </w:trPr>
        <w:tc>
          <w:tcPr>
            <w:tcW w:w="8180" w:type="dxa"/>
            <w:vAlign w:val="bottom"/>
          </w:tcPr>
          <w:p>
            <w:pPr>
              <w:spacing w:after="0"/>
              <w:rPr>
                <w:sz w:val="20"/>
                <w:szCs w:val="20"/>
                <w:color w:val="auto"/>
              </w:rPr>
            </w:pPr>
            <w:r>
              <w:rPr>
                <w:rFonts w:ascii="Arial" w:cs="Arial" w:eastAsia="Arial" w:hAnsi="Arial"/>
                <w:sz w:val="18"/>
                <w:szCs w:val="18"/>
                <w:color w:val="auto"/>
              </w:rPr>
              <w:t>Any stock splits since date of last report?</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provide any information on stock splits which would affect valuation:</w:t>
            </w:r>
          </w:p>
        </w:tc>
        <w:tc>
          <w:tcPr>
            <w:tcW w:w="2840" w:type="dxa"/>
            <w:vAlign w:val="bottom"/>
          </w:tcPr>
          <w:p>
            <w:pPr>
              <w:spacing w:after="0"/>
              <w:rPr>
                <w:sz w:val="20"/>
                <w:szCs w:val="20"/>
                <w:color w:val="auto"/>
              </w:rPr>
            </w:pPr>
          </w:p>
        </w:tc>
      </w:tr>
      <w:tr>
        <w:trPr>
          <w:trHeight w:val="270"/>
        </w:trPr>
        <w:tc>
          <w:tcPr>
            <w:tcW w:w="8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r>
      <w:tr>
        <w:trPr>
          <w:trHeight w:val="587"/>
        </w:trPr>
        <w:tc>
          <w:tcPr>
            <w:tcW w:w="8180" w:type="dxa"/>
            <w:vAlign w:val="bottom"/>
          </w:tcPr>
          <w:p>
            <w:pPr>
              <w:spacing w:after="0"/>
              <w:rPr>
                <w:sz w:val="20"/>
                <w:szCs w:val="20"/>
                <w:color w:val="auto"/>
              </w:rPr>
            </w:pPr>
            <w:r>
              <w:rPr>
                <w:rFonts w:ascii="Arial" w:cs="Arial" w:eastAsia="Arial" w:hAnsi="Arial"/>
                <w:sz w:val="18"/>
                <w:szCs w:val="18"/>
                <w:color w:val="auto"/>
              </w:rPr>
              <w:t>Any dividends since date of last report?</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provide any information on dividends which would affect valuation:</w:t>
            </w:r>
          </w:p>
        </w:tc>
        <w:tc>
          <w:tcPr>
            <w:tcW w:w="2840" w:type="dxa"/>
            <w:vAlign w:val="bottom"/>
          </w:tcPr>
          <w:p>
            <w:pPr>
              <w:spacing w:after="0"/>
              <w:rPr>
                <w:sz w:val="20"/>
                <w:szCs w:val="20"/>
                <w:color w:val="auto"/>
              </w:rPr>
            </w:pPr>
          </w:p>
        </w:tc>
      </w:tr>
      <w:tr>
        <w:trPr>
          <w:trHeight w:val="270"/>
        </w:trPr>
        <w:tc>
          <w:tcPr>
            <w:tcW w:w="8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r>
      <w:tr>
        <w:trPr>
          <w:trHeight w:val="573"/>
        </w:trPr>
        <w:tc>
          <w:tcPr>
            <w:tcW w:w="8180" w:type="dxa"/>
            <w:vAlign w:val="bottom"/>
          </w:tcPr>
          <w:p>
            <w:pPr>
              <w:spacing w:after="0"/>
              <w:rPr>
                <w:sz w:val="20"/>
                <w:szCs w:val="20"/>
                <w:color w:val="auto"/>
              </w:rPr>
            </w:pPr>
            <w:r>
              <w:rPr>
                <w:rFonts w:ascii="Arial" w:cs="Arial" w:eastAsia="Arial" w:hAnsi="Arial"/>
                <w:sz w:val="18"/>
                <w:szCs w:val="18"/>
                <w:color w:val="auto"/>
              </w:rPr>
              <w:t>Any unusual terms? (i.e., Anti-dilution, multiple preference, etc.)</w:t>
            </w:r>
          </w:p>
        </w:tc>
        <w:tc>
          <w:tcPr>
            <w:tcW w:w="2840" w:type="dxa"/>
            <w:vAlign w:val="bottom"/>
          </w:tcPr>
          <w:p>
            <w:pPr>
              <w:ind w:left="2100"/>
              <w:spacing w:after="0"/>
              <w:rPr>
                <w:sz w:val="20"/>
                <w:szCs w:val="20"/>
                <w:color w:val="auto"/>
              </w:rPr>
            </w:pPr>
            <w:r>
              <w:rPr>
                <w:rFonts w:ascii="Arial" w:cs="Arial" w:eastAsia="Arial" w:hAnsi="Arial"/>
                <w:sz w:val="18"/>
                <w:szCs w:val="18"/>
                <w:color w:val="auto"/>
                <w:w w:val="92"/>
              </w:rPr>
              <w:t>YES / NO</w:t>
            </w:r>
          </w:p>
        </w:tc>
      </w:tr>
      <w:tr>
        <w:trPr>
          <w:trHeight w:val="230"/>
        </w:trPr>
        <w:tc>
          <w:tcPr>
            <w:tcW w:w="8180" w:type="dxa"/>
            <w:vAlign w:val="bottom"/>
          </w:tcPr>
          <w:p>
            <w:pPr>
              <w:spacing w:after="0"/>
              <w:rPr>
                <w:sz w:val="20"/>
                <w:szCs w:val="20"/>
                <w:color w:val="auto"/>
              </w:rPr>
            </w:pPr>
            <w:r>
              <w:rPr>
                <w:rFonts w:ascii="Arial" w:cs="Arial" w:eastAsia="Arial" w:hAnsi="Arial"/>
                <w:sz w:val="18"/>
                <w:szCs w:val="18"/>
                <w:i w:val="1"/>
                <w:iCs w:val="1"/>
                <w:color w:val="auto"/>
              </w:rPr>
              <w:t>If yes, please explain:</w:t>
            </w:r>
          </w:p>
        </w:tc>
        <w:tc>
          <w:tcPr>
            <w:tcW w:w="2840" w:type="dxa"/>
            <w:vAlign w:val="bottom"/>
          </w:tcPr>
          <w:p>
            <w:pPr>
              <w:spacing w:after="0"/>
              <w:rPr>
                <w:sz w:val="20"/>
                <w:szCs w:val="20"/>
                <w:color w:val="auto"/>
              </w:rPr>
            </w:pPr>
          </w:p>
        </w:tc>
      </w:tr>
      <w:tr>
        <w:trPr>
          <w:trHeight w:val="270"/>
        </w:trPr>
        <w:tc>
          <w:tcPr>
            <w:tcW w:w="8180" w:type="dxa"/>
            <w:vAlign w:val="bottom"/>
            <w:tcBorders>
              <w:bottom w:val="single" w:sz="8" w:color="auto"/>
            </w:tcBorders>
          </w:tcPr>
          <w:p>
            <w:pPr>
              <w:spacing w:after="0"/>
              <w:rPr>
                <w:sz w:val="23"/>
                <w:szCs w:val="23"/>
                <w:color w:val="auto"/>
              </w:rPr>
            </w:pPr>
          </w:p>
        </w:tc>
        <w:tc>
          <w:tcPr>
            <w:tcW w:w="2840" w:type="dxa"/>
            <w:vAlign w:val="bottom"/>
            <w:tcBorders>
              <w:bottom w:val="single" w:sz="8" w:color="auto"/>
            </w:tcBorders>
          </w:tcPr>
          <w:p>
            <w:pPr>
              <w:spacing w:after="0"/>
              <w:rPr>
                <w:sz w:val="23"/>
                <w:szCs w:val="23"/>
                <w:color w:val="auto"/>
              </w:rPr>
            </w:pP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ACCOUNT CONTROL AGREEMENTS</w:t>
      </w:r>
    </w:p>
    <w:p>
      <w:pPr>
        <w:spacing w:after="0" w:line="225"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 xml:space="preserve">Pursuant to Section 6.11 of the Loan Agreement, Borrower represents and warrants that: (i) as of the date hereof, it maintains only those deposit and investment accounts set forth below; and (ii) to the extent required by Section 6.11 of the Loan Agreement, a control agreement has been executed and delivered to Lender with respect to each such account </w:t>
      </w:r>
      <w:r>
        <w:rPr>
          <w:rFonts w:ascii="Arial" w:cs="Arial" w:eastAsia="Arial" w:hAnsi="Arial"/>
          <w:sz w:val="18"/>
          <w:szCs w:val="18"/>
          <w:b w:val="1"/>
          <w:bCs w:val="1"/>
          <w:i w:val="1"/>
          <w:iCs w:val="1"/>
          <w:color w:val="auto"/>
        </w:rPr>
        <w:t>[Note: If Borrower has established any new account(s) since the date of the last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 please so indic</w:t>
      </w:r>
      <w:r>
        <w:rPr>
          <w:rFonts w:ascii="Arial" w:cs="Arial" w:eastAsia="Arial" w:hAnsi="Arial"/>
          <w:sz w:val="18"/>
          <w:szCs w:val="18"/>
          <w:color w:val="auto"/>
        </w:rPr>
        <w:t>ate].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Deposit Accounts</w:t>
      </w:r>
      <w:r>
        <w:rPr>
          <w:rFonts w:ascii="Arial" w:cs="Arial" w:eastAsia="Arial" w:hAnsi="Arial"/>
          <w:sz w:val="15"/>
          <w:szCs w:val="15"/>
          <w:color w:val="auto"/>
        </w:rPr>
        <w:t>1</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w w:val="94"/>
              </w:rPr>
              <w:t>Control Agt.</w:t>
            </w: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New</w:t>
            </w:r>
          </w:p>
        </w:tc>
      </w:tr>
      <w:tr>
        <w:trPr>
          <w:trHeight w:val="230"/>
        </w:trPr>
        <w:tc>
          <w:tcPr>
            <w:tcW w:w="3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Name of Institution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 Number</w:t>
            </w: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place?</w:t>
            </w:r>
          </w:p>
        </w:tc>
        <w:tc>
          <w:tcPr>
            <w:tcW w:w="4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Complies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w:t>
            </w:r>
          </w:p>
        </w:tc>
        <w:tc>
          <w:tcPr>
            <w:tcW w:w="120" w:type="dxa"/>
            <w:vAlign w:val="bottom"/>
          </w:tcPr>
          <w:p>
            <w:pPr>
              <w:spacing w:after="0"/>
              <w:rPr>
                <w:sz w:val="20"/>
                <w:szCs w:val="20"/>
                <w:color w:val="auto"/>
              </w:rPr>
            </w:pPr>
          </w:p>
        </w:tc>
      </w:tr>
      <w:tr>
        <w:trPr>
          <w:trHeight w:val="318"/>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1.)</w:t>
            </w:r>
          </w:p>
        </w:tc>
        <w:tc>
          <w:tcPr>
            <w:tcW w:w="1420" w:type="dxa"/>
            <w:vAlign w:val="bottom"/>
          </w:tcPr>
          <w:p>
            <w:pPr>
              <w:spacing w:after="0"/>
              <w:rPr>
                <w:sz w:val="20"/>
                <w:szCs w:val="20"/>
                <w:color w:val="auto"/>
              </w:rPr>
            </w:pPr>
            <w:r>
              <w:rPr>
                <w:rFonts w:ascii="Arial" w:cs="Arial" w:eastAsia="Arial" w:hAnsi="Arial"/>
                <w:sz w:val="18"/>
                <w:szCs w:val="18"/>
                <w:color w:val="auto"/>
              </w:rPr>
              <w:t>[_______]</w:t>
            </w:r>
          </w:p>
        </w:tc>
        <w:tc>
          <w:tcPr>
            <w:tcW w:w="3380" w:type="dxa"/>
            <w:vAlign w:val="bottom"/>
            <w:gridSpan w:val="3"/>
          </w:tcPr>
          <w:p>
            <w:pPr>
              <w:ind w:left="2120"/>
              <w:spacing w:after="0"/>
              <w:rPr>
                <w:sz w:val="20"/>
                <w:szCs w:val="20"/>
                <w:color w:val="auto"/>
              </w:rPr>
            </w:pPr>
            <w:r>
              <w:rPr>
                <w:rFonts w:ascii="Arial" w:cs="Arial" w:eastAsia="Arial" w:hAnsi="Arial"/>
                <w:sz w:val="18"/>
                <w:szCs w:val="18"/>
                <w:color w:val="auto"/>
              </w:rPr>
              <w:t>[_______]</w:t>
            </w:r>
          </w:p>
        </w:tc>
        <w:tc>
          <w:tcPr>
            <w:tcW w:w="1580" w:type="dxa"/>
            <w:vAlign w:val="bottom"/>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283"/>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2.)</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5"/>
          <w:szCs w:val="15"/>
          <w:color w:val="auto"/>
        </w:rPr>
      </w:pPr>
      <w:r>
        <w:rPr>
          <w:rFonts w:ascii="Arial" w:cs="Arial" w:eastAsia="Arial" w:hAnsi="Arial"/>
          <w:sz w:val="18"/>
          <w:szCs w:val="18"/>
          <w:color w:val="auto"/>
        </w:rPr>
        <w:t>Company: Please complete with existing accounts.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382" w:right="439" w:bottom="1440" w:gutter="0" w:footer="0" w:header="0"/>
          <w:type w:val="continuous"/>
        </w:sectPr>
      </w:pPr>
    </w:p>
    <w:bookmarkStart w:id="395" w:name="page396"/>
    <w:bookmarkEnd w:id="395"/>
    <w:tbl>
      <w:tblPr>
        <w:tblLayout w:type="fixed"/>
        <w:tblInd w:w="4" w:type="dxa"/>
        <w:tblCellMar>
          <w:top w:w="0" w:type="dxa"/>
          <w:left w:w="0" w:type="dxa"/>
          <w:bottom w:w="0" w:type="dxa"/>
          <w:right w:w="0" w:type="dxa"/>
        </w:tblCellMar>
      </w:tblP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Investment Accounts</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w w:val="94"/>
              </w:rPr>
              <w:t>Control Agt.</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New</w:t>
            </w:r>
          </w:p>
        </w:tc>
      </w:tr>
      <w:tr>
        <w:trPr>
          <w:trHeight w:val="230"/>
        </w:trPr>
        <w:tc>
          <w:tcPr>
            <w:tcW w:w="340" w:type="dxa"/>
            <w:vAlign w:val="bottom"/>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Name of Institution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 Number</w:t>
            </w:r>
          </w:p>
        </w:tc>
        <w:tc>
          <w:tcPr>
            <w:tcW w:w="1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place?</w:t>
            </w:r>
          </w:p>
        </w:tc>
        <w:tc>
          <w:tcPr>
            <w:tcW w:w="4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Complies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Account</w:t>
            </w:r>
          </w:p>
        </w:tc>
        <w:tc>
          <w:tcPr>
            <w:tcW w:w="120" w:type="dxa"/>
            <w:vAlign w:val="bottom"/>
          </w:tcPr>
          <w:p>
            <w:pPr>
              <w:spacing w:after="0"/>
              <w:rPr>
                <w:sz w:val="20"/>
                <w:szCs w:val="20"/>
                <w:color w:val="auto"/>
              </w:rPr>
            </w:pPr>
          </w:p>
        </w:tc>
      </w:tr>
      <w:tr>
        <w:trPr>
          <w:trHeight w:val="277"/>
        </w:trPr>
        <w:tc>
          <w:tcPr>
            <w:tcW w:w="1760" w:type="dxa"/>
            <w:vAlign w:val="bottom"/>
            <w:gridSpan w:val="2"/>
          </w:tcPr>
          <w:p>
            <w:pPr>
              <w:spacing w:after="0"/>
              <w:rPr>
                <w:sz w:val="20"/>
                <w:szCs w:val="20"/>
                <w:color w:val="auto"/>
              </w:rPr>
            </w:pPr>
            <w:r>
              <w:rPr>
                <w:rFonts w:ascii="Arial" w:cs="Arial" w:eastAsia="Arial" w:hAnsi="Arial"/>
                <w:sz w:val="18"/>
                <w:szCs w:val="18"/>
                <w:color w:val="auto"/>
              </w:rPr>
              <w:t>1.)  None</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1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auto"/>
              </w:rPr>
              <w:t>YES / NO</w:t>
            </w:r>
          </w:p>
        </w:tc>
        <w:tc>
          <w:tcPr>
            <w:tcW w:w="4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YES / NO</w:t>
            </w: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w w:val="92"/>
              </w:rPr>
              <w:t>YES / NO</w:t>
            </w: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u w:val="single" w:color="auto"/>
          <w:color w:val="auto"/>
        </w:rPr>
        <w:t>AGREEMENTS WITH PERSONS IN POSSESSION OF TANGIBLE COLLATERAL</w:t>
      </w:r>
    </w:p>
    <w:p>
      <w:pPr>
        <w:spacing w:after="0" w:line="11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Pursuant to Section 5.9(e) of the Loan Agreement, Borrower represents and warrants that: (i) as of the date hereof, tangible Collateral is located at the addresses set forth below; and (ii) to the extent required by Section 5.9(e) of the Loan Agreement, a Waiver has been executed and delivered to Lender, or such Waiver has been waived by Lender, </w:t>
      </w:r>
      <w:r>
        <w:rPr>
          <w:rFonts w:ascii="Arial" w:cs="Arial" w:eastAsia="Arial" w:hAnsi="Arial"/>
          <w:sz w:val="18"/>
          <w:szCs w:val="18"/>
          <w:b w:val="1"/>
          <w:bCs w:val="1"/>
          <w:i w:val="1"/>
          <w:iCs w:val="1"/>
          <w:color w:val="auto"/>
        </w:rPr>
        <w:t>[Note: If Borrower has located Collateral at any new location since the date of the last compliance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 please so indicate].</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0"/>
              </w:rPr>
              <w:t>Value of Collateral at such</w:t>
            </w:r>
          </w:p>
        </w:tc>
        <w:tc>
          <w:tcPr>
            <w:tcW w:w="920" w:type="dxa"/>
            <w:vAlign w:val="bottom"/>
          </w:tcPr>
          <w:p>
            <w:pPr>
              <w:spacing w:after="0"/>
              <w:rPr>
                <w:sz w:val="18"/>
                <w:szCs w:val="18"/>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Waiver In</w:t>
            </w:r>
          </w:p>
        </w:tc>
        <w:tc>
          <w:tcPr>
            <w:tcW w:w="780" w:type="dxa"/>
            <w:vAlign w:val="bottom"/>
          </w:tcPr>
          <w:p>
            <w:pPr>
              <w:spacing w:after="0"/>
              <w:rPr>
                <w:sz w:val="18"/>
                <w:szCs w:val="18"/>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New</w:t>
            </w:r>
          </w:p>
        </w:tc>
      </w:tr>
      <w:tr>
        <w:trPr>
          <w:trHeight w:val="230"/>
        </w:trPr>
        <w:tc>
          <w:tcPr>
            <w:tcW w:w="3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Location of Collateral</w:t>
            </w:r>
          </w:p>
        </w:tc>
        <w:tc>
          <w:tcPr>
            <w:tcW w:w="1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Locations</w:t>
            </w: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place?</w:t>
            </w:r>
          </w:p>
        </w:tc>
        <w:tc>
          <w:tcPr>
            <w:tcW w:w="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Complies?</w:t>
            </w:r>
          </w:p>
        </w:tc>
        <w:tc>
          <w:tcPr>
            <w:tcW w:w="5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Location?</w:t>
            </w:r>
          </w:p>
        </w:tc>
      </w:tr>
      <w:tr>
        <w:trPr>
          <w:trHeight w:val="277"/>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1.)</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2.)</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3.)</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r>
        <w:trPr>
          <w:trHeight w:val="304"/>
        </w:trPr>
        <w:tc>
          <w:tcPr>
            <w:tcW w:w="340" w:type="dxa"/>
            <w:vAlign w:val="bottom"/>
          </w:tcPr>
          <w:p>
            <w:pPr>
              <w:jc w:val="right"/>
              <w:ind w:right="50"/>
              <w:spacing w:after="0"/>
              <w:rPr>
                <w:sz w:val="20"/>
                <w:szCs w:val="20"/>
                <w:color w:val="auto"/>
              </w:rPr>
            </w:pPr>
            <w:r>
              <w:rPr>
                <w:rFonts w:ascii="Arial" w:cs="Arial" w:eastAsia="Arial" w:hAnsi="Arial"/>
                <w:sz w:val="18"/>
                <w:szCs w:val="18"/>
                <w:color w:val="auto"/>
                <w:w w:val="85"/>
              </w:rPr>
              <w:t>4.)</w:t>
            </w:r>
          </w:p>
        </w:tc>
        <w:tc>
          <w:tcPr>
            <w:tcW w:w="1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0" w:type="dxa"/>
            <w:vAlign w:val="bottom"/>
            <w:gridSpan w:val="3"/>
          </w:tcPr>
          <w:p>
            <w:pPr>
              <w:ind w:left="680"/>
              <w:spacing w:after="0"/>
              <w:rPr>
                <w:sz w:val="20"/>
                <w:szCs w:val="20"/>
                <w:color w:val="auto"/>
              </w:rPr>
            </w:pPr>
            <w:r>
              <w:rPr>
                <w:rFonts w:ascii="Arial" w:cs="Arial" w:eastAsia="Arial" w:hAnsi="Arial"/>
                <w:sz w:val="18"/>
                <w:szCs w:val="18"/>
                <w:color w:val="auto"/>
              </w:rPr>
              <w:t>YES / NO</w:t>
            </w: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w w:val="92"/>
              </w:rPr>
              <w:t>YES / NO</w:t>
            </w:r>
          </w:p>
        </w:tc>
      </w:tr>
    </w:tbl>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SUBSIDIARIES AND OTHER PERSONS</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Pursuant to Section 6.14(a) of the Loan Agreement, Borrower represents and warrants that: (i) as of the date hereof, it has directly or indirectly acquired or created, or it intends to directly or indirectly acquire or create, each Subsidiary or other Person described below; and (ii) such Subsidiary or Person has been made a co-borrower under the Loan Agreement or a guarantor of the Obligations </w:t>
      </w:r>
      <w:r>
        <w:rPr>
          <w:rFonts w:ascii="Arial" w:cs="Arial" w:eastAsia="Arial" w:hAnsi="Arial"/>
          <w:sz w:val="18"/>
          <w:szCs w:val="18"/>
          <w:b w:val="1"/>
          <w:bCs w:val="1"/>
          <w:i w:val="1"/>
          <w:iCs w:val="1"/>
          <w:color w:val="auto"/>
        </w:rPr>
        <w:t>[Note: If Borrower has acquired or created any Subsidiary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since the date of the last compliance certificate, please so indicate].</w:t>
      </w: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New</w:t>
            </w:r>
          </w:p>
        </w:tc>
      </w:tr>
      <w:tr>
        <w:trPr>
          <w:trHeight w:val="216"/>
        </w:trPr>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Jurisdiction of</w:t>
            </w:r>
          </w:p>
        </w:tc>
        <w:tc>
          <w:tcPr>
            <w:tcW w:w="840" w:type="dxa"/>
            <w:vAlign w:val="bottom"/>
          </w:tcPr>
          <w:p>
            <w:pPr>
              <w:spacing w:after="0"/>
              <w:rPr>
                <w:sz w:val="18"/>
                <w:szCs w:val="18"/>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95"/>
              </w:rPr>
              <w:t>Co-borrower</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w w:val="95"/>
              </w:rPr>
              <w:t>Subsidiary</w:t>
            </w:r>
          </w:p>
        </w:tc>
      </w:tr>
      <w:tr>
        <w:trPr>
          <w:trHeight w:val="230"/>
        </w:trPr>
        <w:tc>
          <w:tcPr>
            <w:tcW w:w="34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2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2"/>
              </w:rPr>
              <w:t>formation or organization:</w:t>
            </w:r>
            <w:r>
              <w:rPr>
                <w:rFonts w:ascii="Arial" w:cs="Arial" w:eastAsia="Arial" w:hAnsi="Arial"/>
                <w:sz w:val="15"/>
                <w:szCs w:val="15"/>
                <w:color w:val="auto"/>
                <w:w w:val="92"/>
              </w:rPr>
              <w:t>2</w:t>
            </w:r>
          </w:p>
        </w:tc>
        <w:tc>
          <w:tcPr>
            <w:tcW w:w="840" w:type="dxa"/>
            <w:vAlign w:val="bottom"/>
          </w:tcPr>
          <w:p>
            <w:pPr>
              <w:spacing w:after="0"/>
              <w:rPr>
                <w:sz w:val="20"/>
                <w:szCs w:val="20"/>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w w:val="88"/>
              </w:rPr>
              <w:t>or guarantor?</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89"/>
              </w:rPr>
              <w:t>Complies?</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w w:val="90"/>
              </w:rPr>
              <w:t>or Person?</w:t>
            </w:r>
          </w:p>
        </w:tc>
      </w:tr>
      <w:tr>
        <w:trPr>
          <w:trHeight w:val="20"/>
        </w:trPr>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77"/>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1)</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r>
        <w:trPr>
          <w:trHeight w:val="30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2)</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r>
        <w:trPr>
          <w:trHeight w:val="30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3)</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r>
        <w:trPr>
          <w:trHeight w:val="30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4)</w:t>
            </w: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ind w:left="700"/>
              <w:spacing w:after="0"/>
              <w:rPr>
                <w:sz w:val="20"/>
                <w:szCs w:val="20"/>
                <w:color w:val="auto"/>
              </w:rPr>
            </w:pPr>
            <w:r>
              <w:rPr>
                <w:rFonts w:ascii="Arial" w:cs="Arial" w:eastAsia="Arial" w:hAnsi="Arial"/>
                <w:sz w:val="18"/>
                <w:szCs w:val="18"/>
                <w:color w:val="auto"/>
              </w:rPr>
              <w:t>YES / NO</w:t>
            </w:r>
          </w:p>
        </w:tc>
        <w:tc>
          <w:tcPr>
            <w:tcW w:w="44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w w:val="97"/>
              </w:rPr>
              <w:t>YES / NO</w:t>
            </w: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YES /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7152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3" w:lineRule="exact"/>
        <w:rPr>
          <w:sz w:val="20"/>
          <w:szCs w:val="20"/>
          <w:color w:val="auto"/>
        </w:rPr>
      </w:pPr>
    </w:p>
    <w:p>
      <w:pPr>
        <w:ind w:left="424" w:right="520" w:hanging="424"/>
        <w:spacing w:after="0" w:line="342" w:lineRule="auto"/>
        <w:tabs>
          <w:tab w:leader="none" w:pos="424" w:val="left"/>
        </w:tabs>
        <w:numPr>
          <w:ilvl w:val="0"/>
          <w:numId w:val="297"/>
        </w:numPr>
        <w:rPr>
          <w:rFonts w:ascii="Arial" w:cs="Arial" w:eastAsia="Arial" w:hAnsi="Arial"/>
          <w:sz w:val="13"/>
          <w:szCs w:val="13"/>
          <w:color w:val="auto"/>
        </w:rPr>
      </w:pPr>
      <w:r>
        <w:rPr>
          <w:rFonts w:ascii="Arial" w:cs="Arial" w:eastAsia="Arial" w:hAnsi="Arial"/>
          <w:sz w:val="16"/>
          <w:szCs w:val="16"/>
          <w:color w:val="auto"/>
        </w:rPr>
        <w:t>Under the “Explanations” heading (see below) please include a description of such Subsidiary’s or Person’s fully diluted capitalization and Borrower’s purpose for its acquisition or creation of such Subsidiary if such information has not been previously furnished to Lender.</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4"/>
          </w:cols>
          <w:pgMar w:left="436" w:top="274" w:right="51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99516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760730</wp:posOffset>
            </wp:positionV>
            <wp:extent cx="69951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957580</wp:posOffset>
            </wp:positionV>
            <wp:extent cx="6995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Remainder of this page intentionally left blank; signature page follows</w:t>
      </w:r>
      <w:r>
        <w:rPr>
          <w:rFonts w:ascii="Arial" w:cs="Arial" w:eastAsia="Arial" w:hAnsi="Arial"/>
          <w:sz w:val="16"/>
          <w:szCs w:val="16"/>
          <w:color w:val="auto"/>
        </w:rPr>
        <w:t>]</w:t>
      </w:r>
    </w:p>
    <w:p>
      <w:pPr>
        <w:spacing w:after="0" w:line="18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274" w:right="1440" w:bottom="1440" w:gutter="0" w:footer="0" w:header="0"/>
        </w:sectPr>
      </w:pPr>
    </w:p>
    <w:bookmarkStart w:id="397" w:name="page398"/>
    <w:bookmarkEnd w:id="397"/>
    <w:p>
      <w:pPr>
        <w:ind w:left="39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Signature page to Compliance Certificate</w:t>
      </w:r>
      <w:r>
        <w:rPr>
          <w:rFonts w:ascii="Arial" w:cs="Arial" w:eastAsia="Arial" w:hAnsi="Arial"/>
          <w:sz w:val="18"/>
          <w:szCs w:val="18"/>
          <w:color w:val="auto"/>
        </w:rPr>
        <w:t>]</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7"/>
          <w:szCs w:val="17"/>
          <w:color w:val="auto"/>
        </w:rPr>
        <w:t>RANI THERAPEUTICS, LLC</w:t>
      </w:r>
    </w:p>
    <w:p>
      <w:pPr>
        <w:spacing w:after="0" w:line="250"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14605</wp:posOffset>
            </wp:positionV>
            <wp:extent cx="24599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22860</wp:posOffset>
            </wp:positionV>
            <wp:extent cx="24599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-121920</wp:posOffset>
            </wp:positionV>
            <wp:extent cx="24599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4" w:lineRule="exact"/>
        <w:rPr>
          <w:sz w:val="20"/>
          <w:szCs w:val="20"/>
          <w:color w:val="auto"/>
        </w:rPr>
      </w:pPr>
    </w:p>
    <w:p>
      <w:pPr>
        <w:ind w:left="424" w:hanging="424"/>
        <w:spacing w:after="0"/>
        <w:tabs>
          <w:tab w:leader="none" w:pos="424" w:val="left"/>
        </w:tabs>
        <w:numPr>
          <w:ilvl w:val="0"/>
          <w:numId w:val="298"/>
        </w:numPr>
        <w:rPr>
          <w:rFonts w:ascii="Arial" w:cs="Arial" w:eastAsia="Arial" w:hAnsi="Arial"/>
          <w:sz w:val="15"/>
          <w:szCs w:val="15"/>
          <w:color w:val="auto"/>
        </w:rPr>
      </w:pPr>
      <w:r>
        <w:rPr>
          <w:rFonts w:ascii="Arial" w:cs="Arial" w:eastAsia="Arial" w:hAnsi="Arial"/>
          <w:sz w:val="18"/>
          <w:szCs w:val="18"/>
          <w:color w:val="auto"/>
        </w:rPr>
        <w:t>Must be executed by Borrower’s Chief Financial Officer or other executive officer.</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68C1C"/>
    <w:multiLevelType w:val="hybridMultilevel"/>
    <w:lvl w:ilvl="0">
      <w:lvlJc w:val="left"/>
      <w:lvlText w:val="(%1)"/>
      <w:numFmt w:val="decimal"/>
      <w:start w:val="1"/>
    </w:lvl>
  </w:abstractNum>
  <w:abstractNum w:abstractNumId="1">
    <w:nsid w:val="46263DEC"/>
    <w:multiLevelType w:val="hybridMultilevel"/>
    <w:lvl w:ilvl="0">
      <w:lvlJc w:val="left"/>
      <w:lvlText w:val="(%1)"/>
      <w:numFmt w:val="decimal"/>
      <w:start w:val="1"/>
    </w:lvl>
  </w:abstractNum>
  <w:abstractNum w:abstractNumId="2">
    <w:nsid w:val="260D8C4A"/>
    <w:multiLevelType w:val="hybridMultilevel"/>
    <w:lvl w:ilvl="0">
      <w:lvlJc w:val="left"/>
      <w:lvlText w:val="•"/>
      <w:numFmt w:val="bullet"/>
      <w:start w:val="1"/>
    </w:lvl>
  </w:abstractNum>
  <w:abstractNum w:abstractNumId="3">
    <w:nsid w:val="73D4D3C4"/>
    <w:multiLevelType w:val="hybridMultilevel"/>
    <w:lvl w:ilvl="0">
      <w:lvlJc w:val="left"/>
      <w:lvlText w:val="•"/>
      <w:numFmt w:val="bullet"/>
      <w:start w:val="1"/>
    </w:lvl>
  </w:abstractNum>
  <w:abstractNum w:abstractNumId="4">
    <w:nsid w:val="746F2E30"/>
    <w:multiLevelType w:val="hybridMultilevel"/>
    <w:lvl w:ilvl="0">
      <w:lvlJc w:val="left"/>
      <w:lvlText w:val="•"/>
      <w:numFmt w:val="bullet"/>
      <w:start w:val="1"/>
    </w:lvl>
  </w:abstractNum>
  <w:abstractNum w:abstractNumId="5">
    <w:nsid w:val="6FDE8AF6"/>
    <w:multiLevelType w:val="hybridMultilevel"/>
    <w:lvl w:ilvl="0">
      <w:lvlJc w:val="left"/>
      <w:lvlText w:val="•"/>
      <w:numFmt w:val="bullet"/>
      <w:start w:val="1"/>
    </w:lvl>
  </w:abstractNum>
  <w:abstractNum w:abstractNumId="6">
    <w:nsid w:val="3FC32E20"/>
    <w:multiLevelType w:val="hybridMultilevel"/>
    <w:lvl w:ilvl="0">
      <w:lvlJc w:val="left"/>
      <w:lvlText w:val="•"/>
      <w:numFmt w:val="bullet"/>
      <w:start w:val="1"/>
    </w:lvl>
  </w:abstractNum>
  <w:abstractNum w:abstractNumId="7">
    <w:nsid w:val="49C0E823"/>
    <w:multiLevelType w:val="hybridMultilevel"/>
    <w:lvl w:ilvl="0">
      <w:lvlJc w:val="left"/>
      <w:lvlText w:val="•"/>
      <w:numFmt w:val="bullet"/>
      <w:start w:val="1"/>
    </w:lvl>
  </w:abstractNum>
  <w:abstractNum w:abstractNumId="8">
    <w:nsid w:val="14D53685"/>
    <w:multiLevelType w:val="hybridMultilevel"/>
    <w:lvl w:ilvl="0">
      <w:lvlJc w:val="left"/>
      <w:lvlText w:val="•"/>
      <w:numFmt w:val="bullet"/>
      <w:start w:val="1"/>
    </w:lvl>
  </w:abstractNum>
  <w:abstractNum w:abstractNumId="9">
    <w:nsid w:val="230F856C"/>
    <w:multiLevelType w:val="hybridMultilevel"/>
    <w:lvl w:ilvl="0">
      <w:lvlJc w:val="left"/>
      <w:lvlText w:val="•"/>
      <w:numFmt w:val="bullet"/>
      <w:start w:val="1"/>
    </w:lvl>
  </w:abstractNum>
  <w:abstractNum w:abstractNumId="10">
    <w:nsid w:val="6EAA85FB"/>
    <w:multiLevelType w:val="hybridMultilevel"/>
    <w:lvl w:ilvl="0">
      <w:lvlJc w:val="left"/>
      <w:lvlText w:val="•"/>
      <w:numFmt w:val="bullet"/>
      <w:start w:val="1"/>
    </w:lvl>
  </w:abstractNum>
  <w:abstractNum w:abstractNumId="11">
    <w:nsid w:val="3F06ECB2"/>
    <w:multiLevelType w:val="hybridMultilevel"/>
    <w:lvl w:ilvl="0">
      <w:lvlJc w:val="left"/>
      <w:lvlText w:val="•"/>
      <w:numFmt w:val="bullet"/>
      <w:start w:val="1"/>
    </w:lvl>
  </w:abstractNum>
  <w:abstractNum w:abstractNumId="12">
    <w:nsid w:val="3B594807"/>
    <w:multiLevelType w:val="hybridMultilevel"/>
    <w:lvl w:ilvl="0">
      <w:lvlJc w:val="left"/>
      <w:lvlText w:val="•"/>
      <w:numFmt w:val="bullet"/>
      <w:start w:val="1"/>
    </w:lvl>
  </w:abstractNum>
  <w:abstractNum w:abstractNumId="13">
    <w:nsid w:val="6CAA2304"/>
    <w:multiLevelType w:val="hybridMultilevel"/>
    <w:lvl w:ilvl="0">
      <w:lvlJc w:val="left"/>
      <w:lvlText w:val="•"/>
      <w:numFmt w:val="bullet"/>
      <w:start w:val="1"/>
    </w:lvl>
  </w:abstractNum>
  <w:abstractNum w:abstractNumId="14">
    <w:nsid w:val="3F7C2FF4"/>
    <w:multiLevelType w:val="hybridMultilevel"/>
    <w:lvl w:ilvl="0">
      <w:lvlJc w:val="left"/>
      <w:lvlText w:val="•"/>
      <w:numFmt w:val="bullet"/>
      <w:start w:val="1"/>
    </w:lvl>
  </w:abstractNum>
  <w:abstractNum w:abstractNumId="15">
    <w:nsid w:val="25413BEC"/>
    <w:multiLevelType w:val="hybridMultilevel"/>
    <w:lvl w:ilvl="0">
      <w:lvlJc w:val="left"/>
      <w:lvlText w:val="•"/>
      <w:numFmt w:val="bullet"/>
      <w:start w:val="1"/>
    </w:lvl>
  </w:abstractNum>
  <w:abstractNum w:abstractNumId="16">
    <w:nsid w:val="17180B0B"/>
    <w:multiLevelType w:val="hybridMultilevel"/>
    <w:lvl w:ilvl="0">
      <w:lvlJc w:val="left"/>
      <w:lvlText w:val="•"/>
      <w:numFmt w:val="bullet"/>
      <w:start w:val="1"/>
    </w:lvl>
  </w:abstractNum>
  <w:abstractNum w:abstractNumId="17">
    <w:nsid w:val="579328B9"/>
    <w:multiLevelType w:val="hybridMultilevel"/>
    <w:lvl w:ilvl="0">
      <w:lvlJc w:val="left"/>
      <w:lvlText w:val="®"/>
      <w:numFmt w:val="bullet"/>
      <w:start w:val="1"/>
    </w:lvl>
  </w:abstractNum>
  <w:abstractNum w:abstractNumId="18">
    <w:nsid w:val="5D205E20"/>
    <w:multiLevelType w:val="hybridMultilevel"/>
    <w:lvl w:ilvl="0">
      <w:lvlJc w:val="left"/>
      <w:lvlText w:val="•"/>
      <w:numFmt w:val="bullet"/>
      <w:start w:val="1"/>
    </w:lvl>
  </w:abstractNum>
  <w:abstractNum w:abstractNumId="19">
    <w:nsid w:val="11CCA8BA"/>
    <w:multiLevelType w:val="hybridMultilevel"/>
    <w:lvl w:ilvl="0">
      <w:lvlJc w:val="left"/>
      <w:lvlText w:val="•"/>
      <w:numFmt w:val="bullet"/>
      <w:start w:val="1"/>
    </w:lvl>
  </w:abstractNum>
  <w:abstractNum w:abstractNumId="20">
    <w:nsid w:val="4D32AB86"/>
    <w:multiLevelType w:val="hybridMultilevel"/>
    <w:lvl w:ilvl="0">
      <w:lvlJc w:val="left"/>
      <w:lvlText w:val="•"/>
      <w:numFmt w:val="bullet"/>
      <w:start w:val="1"/>
    </w:lvl>
  </w:abstractNum>
  <w:abstractNum w:abstractNumId="21">
    <w:nsid w:val="3F07ACC3"/>
    <w:multiLevelType w:val="hybridMultilevel"/>
    <w:lvl w:ilvl="0">
      <w:lvlJc w:val="left"/>
      <w:lvlText w:val="•"/>
      <w:numFmt w:val="bullet"/>
      <w:start w:val="1"/>
    </w:lvl>
  </w:abstractNum>
  <w:abstractNum w:abstractNumId="22">
    <w:nsid w:val="6B47F63E"/>
    <w:multiLevelType w:val="hybridMultilevel"/>
    <w:lvl w:ilvl="0">
      <w:lvlJc w:val="left"/>
      <w:lvlText w:val="•"/>
      <w:numFmt w:val="bullet"/>
      <w:start w:val="1"/>
    </w:lvl>
  </w:abstractNum>
  <w:abstractNum w:abstractNumId="23">
    <w:nsid w:val="5CB44A05"/>
    <w:multiLevelType w:val="hybridMultilevel"/>
    <w:lvl w:ilvl="0">
      <w:lvlJc w:val="left"/>
      <w:lvlText w:val="(%1)"/>
      <w:numFmt w:val="decimal"/>
      <w:start w:val="1"/>
    </w:lvl>
  </w:abstractNum>
  <w:abstractNum w:abstractNumId="24">
    <w:nsid w:val="16CF80F1"/>
    <w:multiLevelType w:val="hybridMultilevel"/>
    <w:lvl w:ilvl="0">
      <w:lvlJc w:val="left"/>
      <w:lvlText w:val="(%1)"/>
      <w:numFmt w:val="decimal"/>
      <w:start w:val="1"/>
    </w:lvl>
  </w:abstractNum>
  <w:abstractNum w:abstractNumId="25">
    <w:nsid w:val="1C695DEC"/>
    <w:multiLevelType w:val="hybridMultilevel"/>
    <w:lvl w:ilvl="0">
      <w:lvlJc w:val="left"/>
      <w:lvlText w:val="•"/>
      <w:numFmt w:val="bullet"/>
      <w:start w:val="1"/>
    </w:lvl>
  </w:abstractNum>
  <w:abstractNum w:abstractNumId="26">
    <w:nsid w:val="3FCFAED9"/>
    <w:multiLevelType w:val="hybridMultilevel"/>
    <w:lvl w:ilvl="0">
      <w:lvlJc w:val="left"/>
      <w:lvlText w:val="•"/>
      <w:numFmt w:val="bullet"/>
      <w:start w:val="1"/>
    </w:lvl>
  </w:abstractNum>
  <w:abstractNum w:abstractNumId="27">
    <w:nsid w:val="F856867"/>
    <w:multiLevelType w:val="hybridMultilevel"/>
    <w:lvl w:ilvl="0">
      <w:lvlJc w:val="left"/>
      <w:lvlText w:val="•"/>
      <w:numFmt w:val="bullet"/>
      <w:start w:val="1"/>
    </w:lvl>
  </w:abstractNum>
  <w:abstractNum w:abstractNumId="28">
    <w:nsid w:val="11B1CC33"/>
    <w:multiLevelType w:val="hybridMultilevel"/>
    <w:lvl w:ilvl="0">
      <w:lvlJc w:val="left"/>
      <w:lvlText w:val="•"/>
      <w:numFmt w:val="bullet"/>
      <w:start w:val="1"/>
    </w:lvl>
  </w:abstractNum>
  <w:abstractNum w:abstractNumId="29">
    <w:nsid w:val="2E22FBB7"/>
    <w:multiLevelType w:val="hybridMultilevel"/>
    <w:lvl w:ilvl="0">
      <w:lvlJc w:val="left"/>
      <w:lvlText w:val="•"/>
      <w:numFmt w:val="bullet"/>
      <w:start w:val="1"/>
    </w:lvl>
  </w:abstractNum>
  <w:abstractNum w:abstractNumId="30">
    <w:nsid w:val="29934699"/>
    <w:multiLevelType w:val="hybridMultilevel"/>
    <w:lvl w:ilvl="0">
      <w:lvlJc w:val="left"/>
      <w:lvlText w:val="•"/>
      <w:numFmt w:val="bullet"/>
      <w:start w:val="1"/>
    </w:lvl>
  </w:abstractNum>
  <w:abstractNum w:abstractNumId="31">
    <w:nsid w:val="77485850"/>
    <w:multiLevelType w:val="hybridMultilevel"/>
    <w:lvl w:ilvl="0">
      <w:lvlJc w:val="left"/>
      <w:lvlText w:val="•"/>
      <w:numFmt w:val="bullet"/>
      <w:start w:val="1"/>
    </w:lvl>
  </w:abstractNum>
  <w:abstractNum w:abstractNumId="32">
    <w:nsid w:val="744939A3"/>
    <w:multiLevelType w:val="hybridMultilevel"/>
    <w:lvl w:ilvl="0">
      <w:lvlJc w:val="left"/>
      <w:lvlText w:val="•"/>
      <w:numFmt w:val="bullet"/>
      <w:start w:val="1"/>
    </w:lvl>
  </w:abstractNum>
  <w:abstractNum w:abstractNumId="33">
    <w:nsid w:val="4FA0D2E3"/>
    <w:multiLevelType w:val="hybridMultilevel"/>
    <w:lvl w:ilvl="0">
      <w:lvlJc w:val="left"/>
      <w:lvlText w:val="•"/>
      <w:numFmt w:val="bullet"/>
      <w:start w:val="1"/>
    </w:lvl>
  </w:abstractNum>
  <w:abstractNum w:abstractNumId="34">
    <w:nsid w:val="6B1D2C14"/>
    <w:multiLevelType w:val="hybridMultilevel"/>
    <w:lvl w:ilvl="0">
      <w:lvlJc w:val="left"/>
      <w:lvlText w:val="•"/>
      <w:numFmt w:val="bullet"/>
      <w:start w:val="1"/>
    </w:lvl>
  </w:abstractNum>
  <w:abstractNum w:abstractNumId="35">
    <w:nsid w:val="68B867D3"/>
    <w:multiLevelType w:val="hybridMultilevel"/>
    <w:lvl w:ilvl="0">
      <w:lvlJc w:val="left"/>
      <w:lvlText w:val="•"/>
      <w:numFmt w:val="bullet"/>
      <w:start w:val="1"/>
    </w:lvl>
  </w:abstractNum>
  <w:abstractNum w:abstractNumId="36">
    <w:nsid w:val="3F7F5DD9"/>
    <w:multiLevelType w:val="hybridMultilevel"/>
    <w:lvl w:ilvl="0">
      <w:lvlJc w:val="left"/>
      <w:lvlText w:val="•"/>
      <w:numFmt w:val="bullet"/>
      <w:start w:val="1"/>
    </w:lvl>
  </w:abstractNum>
  <w:abstractNum w:abstractNumId="37">
    <w:nsid w:val="2AE05A34"/>
    <w:multiLevelType w:val="hybridMultilevel"/>
    <w:lvl w:ilvl="0">
      <w:lvlJc w:val="left"/>
      <w:lvlText w:val="•"/>
      <w:numFmt w:val="bullet"/>
      <w:start w:val="1"/>
    </w:lvl>
  </w:abstractNum>
  <w:abstractNum w:abstractNumId="38">
    <w:nsid w:val="32794FF7"/>
    <w:multiLevelType w:val="hybridMultilevel"/>
    <w:lvl w:ilvl="0">
      <w:lvlJc w:val="left"/>
      <w:lvlText w:val="•"/>
      <w:numFmt w:val="bullet"/>
      <w:start w:val="1"/>
    </w:lvl>
  </w:abstractNum>
  <w:abstractNum w:abstractNumId="39">
    <w:nsid w:val="5454945E"/>
    <w:multiLevelType w:val="hybridMultilevel"/>
    <w:lvl w:ilvl="0">
      <w:lvlJc w:val="left"/>
      <w:lvlText w:val="•"/>
      <w:numFmt w:val="bullet"/>
      <w:start w:val="1"/>
    </w:lvl>
  </w:abstractNum>
  <w:abstractNum w:abstractNumId="40">
    <w:nsid w:val="4DEFDFA0"/>
    <w:multiLevelType w:val="hybridMultilevel"/>
    <w:lvl w:ilvl="0">
      <w:lvlJc w:val="left"/>
      <w:lvlText w:val="•"/>
      <w:numFmt w:val="bullet"/>
      <w:start w:val="1"/>
    </w:lvl>
  </w:abstractNum>
  <w:abstractNum w:abstractNumId="41">
    <w:nsid w:val="2123D5F2"/>
    <w:multiLevelType w:val="hybridMultilevel"/>
    <w:lvl w:ilvl="0">
      <w:lvlJc w:val="left"/>
      <w:lvlText w:val="•"/>
      <w:numFmt w:val="bullet"/>
      <w:start w:val="1"/>
    </w:lvl>
  </w:abstractNum>
  <w:abstractNum w:abstractNumId="42">
    <w:nsid w:val="135B8110"/>
    <w:multiLevelType w:val="hybridMultilevel"/>
    <w:lvl w:ilvl="0">
      <w:lvlJc w:val="left"/>
      <w:lvlText w:val="•"/>
      <w:numFmt w:val="bullet"/>
      <w:start w:val="1"/>
    </w:lvl>
  </w:abstractNum>
  <w:abstractNum w:abstractNumId="43">
    <w:nsid w:val="94927A8"/>
    <w:multiLevelType w:val="hybridMultilevel"/>
    <w:lvl w:ilvl="0">
      <w:lvlJc w:val="left"/>
      <w:lvlText w:val="•"/>
      <w:numFmt w:val="bullet"/>
      <w:start w:val="1"/>
    </w:lvl>
  </w:abstractNum>
  <w:abstractNum w:abstractNumId="44">
    <w:nsid w:val="DCDF8F6"/>
    <w:multiLevelType w:val="hybridMultilevel"/>
    <w:lvl w:ilvl="0">
      <w:lvlJc w:val="left"/>
      <w:lvlText w:val="•"/>
      <w:numFmt w:val="bullet"/>
      <w:start w:val="1"/>
    </w:lvl>
  </w:abstractNum>
  <w:abstractNum w:abstractNumId="45">
    <w:nsid w:val="52D7B105"/>
    <w:multiLevelType w:val="hybridMultilevel"/>
    <w:lvl w:ilvl="0">
      <w:lvlJc w:val="left"/>
      <w:lvlText w:val="•"/>
      <w:numFmt w:val="bullet"/>
      <w:start w:val="1"/>
    </w:lvl>
  </w:abstractNum>
  <w:abstractNum w:abstractNumId="46">
    <w:nsid w:val="2E8A6394"/>
    <w:multiLevelType w:val="hybridMultilevel"/>
    <w:lvl w:ilvl="0">
      <w:lvlJc w:val="left"/>
      <w:lvlText w:val="•"/>
      <w:numFmt w:val="bullet"/>
      <w:start w:val="1"/>
    </w:lvl>
  </w:abstractNum>
  <w:abstractNum w:abstractNumId="47">
    <w:nsid w:val="24E60401"/>
    <w:multiLevelType w:val="hybridMultilevel"/>
    <w:lvl w:ilvl="0">
      <w:lvlJc w:val="left"/>
      <w:lvlText w:val="•"/>
      <w:numFmt w:val="bullet"/>
      <w:start w:val="1"/>
    </w:lvl>
  </w:abstractNum>
  <w:abstractNum w:abstractNumId="48">
    <w:nsid w:val="2A6AD9BE"/>
    <w:multiLevelType w:val="hybridMultilevel"/>
    <w:lvl w:ilvl="0">
      <w:lvlJc w:val="left"/>
      <w:lvlText w:val="•"/>
      <w:numFmt w:val="bullet"/>
      <w:start w:val="1"/>
    </w:lvl>
  </w:abstractNum>
  <w:abstractNum w:abstractNumId="49">
    <w:nsid w:val="BAAC1B4"/>
    <w:multiLevelType w:val="hybridMultilevel"/>
    <w:lvl w:ilvl="0">
      <w:lvlJc w:val="left"/>
      <w:lvlText w:val="•"/>
      <w:numFmt w:val="bullet"/>
      <w:start w:val="1"/>
    </w:lvl>
  </w:abstractNum>
  <w:abstractNum w:abstractNumId="50">
    <w:nsid w:val="36B2ACBC"/>
    <w:multiLevelType w:val="hybridMultilevel"/>
    <w:lvl w:ilvl="0">
      <w:lvlJc w:val="left"/>
      <w:lvlText w:val="•"/>
      <w:numFmt w:val="bullet"/>
      <w:start w:val="1"/>
    </w:lvl>
  </w:abstractNum>
  <w:abstractNum w:abstractNumId="51">
    <w:nsid w:val="779D8544"/>
    <w:multiLevelType w:val="hybridMultilevel"/>
    <w:lvl w:ilvl="0">
      <w:lvlJc w:val="left"/>
      <w:lvlText w:val="•"/>
      <w:numFmt w:val="bullet"/>
      <w:start w:val="1"/>
    </w:lvl>
  </w:abstractNum>
  <w:abstractNum w:abstractNumId="52">
    <w:nsid w:val="4AB26E78"/>
    <w:multiLevelType w:val="hybridMultilevel"/>
    <w:lvl w:ilvl="0">
      <w:lvlJc w:val="left"/>
      <w:lvlText w:val="•"/>
      <w:numFmt w:val="bullet"/>
      <w:start w:val="1"/>
    </w:lvl>
  </w:abstractNum>
  <w:abstractNum w:abstractNumId="53">
    <w:nsid w:val="21FAA2FA"/>
    <w:multiLevelType w:val="hybridMultilevel"/>
    <w:lvl w:ilvl="0">
      <w:lvlJc w:val="left"/>
      <w:lvlText w:val="•"/>
      <w:numFmt w:val="bullet"/>
      <w:start w:val="1"/>
    </w:lvl>
  </w:abstractNum>
  <w:abstractNum w:abstractNumId="54">
    <w:nsid w:val="5451CF49"/>
    <w:multiLevelType w:val="hybridMultilevel"/>
    <w:lvl w:ilvl="0">
      <w:lvlJc w:val="left"/>
      <w:lvlText w:val="•"/>
      <w:numFmt w:val="bullet"/>
      <w:start w:val="1"/>
    </w:lvl>
  </w:abstractNum>
  <w:abstractNum w:abstractNumId="55">
    <w:nsid w:val="6181EF69"/>
    <w:multiLevelType w:val="hybridMultilevel"/>
    <w:lvl w:ilvl="0">
      <w:lvlJc w:val="left"/>
      <w:lvlText w:val="•"/>
      <w:numFmt w:val="bullet"/>
      <w:start w:val="1"/>
    </w:lvl>
  </w:abstractNum>
  <w:abstractNum w:abstractNumId="56">
    <w:nsid w:val="3E6400E6"/>
    <w:multiLevelType w:val="hybridMultilevel"/>
    <w:lvl w:ilvl="0">
      <w:lvlJc w:val="left"/>
      <w:lvlText w:val="•"/>
      <w:numFmt w:val="bullet"/>
      <w:start w:val="1"/>
    </w:lvl>
  </w:abstractNum>
  <w:abstractNum w:abstractNumId="57">
    <w:nsid w:val="14217E23"/>
    <w:multiLevelType w:val="hybridMultilevel"/>
    <w:lvl w:ilvl="0">
      <w:lvlJc w:val="left"/>
      <w:lvlText w:val="•"/>
      <w:numFmt w:val="bullet"/>
      <w:start w:val="1"/>
    </w:lvl>
  </w:abstractNum>
  <w:abstractNum w:abstractNumId="58">
    <w:nsid w:val="710757D0"/>
    <w:multiLevelType w:val="hybridMultilevel"/>
    <w:lvl w:ilvl="0">
      <w:lvlJc w:val="left"/>
      <w:lvlText w:val="•"/>
      <w:numFmt w:val="bullet"/>
      <w:start w:val="1"/>
    </w:lvl>
  </w:abstractNum>
  <w:abstractNum w:abstractNumId="59">
    <w:nsid w:val="5015CD1A"/>
    <w:multiLevelType w:val="hybridMultilevel"/>
    <w:lvl w:ilvl="0">
      <w:lvlJc w:val="left"/>
      <w:lvlText w:val="•"/>
      <w:numFmt w:val="bullet"/>
      <w:start w:val="1"/>
    </w:lvl>
  </w:abstractNum>
  <w:abstractNum w:abstractNumId="60">
    <w:nsid w:val="424479DA"/>
    <w:multiLevelType w:val="hybridMultilevel"/>
    <w:lvl w:ilvl="0">
      <w:lvlJc w:val="left"/>
      <w:lvlText w:val="•"/>
      <w:numFmt w:val="bullet"/>
      <w:start w:val="1"/>
    </w:lvl>
  </w:abstractNum>
  <w:abstractNum w:abstractNumId="61">
    <w:nsid w:val="1A9A9E69"/>
    <w:multiLevelType w:val="hybridMultilevel"/>
    <w:lvl w:ilvl="0">
      <w:lvlJc w:val="left"/>
      <w:lvlText w:val="•"/>
      <w:numFmt w:val="bullet"/>
      <w:start w:val="1"/>
    </w:lvl>
  </w:abstractNum>
  <w:abstractNum w:abstractNumId="62">
    <w:nsid w:val="475E256A"/>
    <w:multiLevelType w:val="hybridMultilevel"/>
    <w:lvl w:ilvl="0">
      <w:lvlJc w:val="left"/>
      <w:lvlText w:val="•"/>
      <w:numFmt w:val="bullet"/>
      <w:start w:val="1"/>
    </w:lvl>
  </w:abstractNum>
  <w:abstractNum w:abstractNumId="63">
    <w:nsid w:val="368DB37E"/>
    <w:multiLevelType w:val="hybridMultilevel"/>
    <w:lvl w:ilvl="0">
      <w:lvlJc w:val="left"/>
      <w:lvlText w:val="•"/>
      <w:numFmt w:val="bullet"/>
      <w:start w:val="1"/>
    </w:lvl>
  </w:abstractNum>
  <w:abstractNum w:abstractNumId="64">
    <w:nsid w:val="6A3B714C"/>
    <w:multiLevelType w:val="hybridMultilevel"/>
    <w:lvl w:ilvl="0">
      <w:lvlJc w:val="left"/>
      <w:lvlText w:val="•"/>
      <w:numFmt w:val="bullet"/>
      <w:start w:val="1"/>
    </w:lvl>
  </w:abstractNum>
  <w:abstractNum w:abstractNumId="65">
    <w:nsid w:val="327B517E"/>
    <w:multiLevelType w:val="hybridMultilevel"/>
    <w:lvl w:ilvl="0">
      <w:lvlJc w:val="left"/>
      <w:lvlText w:val="•"/>
      <w:numFmt w:val="bullet"/>
      <w:start w:val="1"/>
    </w:lvl>
  </w:abstractNum>
  <w:abstractNum w:abstractNumId="66">
    <w:nsid w:val="1F461B51"/>
    <w:multiLevelType w:val="hybridMultilevel"/>
    <w:lvl w:ilvl="0">
      <w:lvlJc w:val="left"/>
      <w:lvlText w:val="•"/>
      <w:numFmt w:val="bullet"/>
      <w:start w:val="1"/>
    </w:lvl>
  </w:abstractNum>
  <w:abstractNum w:abstractNumId="67">
    <w:nsid w:val="29BACF25"/>
    <w:multiLevelType w:val="hybridMultilevel"/>
    <w:lvl w:ilvl="0">
      <w:lvlJc w:val="left"/>
      <w:lvlText w:val="•"/>
      <w:numFmt w:val="bullet"/>
      <w:start w:val="1"/>
    </w:lvl>
  </w:abstractNum>
  <w:abstractNum w:abstractNumId="68">
    <w:nsid w:val="5D5BABB3"/>
    <w:multiLevelType w:val="hybridMultilevel"/>
    <w:lvl w:ilvl="0">
      <w:lvlJc w:val="left"/>
      <w:lvlText w:val="(%1)"/>
      <w:numFmt w:val="lowerRoman"/>
      <w:start w:val="2"/>
    </w:lvl>
  </w:abstractNum>
  <w:abstractNum w:abstractNumId="69">
    <w:nsid w:val="51BF6B48"/>
    <w:multiLevelType w:val="hybridMultilevel"/>
    <w:lvl w:ilvl="0">
      <w:lvlJc w:val="left"/>
      <w:lvlText w:val="•"/>
      <w:numFmt w:val="bullet"/>
      <w:start w:val="1"/>
    </w:lvl>
  </w:abstractNum>
  <w:abstractNum w:abstractNumId="70">
    <w:nsid w:val="7E0F6384"/>
    <w:multiLevelType w:val="hybridMultilevel"/>
    <w:lvl w:ilvl="0">
      <w:lvlJc w:val="left"/>
      <w:lvlText w:val="•"/>
      <w:numFmt w:val="bullet"/>
      <w:start w:val="1"/>
    </w:lvl>
  </w:abstractNum>
  <w:abstractNum w:abstractNumId="71">
    <w:nsid w:val="2B4B8B53"/>
    <w:multiLevelType w:val="hybridMultilevel"/>
    <w:lvl w:ilvl="0">
      <w:lvlJc w:val="left"/>
      <w:lvlText w:val="•"/>
      <w:numFmt w:val="bullet"/>
      <w:start w:val="1"/>
    </w:lvl>
  </w:abstractNum>
  <w:abstractNum w:abstractNumId="72">
    <w:nsid w:val="72E3413A"/>
    <w:multiLevelType w:val="hybridMultilevel"/>
    <w:lvl w:ilvl="0">
      <w:lvlJc w:val="left"/>
      <w:lvlText w:val="•"/>
      <w:numFmt w:val="bullet"/>
      <w:start w:val="1"/>
    </w:lvl>
  </w:abstractNum>
  <w:abstractNum w:abstractNumId="73">
    <w:nsid w:val="116AE494"/>
    <w:multiLevelType w:val="hybridMultilevel"/>
    <w:lvl w:ilvl="0">
      <w:lvlJc w:val="left"/>
      <w:lvlText w:val="•"/>
      <w:numFmt w:val="bullet"/>
      <w:start w:val="1"/>
    </w:lvl>
  </w:abstractNum>
  <w:abstractNum w:abstractNumId="74">
    <w:nsid w:val="3494B2FB"/>
    <w:multiLevelType w:val="hybridMultilevel"/>
    <w:lvl w:ilvl="0">
      <w:lvlJc w:val="left"/>
      <w:lvlText w:val="•"/>
      <w:numFmt w:val="bullet"/>
      <w:start w:val="1"/>
    </w:lvl>
  </w:abstractNum>
  <w:abstractNum w:abstractNumId="75">
    <w:nsid w:val="B13A31"/>
    <w:multiLevelType w:val="hybridMultilevel"/>
    <w:lvl w:ilvl="0">
      <w:lvlJc w:val="left"/>
      <w:lvlText w:val="•"/>
      <w:numFmt w:val="bullet"/>
      <w:start w:val="1"/>
    </w:lvl>
  </w:abstractNum>
  <w:abstractNum w:abstractNumId="76">
    <w:nsid w:val="64429599"/>
    <w:multiLevelType w:val="hybridMultilevel"/>
    <w:lvl w:ilvl="0">
      <w:lvlJc w:val="left"/>
      <w:lvlText w:val="•"/>
      <w:numFmt w:val="bullet"/>
      <w:start w:val="1"/>
    </w:lvl>
  </w:abstractNum>
  <w:abstractNum w:abstractNumId="77">
    <w:nsid w:val="631F1690"/>
    <w:multiLevelType w:val="hybridMultilevel"/>
    <w:lvl w:ilvl="0">
      <w:lvlJc w:val="left"/>
      <w:lvlText w:val="•"/>
      <w:numFmt w:val="bullet"/>
      <w:start w:val="1"/>
    </w:lvl>
  </w:abstractNum>
  <w:abstractNum w:abstractNumId="78">
    <w:nsid w:val="25973E32"/>
    <w:multiLevelType w:val="hybridMultilevel"/>
    <w:lvl w:ilvl="0">
      <w:lvlJc w:val="left"/>
      <w:lvlText w:val="(%1)"/>
      <w:numFmt w:val="lowerRoman"/>
      <w:start w:val="1"/>
    </w:lvl>
  </w:abstractNum>
  <w:abstractNum w:abstractNumId="79">
    <w:nsid w:val="EAD6F57"/>
    <w:multiLevelType w:val="hybridMultilevel"/>
    <w:lvl w:ilvl="0">
      <w:lvlJc w:val="left"/>
      <w:lvlText w:val="•"/>
      <w:numFmt w:val="bullet"/>
      <w:start w:val="1"/>
    </w:lvl>
  </w:abstractNum>
  <w:abstractNum w:abstractNumId="80">
    <w:nsid w:val="6EC9D844"/>
    <w:multiLevelType w:val="hybridMultilevel"/>
    <w:lvl w:ilvl="0">
      <w:lvlJc w:val="left"/>
      <w:lvlText w:val="•"/>
      <w:numFmt w:val="bullet"/>
      <w:start w:val="1"/>
    </w:lvl>
  </w:abstractNum>
  <w:abstractNum w:abstractNumId="81">
    <w:nsid w:val="5C49EAEE"/>
    <w:multiLevelType w:val="hybridMultilevel"/>
    <w:lvl w:ilvl="0">
      <w:lvlJc w:val="left"/>
      <w:lvlText w:val="$"/>
      <w:numFmt w:val="bullet"/>
      <w:start w:val="1"/>
    </w:lvl>
  </w:abstractNum>
  <w:abstractNum w:abstractNumId="82">
    <w:nsid w:val="64AF49B"/>
    <w:multiLevelType w:val="hybridMultilevel"/>
    <w:lvl w:ilvl="0">
      <w:lvlJc w:val="left"/>
      <w:lvlText w:val="•"/>
      <w:numFmt w:val="bullet"/>
      <w:start w:val="1"/>
    </w:lvl>
  </w:abstractNum>
  <w:abstractNum w:abstractNumId="83">
    <w:nsid w:val="397C46BC"/>
    <w:multiLevelType w:val="hybridMultilevel"/>
    <w:lvl w:ilvl="0">
      <w:lvlJc w:val="left"/>
      <w:lvlText w:val="•"/>
      <w:numFmt w:val="bullet"/>
      <w:start w:val="1"/>
    </w:lvl>
  </w:abstractNum>
  <w:abstractNum w:abstractNumId="84">
    <w:nsid w:val="7E448DE9"/>
    <w:multiLevelType w:val="hybridMultilevel"/>
    <w:lvl w:ilvl="0">
      <w:lvlJc w:val="left"/>
      <w:lvlText w:val="$"/>
      <w:numFmt w:val="bullet"/>
      <w:start w:val="1"/>
    </w:lvl>
  </w:abstractNum>
  <w:abstractNum w:abstractNumId="85">
    <w:nsid w:val="5A9CC3E5"/>
    <w:multiLevelType w:val="hybridMultilevel"/>
    <w:lvl w:ilvl="0">
      <w:lvlJc w:val="left"/>
      <w:lvlText w:val="(%1)"/>
      <w:numFmt w:val="decimal"/>
      <w:start w:val="1"/>
    </w:lvl>
  </w:abstractNum>
  <w:abstractNum w:abstractNumId="86">
    <w:nsid w:val="1AFE3625"/>
    <w:multiLevelType w:val="hybridMultilevel"/>
    <w:lvl w:ilvl="0">
      <w:lvlJc w:val="left"/>
      <w:lvlText w:val="(%1)"/>
      <w:numFmt w:val="lowerLetter"/>
      <w:start w:val="1"/>
    </w:lvl>
  </w:abstractNum>
  <w:abstractNum w:abstractNumId="87">
    <w:nsid w:val="3CA88ECF"/>
    <w:multiLevelType w:val="hybridMultilevel"/>
    <w:lvl w:ilvl="0">
      <w:lvlJc w:val="left"/>
      <w:lvlText w:val="(%1)"/>
      <w:numFmt w:val="decimal"/>
      <w:start w:val="2"/>
    </w:lvl>
  </w:abstractNum>
  <w:abstractNum w:abstractNumId="88">
    <w:nsid w:val="6EBE4208"/>
    <w:multiLevelType w:val="hybridMultilevel"/>
    <w:lvl w:ilvl="0">
      <w:lvlJc w:val="left"/>
      <w:lvlText w:val="(%1)"/>
      <w:numFmt w:val="lowerLetter"/>
      <w:start w:val="1"/>
    </w:lvl>
  </w:abstractNum>
  <w:abstractNum w:abstractNumId="89">
    <w:nsid w:val="C058DF5"/>
    <w:multiLevelType w:val="hybridMultilevel"/>
    <w:lvl w:ilvl="0">
      <w:lvlJc w:val="left"/>
      <w:lvlText w:val="•"/>
      <w:numFmt w:val="bullet"/>
      <w:start w:val="1"/>
    </w:lvl>
  </w:abstractNum>
  <w:abstractNum w:abstractNumId="90">
    <w:nsid w:val="CBE5BE9"/>
    <w:multiLevelType w:val="hybridMultilevel"/>
    <w:lvl w:ilvl="0">
      <w:lvlJc w:val="left"/>
      <w:lvlText w:val="•"/>
      <w:numFmt w:val="bullet"/>
      <w:start w:val="1"/>
    </w:lvl>
  </w:abstractNum>
  <w:abstractNum w:abstractNumId="91">
    <w:nsid w:val="3102BBE2"/>
    <w:multiLevelType w:val="hybridMultilevel"/>
    <w:lvl w:ilvl="0">
      <w:lvlJc w:val="left"/>
      <w:lvlText w:val="•"/>
      <w:numFmt w:val="bullet"/>
      <w:start w:val="1"/>
    </w:lvl>
  </w:abstractNum>
  <w:abstractNum w:abstractNumId="92">
    <w:nsid w:val="26A02C5E"/>
    <w:multiLevelType w:val="hybridMultilevel"/>
    <w:lvl w:ilvl="0">
      <w:lvlJc w:val="left"/>
      <w:lvlText w:val="(%1)"/>
      <w:numFmt w:val="decimal"/>
      <w:start w:val="1"/>
    </w:lvl>
  </w:abstractNum>
  <w:abstractNum w:abstractNumId="93">
    <w:nsid w:val="541C8153"/>
    <w:multiLevelType w:val="hybridMultilevel"/>
    <w:lvl w:ilvl="0">
      <w:lvlJc w:val="left"/>
      <w:lvlText w:val="(%1)"/>
      <w:numFmt w:val="decimal"/>
      <w:start w:val="2"/>
    </w:lvl>
  </w:abstractNum>
  <w:abstractNum w:abstractNumId="94">
    <w:nsid w:val="67906F60"/>
    <w:multiLevelType w:val="hybridMultilevel"/>
    <w:lvl w:ilvl="0">
      <w:lvlJc w:val="left"/>
      <w:lvlText w:val="(%1)"/>
      <w:numFmt w:val="decimal"/>
      <w:start w:val="5"/>
    </w:lvl>
  </w:abstractNum>
  <w:abstractNum w:abstractNumId="95">
    <w:nsid w:val="10DB9DAA"/>
    <w:multiLevelType w:val="hybridMultilevel"/>
    <w:lvl w:ilvl="0">
      <w:lvlJc w:val="left"/>
      <w:lvlText w:val="(%1)"/>
      <w:numFmt w:val="decimal"/>
      <w:start w:val="1"/>
    </w:lvl>
  </w:abstractNum>
  <w:abstractNum w:abstractNumId="96">
    <w:nsid w:val="697D2D2"/>
    <w:multiLevelType w:val="hybridMultilevel"/>
    <w:lvl w:ilvl="0">
      <w:lvlJc w:val="left"/>
      <w:lvlText w:val="•"/>
      <w:numFmt w:val="bullet"/>
      <w:start w:val="1"/>
    </w:lvl>
  </w:abstractNum>
  <w:abstractNum w:abstractNumId="97">
    <w:nsid w:val="6D68AB2"/>
    <w:multiLevelType w:val="hybridMultilevel"/>
    <w:lvl w:ilvl="0">
      <w:lvlJc w:val="left"/>
      <w:lvlText w:val="•"/>
      <w:numFmt w:val="bullet"/>
      <w:start w:val="1"/>
    </w:lvl>
  </w:abstractNum>
  <w:abstractNum w:abstractNumId="98">
    <w:nsid w:val="3A966CD0"/>
    <w:multiLevelType w:val="hybridMultilevel"/>
    <w:lvl w:ilvl="0">
      <w:lvlJc w:val="left"/>
      <w:lvlText w:val="•"/>
      <w:numFmt w:val="bullet"/>
      <w:start w:val="1"/>
    </w:lvl>
  </w:abstractNum>
  <w:abstractNum w:abstractNumId="99">
    <w:nsid w:val="63F37E85"/>
    <w:multiLevelType w:val="hybridMultilevel"/>
    <w:lvl w:ilvl="0">
      <w:lvlJc w:val="left"/>
      <w:lvlText w:val="•"/>
      <w:numFmt w:val="bullet"/>
      <w:start w:val="1"/>
    </w:lvl>
  </w:abstractNum>
  <w:abstractNum w:abstractNumId="100">
    <w:nsid w:val="5895F5FA"/>
    <w:multiLevelType w:val="hybridMultilevel"/>
    <w:lvl w:ilvl="0">
      <w:lvlJc w:val="left"/>
      <w:lvlText w:val="•"/>
      <w:numFmt w:val="bullet"/>
      <w:start w:val="1"/>
    </w:lvl>
  </w:abstractNum>
  <w:abstractNum w:abstractNumId="101">
    <w:nsid w:val="38A5D054"/>
    <w:multiLevelType w:val="hybridMultilevel"/>
    <w:lvl w:ilvl="0">
      <w:lvlJc w:val="left"/>
      <w:lvlText w:val="(%1)"/>
      <w:numFmt w:val="decimal"/>
      <w:start w:val="1"/>
    </w:lvl>
  </w:abstractNum>
  <w:abstractNum w:abstractNumId="102">
    <w:nsid w:val="F3F09D8"/>
    <w:multiLevelType w:val="hybridMultilevel"/>
    <w:lvl w:ilvl="0">
      <w:lvlJc w:val="left"/>
      <w:lvlText w:val="•"/>
      <w:numFmt w:val="bullet"/>
      <w:start w:val="1"/>
    </w:lvl>
  </w:abstractNum>
  <w:abstractNum w:abstractNumId="103">
    <w:nsid w:val="4B793735"/>
    <w:multiLevelType w:val="hybridMultilevel"/>
    <w:lvl w:ilvl="0">
      <w:lvlJc w:val="left"/>
      <w:lvlText w:val="•"/>
      <w:numFmt w:val="bullet"/>
      <w:start w:val="1"/>
    </w:lvl>
  </w:abstractNum>
  <w:abstractNum w:abstractNumId="104">
    <w:nsid w:val="4A10B4E8"/>
    <w:multiLevelType w:val="hybridMultilevel"/>
    <w:lvl w:ilvl="0">
      <w:lvlJc w:val="left"/>
      <w:lvlText w:val="•"/>
      <w:numFmt w:val="bullet"/>
      <w:start w:val="1"/>
    </w:lvl>
  </w:abstractNum>
  <w:abstractNum w:abstractNumId="105">
    <w:nsid w:val="43D3BCD4"/>
    <w:multiLevelType w:val="hybridMultilevel"/>
    <w:lvl w:ilvl="0">
      <w:lvlJc w:val="left"/>
      <w:lvlText w:val="•"/>
      <w:numFmt w:val="bullet"/>
      <w:start w:val="1"/>
    </w:lvl>
  </w:abstractNum>
  <w:abstractNum w:abstractNumId="106">
    <w:nsid w:val="4C2A7166"/>
    <w:multiLevelType w:val="hybridMultilevel"/>
    <w:lvl w:ilvl="0">
      <w:lvlJc w:val="left"/>
      <w:lvlText w:val="•"/>
      <w:numFmt w:val="bullet"/>
      <w:start w:val="1"/>
    </w:lvl>
  </w:abstractNum>
  <w:abstractNum w:abstractNumId="107">
    <w:nsid w:val="2E534A82"/>
    <w:multiLevelType w:val="hybridMultilevel"/>
    <w:lvl w:ilvl="0">
      <w:lvlJc w:val="left"/>
      <w:lvlText w:val="•"/>
      <w:numFmt w:val="bullet"/>
      <w:start w:val="1"/>
    </w:lvl>
  </w:abstractNum>
  <w:abstractNum w:abstractNumId="108">
    <w:nsid w:val="26F2D364"/>
    <w:multiLevelType w:val="hybridMultilevel"/>
    <w:lvl w:ilvl="0">
      <w:lvlJc w:val="left"/>
      <w:lvlText w:val="•"/>
      <w:numFmt w:val="bullet"/>
      <w:start w:val="1"/>
    </w:lvl>
  </w:abstractNum>
  <w:abstractNum w:abstractNumId="109">
    <w:nsid w:val="71C1AF98"/>
    <w:multiLevelType w:val="hybridMultilevel"/>
    <w:lvl w:ilvl="0">
      <w:lvlJc w:val="left"/>
      <w:lvlText w:val="•"/>
      <w:numFmt w:val="bullet"/>
      <w:start w:val="1"/>
    </w:lvl>
  </w:abstractNum>
  <w:abstractNum w:abstractNumId="110">
    <w:nsid w:val="3D00B9D9"/>
    <w:multiLevelType w:val="hybridMultilevel"/>
    <w:lvl w:ilvl="0">
      <w:lvlJc w:val="left"/>
      <w:lvlText w:val="•"/>
      <w:numFmt w:val="bullet"/>
      <w:start w:val="1"/>
    </w:lvl>
  </w:abstractNum>
  <w:abstractNum w:abstractNumId="111">
    <w:nsid w:val="15BCABA8"/>
    <w:multiLevelType w:val="hybridMultilevel"/>
    <w:lvl w:ilvl="0">
      <w:lvlJc w:val="left"/>
      <w:lvlText w:val="•"/>
      <w:numFmt w:val="bullet"/>
      <w:start w:val="1"/>
    </w:lvl>
  </w:abstractNum>
  <w:abstractNum w:abstractNumId="112">
    <w:nsid w:val="4E0B9A87"/>
    <w:multiLevelType w:val="hybridMultilevel"/>
    <w:lvl w:ilvl="0">
      <w:lvlJc w:val="left"/>
      <w:lvlText w:val="•"/>
      <w:numFmt w:val="bullet"/>
      <w:start w:val="1"/>
    </w:lvl>
  </w:abstractNum>
  <w:abstractNum w:abstractNumId="113">
    <w:nsid w:val="434BAE75"/>
    <w:multiLevelType w:val="hybridMultilevel"/>
    <w:lvl w:ilvl="0">
      <w:lvlJc w:val="left"/>
      <w:lvlText w:val="•"/>
      <w:numFmt w:val="bullet"/>
      <w:start w:val="1"/>
    </w:lvl>
  </w:abstractNum>
  <w:abstractNum w:abstractNumId="114">
    <w:nsid w:val="4F38F265"/>
    <w:multiLevelType w:val="hybridMultilevel"/>
    <w:lvl w:ilvl="0">
      <w:lvlJc w:val="left"/>
      <w:lvlText w:val="•"/>
      <w:numFmt w:val="bullet"/>
      <w:start w:val="1"/>
    </w:lvl>
  </w:abstractNum>
  <w:abstractNum w:abstractNumId="115">
    <w:nsid w:val="4C502870"/>
    <w:multiLevelType w:val="hybridMultilevel"/>
    <w:lvl w:ilvl="0">
      <w:lvlJc w:val="left"/>
      <w:lvlText w:val="•"/>
      <w:numFmt w:val="bullet"/>
      <w:start w:val="1"/>
    </w:lvl>
  </w:abstractNum>
  <w:abstractNum w:abstractNumId="116">
    <w:nsid w:val="1DE8725A"/>
    <w:multiLevelType w:val="hybridMultilevel"/>
    <w:lvl w:ilvl="0">
      <w:lvlJc w:val="left"/>
      <w:lvlText w:val="(%1)"/>
      <w:numFmt w:val="decimal"/>
      <w:start w:val="1"/>
    </w:lvl>
  </w:abstractNum>
  <w:abstractNum w:abstractNumId="117">
    <w:nsid w:val="6A37288A"/>
    <w:multiLevelType w:val="hybridMultilevel"/>
    <w:lvl w:ilvl="0">
      <w:lvlJc w:val="left"/>
      <w:lvlText w:val="•"/>
      <w:numFmt w:val="bullet"/>
      <w:start w:val="1"/>
    </w:lvl>
  </w:abstractNum>
  <w:abstractNum w:abstractNumId="118">
    <w:nsid w:val="8F8B73F"/>
    <w:multiLevelType w:val="hybridMultilevel"/>
    <w:lvl w:ilvl="0">
      <w:lvlJc w:val="left"/>
      <w:lvlText w:val="•"/>
      <w:numFmt w:val="bullet"/>
      <w:start w:val="1"/>
    </w:lvl>
  </w:abstractNum>
  <w:abstractNum w:abstractNumId="119">
    <w:nsid w:val="CA6B462"/>
    <w:multiLevelType w:val="hybridMultilevel"/>
    <w:lvl w:ilvl="0">
      <w:lvlJc w:val="left"/>
      <w:lvlText w:val="•"/>
      <w:numFmt w:val="bullet"/>
      <w:start w:val="1"/>
    </w:lvl>
  </w:abstractNum>
  <w:abstractNum w:abstractNumId="120">
    <w:nsid w:val="763CB680"/>
    <w:multiLevelType w:val="hybridMultilevel"/>
    <w:lvl w:ilvl="0">
      <w:lvlJc w:val="left"/>
      <w:lvlText w:val="(%1)"/>
      <w:numFmt w:val="decimal"/>
      <w:start w:val="1"/>
    </w:lvl>
  </w:abstractNum>
  <w:abstractNum w:abstractNumId="121">
    <w:nsid w:val="15B71329"/>
    <w:multiLevelType w:val="hybridMultilevel"/>
    <w:lvl w:ilvl="0">
      <w:lvlJc w:val="left"/>
      <w:lvlText w:val="(%1)"/>
      <w:numFmt w:val="decimal"/>
      <w:start w:val="4"/>
    </w:lvl>
  </w:abstractNum>
  <w:abstractNum w:abstractNumId="122">
    <w:nsid w:val="3DA97044"/>
    <w:multiLevelType w:val="hybridMultilevel"/>
    <w:lvl w:ilvl="0">
      <w:lvlJc w:val="left"/>
      <w:lvlText w:val="•"/>
      <w:numFmt w:val="bullet"/>
      <w:start w:val="1"/>
    </w:lvl>
  </w:abstractNum>
  <w:abstractNum w:abstractNumId="123">
    <w:nsid w:val="1CDCE2DE"/>
    <w:multiLevelType w:val="hybridMultilevel"/>
    <w:lvl w:ilvl="0">
      <w:lvlJc w:val="left"/>
      <w:lvlText w:val="(%1)"/>
      <w:numFmt w:val="decimal"/>
      <w:start w:val="1"/>
    </w:lvl>
  </w:abstractNum>
  <w:abstractNum w:abstractNumId="124">
    <w:nsid w:val="69D3947C"/>
    <w:multiLevelType w:val="hybridMultilevel"/>
    <w:lvl w:ilvl="0">
      <w:lvlJc w:val="left"/>
      <w:lvlText w:val="(%1)"/>
      <w:numFmt w:val="decimal"/>
      <w:start w:val="1"/>
    </w:lvl>
  </w:abstractNum>
  <w:abstractNum w:abstractNumId="125">
    <w:nsid w:val="2539DFA5"/>
    <w:multiLevelType w:val="hybridMultilevel"/>
    <w:lvl w:ilvl="0">
      <w:lvlJc w:val="left"/>
      <w:lvlText w:val="(%1)"/>
      <w:numFmt w:val="decimal"/>
      <w:start w:val="2"/>
    </w:lvl>
  </w:abstractNum>
  <w:abstractNum w:abstractNumId="126">
    <w:nsid w:val="2DB88089"/>
    <w:multiLevelType w:val="hybridMultilevel"/>
    <w:lvl w:ilvl="0">
      <w:lvlJc w:val="left"/>
      <w:lvlText w:val="(%1)"/>
      <w:numFmt w:val="decimal"/>
      <w:start w:val="4"/>
    </w:lvl>
  </w:abstractNum>
  <w:abstractNum w:abstractNumId="127">
    <w:nsid w:val="706B674E"/>
    <w:multiLevelType w:val="hybridMultilevel"/>
    <w:lvl w:ilvl="0">
      <w:lvlJc w:val="left"/>
      <w:lvlText w:val="•"/>
      <w:numFmt w:val="bullet"/>
      <w:start w:val="1"/>
    </w:lvl>
  </w:abstractNum>
  <w:abstractNum w:abstractNumId="128">
    <w:nsid w:val="2C106A57"/>
    <w:multiLevelType w:val="hybridMultilevel"/>
    <w:lvl w:ilvl="0">
      <w:lvlJc w:val="left"/>
      <w:lvlText w:val="•"/>
      <w:numFmt w:val="bullet"/>
      <w:start w:val="1"/>
    </w:lvl>
  </w:abstractNum>
  <w:abstractNum w:abstractNumId="129">
    <w:nsid w:val="684EED59"/>
    <w:multiLevelType w:val="hybridMultilevel"/>
    <w:lvl w:ilvl="0">
      <w:lvlJc w:val="left"/>
      <w:lvlText w:val="•"/>
      <w:numFmt w:val="bullet"/>
      <w:start w:val="1"/>
    </w:lvl>
  </w:abstractNum>
  <w:abstractNum w:abstractNumId="130">
    <w:nsid w:val="545EE5D3"/>
    <w:multiLevelType w:val="hybridMultilevel"/>
    <w:lvl w:ilvl="0">
      <w:lvlJc w:val="left"/>
      <w:lvlText w:val="*"/>
      <w:numFmt w:val="bullet"/>
      <w:start w:val="1"/>
    </w:lvl>
  </w:abstractNum>
  <w:abstractNum w:abstractNumId="131">
    <w:nsid w:val="4A66051"/>
    <w:multiLevelType w:val="hybridMultilevel"/>
    <w:lvl w:ilvl="0">
      <w:lvlJc w:val="left"/>
      <w:lvlText w:val="(%1)"/>
      <w:numFmt w:val="decimal"/>
      <w:start w:val="1"/>
    </w:lvl>
  </w:abstractNum>
  <w:abstractNum w:abstractNumId="132">
    <w:nsid w:val="20F4BDAD"/>
    <w:multiLevelType w:val="hybridMultilevel"/>
    <w:lvl w:ilvl="0">
      <w:lvlJc w:val="left"/>
      <w:lvlText w:val="•"/>
      <w:numFmt w:val="bullet"/>
      <w:start w:val="1"/>
    </w:lvl>
  </w:abstractNum>
  <w:abstractNum w:abstractNumId="133">
    <w:nsid w:val="639DEFAC"/>
    <w:multiLevelType w:val="hybridMultilevel"/>
    <w:lvl w:ilvl="0">
      <w:lvlJc w:val="left"/>
      <w:lvlText w:val="•"/>
      <w:numFmt w:val="bullet"/>
      <w:start w:val="1"/>
    </w:lvl>
  </w:abstractNum>
  <w:abstractNum w:abstractNumId="134">
    <w:nsid w:val="501F9786"/>
    <w:multiLevelType w:val="hybridMultilevel"/>
    <w:lvl w:ilvl="0">
      <w:lvlJc w:val="left"/>
      <w:lvlText w:val="•"/>
      <w:numFmt w:val="bullet"/>
      <w:start w:val="1"/>
    </w:lvl>
  </w:abstractNum>
  <w:abstractNum w:abstractNumId="135">
    <w:nsid w:val="6B057295"/>
    <w:multiLevelType w:val="hybridMultilevel"/>
    <w:lvl w:ilvl="0">
      <w:lvlJc w:val="left"/>
      <w:lvlText w:val="•"/>
      <w:numFmt w:val="bullet"/>
      <w:start w:val="1"/>
    </w:lvl>
  </w:abstractNum>
  <w:abstractNum w:abstractNumId="136">
    <w:nsid w:val="2771AC80"/>
    <w:multiLevelType w:val="hybridMultilevel"/>
    <w:lvl w:ilvl="0">
      <w:lvlJc w:val="left"/>
      <w:lvlText w:val="•"/>
      <w:numFmt w:val="bullet"/>
      <w:start w:val="1"/>
    </w:lvl>
  </w:abstractNum>
  <w:abstractNum w:abstractNumId="137">
    <w:nsid w:val="1C4A08EC"/>
    <w:multiLevelType w:val="hybridMultilevel"/>
    <w:lvl w:ilvl="0">
      <w:lvlJc w:val="left"/>
      <w:lvlText w:val="•"/>
      <w:numFmt w:val="bullet"/>
      <w:start w:val="1"/>
    </w:lvl>
  </w:abstractNum>
  <w:abstractNum w:abstractNumId="138">
    <w:nsid w:val="1958BD17"/>
    <w:multiLevelType w:val="hybridMultilevel"/>
    <w:lvl w:ilvl="0">
      <w:lvlJc w:val="left"/>
      <w:lvlText w:val="$"/>
      <w:numFmt w:val="bullet"/>
      <w:start w:val="1"/>
    </w:lvl>
  </w:abstractNum>
  <w:abstractNum w:abstractNumId="139">
    <w:nsid w:val="4E647FE4"/>
    <w:multiLevelType w:val="hybridMultilevel"/>
    <w:lvl w:ilvl="0">
      <w:lvlJc w:val="left"/>
      <w:lvlText w:val="•"/>
      <w:numFmt w:val="bullet"/>
      <w:start w:val="1"/>
    </w:lvl>
  </w:abstractNum>
  <w:abstractNum w:abstractNumId="140">
    <w:nsid w:val="E0BB885"/>
    <w:multiLevelType w:val="hybridMultilevel"/>
    <w:lvl w:ilvl="0">
      <w:lvlJc w:val="left"/>
      <w:lvlText w:val="•"/>
      <w:numFmt w:val="bullet"/>
      <w:start w:val="1"/>
    </w:lvl>
  </w:abstractNum>
  <w:abstractNum w:abstractNumId="141">
    <w:nsid w:val="565976F1"/>
    <w:multiLevelType w:val="hybridMultilevel"/>
    <w:lvl w:ilvl="0">
      <w:lvlJc w:val="left"/>
      <w:lvlText w:val="•"/>
      <w:numFmt w:val="bullet"/>
      <w:start w:val="1"/>
    </w:lvl>
  </w:abstractNum>
  <w:abstractNum w:abstractNumId="142">
    <w:nsid w:val="64212B8C"/>
    <w:multiLevelType w:val="hybridMultilevel"/>
    <w:lvl w:ilvl="0">
      <w:lvlJc w:val="left"/>
      <w:lvlText w:val="(%1)"/>
      <w:numFmt w:val="lowerRoman"/>
      <w:start w:val="1"/>
    </w:lvl>
  </w:abstractNum>
  <w:abstractNum w:abstractNumId="143">
    <w:nsid w:val="5C17530C"/>
    <w:multiLevelType w:val="hybridMultilevel"/>
    <w:lvl w:ilvl="0">
      <w:lvlJc w:val="left"/>
      <w:lvlText w:val="%1."/>
      <w:numFmt w:val="lowerLetter"/>
      <w:start w:val="1"/>
    </w:lvl>
  </w:abstractNum>
  <w:abstractNum w:abstractNumId="144">
    <w:nsid w:val="19A52566"/>
    <w:multiLevelType w:val="hybridMultilevel"/>
    <w:lvl w:ilvl="0">
      <w:lvlJc w:val="left"/>
      <w:lvlText w:val="•"/>
      <w:numFmt w:val="bullet"/>
      <w:start w:val="1"/>
    </w:lvl>
  </w:abstractNum>
  <w:abstractNum w:abstractNumId="145">
    <w:nsid w:val="335A1DF1"/>
    <w:multiLevelType w:val="hybridMultilevel"/>
    <w:lvl w:ilvl="0">
      <w:lvlJc w:val="left"/>
      <w:lvlText w:val="•"/>
      <w:numFmt w:val="bullet"/>
      <w:start w:val="1"/>
    </w:lvl>
  </w:abstractNum>
  <w:abstractNum w:abstractNumId="146">
    <w:nsid w:val="28677B7C"/>
    <w:multiLevelType w:val="hybridMultilevel"/>
    <w:lvl w:ilvl="0">
      <w:lvlJc w:val="left"/>
      <w:lvlText w:val="(%1)"/>
      <w:numFmt w:val="lowerRoman"/>
      <w:start w:val="3"/>
    </w:lvl>
  </w:abstractNum>
  <w:abstractNum w:abstractNumId="147">
    <w:nsid w:val="378D97C0"/>
    <w:multiLevelType w:val="hybridMultilevel"/>
    <w:lvl w:ilvl="0">
      <w:lvlJc w:val="left"/>
      <w:lvlText w:val="•"/>
      <w:numFmt w:val="bullet"/>
      <w:start w:val="1"/>
    </w:lvl>
  </w:abstractNum>
  <w:abstractNum w:abstractNumId="148">
    <w:nsid w:val="1D91467C"/>
    <w:multiLevelType w:val="hybridMultilevel"/>
    <w:lvl w:ilvl="0">
      <w:lvlJc w:val="left"/>
      <w:lvlText w:val="•"/>
      <w:numFmt w:val="bullet"/>
      <w:start w:val="1"/>
    </w:lvl>
  </w:abstractNum>
  <w:abstractNum w:abstractNumId="149">
    <w:nsid w:val="316032BB"/>
    <w:multiLevelType w:val="hybridMultilevel"/>
    <w:lvl w:ilvl="0">
      <w:lvlJc w:val="left"/>
      <w:lvlText w:val="•"/>
      <w:numFmt w:val="bullet"/>
      <w:start w:val="1"/>
    </w:lvl>
  </w:abstractNum>
  <w:abstractNum w:abstractNumId="150">
    <w:nsid w:val="44344C22"/>
    <w:multiLevelType w:val="hybridMultilevel"/>
    <w:lvl w:ilvl="0">
      <w:lvlJc w:val="left"/>
      <w:lvlText w:val="•"/>
      <w:numFmt w:val="bullet"/>
      <w:start w:val="1"/>
    </w:lvl>
  </w:abstractNum>
  <w:abstractNum w:abstractNumId="151">
    <w:nsid w:val="13CDFCFC"/>
    <w:multiLevelType w:val="hybridMultilevel"/>
    <w:lvl w:ilvl="0">
      <w:lvlJc w:val="left"/>
      <w:lvlText w:val="•"/>
      <w:numFmt w:val="bullet"/>
      <w:start w:val="1"/>
    </w:lvl>
  </w:abstractNum>
  <w:abstractNum w:abstractNumId="152">
    <w:nsid w:val="471745E4"/>
    <w:multiLevelType w:val="hybridMultilevel"/>
    <w:lvl w:ilvl="0">
      <w:lvlJc w:val="left"/>
      <w:lvlText w:val="•"/>
      <w:numFmt w:val="bullet"/>
      <w:start w:val="1"/>
    </w:lvl>
  </w:abstractNum>
  <w:abstractNum w:abstractNumId="153">
    <w:nsid w:val="1DDBC66"/>
    <w:multiLevelType w:val="hybridMultilevel"/>
    <w:lvl w:ilvl="0">
      <w:lvlJc w:val="left"/>
      <w:lvlText w:val="(%1)"/>
      <w:numFmt w:val="decimal"/>
      <w:start w:val="1"/>
    </w:lvl>
  </w:abstractNum>
  <w:abstractNum w:abstractNumId="154">
    <w:nsid w:val="30AADFDA"/>
    <w:multiLevelType w:val="hybridMultilevel"/>
    <w:lvl w:ilvl="0">
      <w:lvlJc w:val="left"/>
      <w:lvlText w:val="(%1)"/>
      <w:numFmt w:val="lowerLetter"/>
      <w:start w:val="1"/>
    </w:lvl>
  </w:abstractNum>
  <w:abstractNum w:abstractNumId="155">
    <w:nsid w:val="30EADA61"/>
    <w:multiLevelType w:val="hybridMultilevel"/>
    <w:lvl w:ilvl="0">
      <w:lvlJc w:val="left"/>
      <w:lvlText w:val="(%1)"/>
      <w:numFmt w:val="lowerLetter"/>
      <w:start w:val="2"/>
    </w:lvl>
  </w:abstractNum>
  <w:abstractNum w:abstractNumId="156">
    <w:nsid w:val="27179C0B"/>
    <w:multiLevelType w:val="hybridMultilevel"/>
    <w:lvl w:ilvl="0">
      <w:lvlJc w:val="left"/>
      <w:lvlText w:val="(%1)"/>
      <w:numFmt w:val="decimal"/>
      <w:start w:val="1"/>
    </w:lvl>
  </w:abstractNum>
  <w:abstractNum w:abstractNumId="157">
    <w:nsid w:val="5E636063"/>
    <w:multiLevelType w:val="hybridMultilevel"/>
    <w:lvl w:ilvl="0">
      <w:lvlJc w:val="left"/>
      <w:lvlText w:val="*"/>
      <w:numFmt w:val="bullet"/>
      <w:start w:val="1"/>
    </w:lvl>
  </w:abstractNum>
  <w:abstractNum w:abstractNumId="158">
    <w:nsid w:val="215641AF"/>
    <w:multiLevelType w:val="hybridMultilevel"/>
    <w:lvl w:ilvl="0">
      <w:lvlJc w:val="left"/>
      <w:lvlText w:val="+"/>
      <w:numFmt w:val="bullet"/>
      <w:start w:val="1"/>
    </w:lvl>
  </w:abstractNum>
  <w:abstractNum w:abstractNumId="159">
    <w:nsid w:val="53280662"/>
    <w:multiLevelType w:val="hybridMultilevel"/>
    <w:lvl w:ilvl="0">
      <w:lvlJc w:val="left"/>
      <w:lvlText w:val="†"/>
      <w:numFmt w:val="bullet"/>
      <w:start w:val="1"/>
    </w:lvl>
  </w:abstractNum>
  <w:abstractNum w:abstractNumId="160">
    <w:nsid w:val="46B24DBC"/>
    <w:multiLevelType w:val="hybridMultilevel"/>
    <w:lvl w:ilvl="0">
      <w:lvlJc w:val="left"/>
      <w:lvlText w:val="%1"/>
      <w:numFmt w:val="lowerLetter"/>
      <w:start w:val="1"/>
    </w:lvl>
    <w:lvl w:ilvl="1">
      <w:lvlJc w:val="left"/>
      <w:lvlText w:val="(%2)"/>
      <w:numFmt w:val="lowerLetter"/>
      <w:start w:val="1"/>
    </w:lvl>
  </w:abstractNum>
  <w:abstractNum w:abstractNumId="161">
    <w:nsid w:val="75B52783"/>
    <w:multiLevelType w:val="hybridMultilevel"/>
    <w:lvl w:ilvl="0">
      <w:lvlJc w:val="left"/>
      <w:lvlText w:val="(%1)"/>
      <w:numFmt w:val="lowerLetter"/>
      <w:start w:val="9"/>
    </w:lvl>
    <w:lvl w:ilvl="1">
      <w:lvlJc w:val="left"/>
      <w:lvlText w:val="%2"/>
      <w:numFmt w:val="lowerLetter"/>
      <w:start w:val="1"/>
    </w:lvl>
  </w:abstractNum>
  <w:abstractNum w:abstractNumId="162">
    <w:nsid w:val="57CE66B4"/>
    <w:multiLevelType w:val="hybridMultilevel"/>
    <w:lvl w:ilvl="0">
      <w:lvlJc w:val="left"/>
      <w:lvlText w:val="(%1)"/>
      <w:numFmt w:val="lowerLetter"/>
      <w:start w:val="3"/>
    </w:lvl>
  </w:abstractNum>
  <w:abstractNum w:abstractNumId="163">
    <w:nsid w:val="67A70B69"/>
    <w:multiLevelType w:val="hybridMultilevel"/>
    <w:lvl w:ilvl="0">
      <w:lvlJc w:val="left"/>
      <w:lvlText w:val="(%1)"/>
      <w:numFmt w:val="lowerLetter"/>
      <w:start w:val="5"/>
    </w:lvl>
  </w:abstractNum>
  <w:abstractNum w:abstractNumId="164">
    <w:nsid w:val="5953172F"/>
    <w:multiLevelType w:val="hybridMultilevel"/>
    <w:lvl w:ilvl="0">
      <w:lvlJc w:val="left"/>
      <w:lvlText w:val="(%1)"/>
      <w:numFmt w:val="lowerLetter"/>
      <w:start w:val="1"/>
    </w:lvl>
  </w:abstractNum>
  <w:abstractNum w:abstractNumId="165">
    <w:nsid w:val="27EDFE3A"/>
    <w:multiLevelType w:val="hybridMultilevel"/>
    <w:lvl w:ilvl="0">
      <w:lvlJc w:val="left"/>
      <w:lvlText w:val="(%1)"/>
      <w:numFmt w:val="lowerLetter"/>
      <w:start w:val="1"/>
    </w:lvl>
  </w:abstractNum>
  <w:abstractNum w:abstractNumId="166">
    <w:nsid w:val="52AC7DFF"/>
    <w:multiLevelType w:val="hybridMultilevel"/>
    <w:lvl w:ilvl="0">
      <w:lvlJc w:val="left"/>
      <w:lvlText w:val="(%1)"/>
      <w:numFmt w:val="lowerLetter"/>
      <w:start w:val="1"/>
    </w:lvl>
  </w:abstractNum>
  <w:abstractNum w:abstractNumId="167">
    <w:nsid w:val="C4C3AF"/>
    <w:multiLevelType w:val="hybridMultilevel"/>
    <w:lvl w:ilvl="0">
      <w:lvlJc w:val="left"/>
      <w:lvlText w:val="(%1)"/>
      <w:numFmt w:val="lowerLetter"/>
      <w:start w:val="4"/>
    </w:lvl>
  </w:abstractNum>
  <w:abstractNum w:abstractNumId="168">
    <w:nsid w:val="44380727"/>
    <w:multiLevelType w:val="hybridMultilevel"/>
    <w:lvl w:ilvl="0">
      <w:lvlJc w:val="left"/>
      <w:lvlText w:val="(%1)"/>
      <w:numFmt w:val="lowerLetter"/>
      <w:start w:val="1"/>
    </w:lvl>
  </w:abstractNum>
  <w:abstractNum w:abstractNumId="169">
    <w:nsid w:val="6C053B16"/>
    <w:multiLevelType w:val="hybridMultilevel"/>
    <w:lvl w:ilvl="0">
      <w:lvlJc w:val="left"/>
      <w:lvlText w:val="(%1)"/>
      <w:numFmt w:val="lowerLetter"/>
      <w:start w:val="1"/>
    </w:lvl>
  </w:abstractNum>
  <w:abstractNum w:abstractNumId="170">
    <w:nsid w:val="4F294393"/>
    <w:multiLevelType w:val="hybridMultilevel"/>
    <w:lvl w:ilvl="0">
      <w:lvlJc w:val="left"/>
      <w:lvlText w:val="(%1)"/>
      <w:numFmt w:val="lowerLetter"/>
      <w:start w:val="1"/>
    </w:lvl>
  </w:abstractNum>
  <w:abstractNum w:abstractNumId="171">
    <w:nsid w:val="5243BFAC"/>
    <w:multiLevelType w:val="hybridMultilevel"/>
    <w:lvl w:ilvl="0">
      <w:lvlJc w:val="left"/>
      <w:lvlText w:val="(%1)"/>
      <w:numFmt w:val="lowerLetter"/>
      <w:start w:val="2"/>
    </w:lvl>
  </w:abstractNum>
  <w:abstractNum w:abstractNumId="172">
    <w:nsid w:val="425EB207"/>
    <w:multiLevelType w:val="hybridMultilevel"/>
    <w:lvl w:ilvl="0">
      <w:lvlJc w:val="left"/>
      <w:lvlText w:val="%1"/>
      <w:numFmt w:val="lowerLetter"/>
      <w:start w:val="1"/>
    </w:lvl>
    <w:lvl w:ilvl="1">
      <w:lvlJc w:val="left"/>
      <w:lvlText w:val="(%2)"/>
      <w:numFmt w:val="lowerLetter"/>
      <w:start w:val="1"/>
    </w:lvl>
  </w:abstractNum>
  <w:abstractNum w:abstractNumId="173">
    <w:nsid w:val="334A6F1F"/>
    <w:multiLevelType w:val="hybridMultilevel"/>
    <w:lvl w:ilvl="0">
      <w:lvlJc w:val="left"/>
      <w:lvlText w:val="(%1)"/>
      <w:numFmt w:val="lowerLetter"/>
      <w:start w:val="9"/>
    </w:lvl>
    <w:lvl w:ilvl="1">
      <w:lvlJc w:val="left"/>
      <w:lvlText w:val="(%2)"/>
      <w:numFmt w:val="lowerLetter"/>
      <w:start w:val="2"/>
    </w:lvl>
  </w:abstractNum>
  <w:abstractNum w:abstractNumId="174">
    <w:nsid w:val="2E5B12B8"/>
    <w:multiLevelType w:val="hybridMultilevel"/>
    <w:lvl w:ilvl="0">
      <w:lvlJc w:val="left"/>
      <w:lvlText w:val="(%1)"/>
      <w:numFmt w:val="lowerLetter"/>
      <w:start w:val="4"/>
    </w:lvl>
  </w:abstractNum>
  <w:abstractNum w:abstractNumId="175">
    <w:nsid w:val="5C03D76D"/>
    <w:multiLevelType w:val="hybridMultilevel"/>
    <w:lvl w:ilvl="0">
      <w:lvlJc w:val="left"/>
      <w:lvlText w:val="(%1)"/>
      <w:numFmt w:val="lowerLetter"/>
      <w:start w:val="1"/>
    </w:lvl>
  </w:abstractNum>
  <w:abstractNum w:abstractNumId="176">
    <w:nsid w:val="66A48D11"/>
    <w:multiLevelType w:val="hybridMultilevel"/>
    <w:lvl w:ilvl="0">
      <w:lvlJc w:val="left"/>
      <w:lvlText w:val="(%1)"/>
      <w:numFmt w:val="lowerLetter"/>
      <w:start w:val="1"/>
    </w:lvl>
  </w:abstractNum>
  <w:abstractNum w:abstractNumId="177">
    <w:nsid w:val="56C28E34"/>
    <w:multiLevelType w:val="hybridMultilevel"/>
    <w:lvl w:ilvl="0">
      <w:lvlJc w:val="left"/>
      <w:lvlText w:val="(%1)"/>
      <w:numFmt w:val="lowerLetter"/>
      <w:start w:val="1"/>
    </w:lvl>
  </w:abstractNum>
  <w:abstractNum w:abstractNumId="178">
    <w:nsid w:val="13916F2D"/>
    <w:multiLevelType w:val="hybridMultilevel"/>
    <w:lvl w:ilvl="0">
      <w:lvlJc w:val="left"/>
      <w:lvlText w:val="(%1)"/>
      <w:numFmt w:val="lowerLetter"/>
      <w:start w:val="1"/>
    </w:lvl>
  </w:abstractNum>
  <w:abstractNum w:abstractNumId="179">
    <w:nsid w:val="435D38D"/>
    <w:multiLevelType w:val="hybridMultilevel"/>
    <w:lvl w:ilvl="0">
      <w:lvlJc w:val="left"/>
      <w:lvlText w:val="(%1)"/>
      <w:numFmt w:val="lowerLetter"/>
      <w:start w:val="4"/>
    </w:lvl>
  </w:abstractNum>
  <w:abstractNum w:abstractNumId="180">
    <w:nsid w:val="822C0EF"/>
    <w:multiLevelType w:val="hybridMultilevel"/>
    <w:lvl w:ilvl="0">
      <w:lvlJc w:val="left"/>
      <w:lvlText w:val="(%1)"/>
      <w:numFmt w:val="lowerLetter"/>
      <w:start w:val="10"/>
    </w:lvl>
    <w:lvl w:ilvl="1">
      <w:lvlJc w:val="left"/>
      <w:lvlText w:val="(%2)"/>
      <w:numFmt w:val="decimal"/>
      <w:start w:val="1"/>
    </w:lvl>
  </w:abstractNum>
  <w:abstractNum w:abstractNumId="181">
    <w:nsid w:val="57C5BB4F"/>
    <w:multiLevelType w:val="hybridMultilevel"/>
    <w:lvl w:ilvl="0">
      <w:lvlJc w:val="left"/>
      <w:lvlText w:val="(%1)"/>
      <w:numFmt w:val="lowerLetter"/>
      <w:start w:val="1"/>
    </w:lvl>
  </w:abstractNum>
  <w:abstractNum w:abstractNumId="182">
    <w:nsid w:val="1803D089"/>
    <w:multiLevelType w:val="hybridMultilevel"/>
    <w:lvl w:ilvl="0">
      <w:lvlJc w:val="left"/>
      <w:lvlText w:val="(%1)"/>
      <w:numFmt w:val="lowerLetter"/>
      <w:start w:val="2"/>
    </w:lvl>
  </w:abstractNum>
  <w:abstractNum w:abstractNumId="183">
    <w:nsid w:val="4F3A06D4"/>
    <w:multiLevelType w:val="hybridMultilevel"/>
    <w:lvl w:ilvl="0">
      <w:lvlJc w:val="left"/>
      <w:lvlText w:val="(%1)"/>
      <w:numFmt w:val="lowerLetter"/>
      <w:start w:val="1"/>
    </w:lvl>
  </w:abstractNum>
  <w:abstractNum w:abstractNumId="184">
    <w:nsid w:val="59A377B6"/>
    <w:multiLevelType w:val="hybridMultilevel"/>
    <w:lvl w:ilvl="0">
      <w:lvlJc w:val="left"/>
      <w:lvlText w:val="%1."/>
      <w:numFmt w:val="decimal"/>
      <w:start w:val="1"/>
    </w:lvl>
    <w:lvl w:ilvl="1">
      <w:lvlJc w:val="left"/>
      <w:lvlText w:val="(%2)"/>
      <w:numFmt w:val="lowerLetter"/>
      <w:start w:val="1"/>
    </w:lvl>
  </w:abstractNum>
  <w:abstractNum w:abstractNumId="185">
    <w:nsid w:val="48AEB063"/>
    <w:multiLevelType w:val="hybridMultilevel"/>
    <w:lvl w:ilvl="0">
      <w:lvlJc w:val="left"/>
      <w:lvlText w:val="(%1)"/>
      <w:numFmt w:val="lowerLetter"/>
      <w:start w:val="11"/>
    </w:lvl>
  </w:abstractNum>
  <w:abstractNum w:abstractNumId="186">
    <w:nsid w:val="24E135"/>
    <w:multiLevelType w:val="hybridMultilevel"/>
    <w:lvl w:ilvl="0">
      <w:lvlJc w:val="left"/>
      <w:lvlText w:val="(%1)"/>
      <w:numFmt w:val="lowerLetter"/>
      <w:start w:val="25"/>
    </w:lvl>
  </w:abstractNum>
  <w:abstractNum w:abstractNumId="187">
    <w:nsid w:val="BB13C1"/>
    <w:multiLevelType w:val="hybridMultilevel"/>
    <w:lvl w:ilvl="0">
      <w:lvlJc w:val="left"/>
      <w:lvlText w:val="%1"/>
      <w:numFmt w:val="decimal"/>
      <w:start w:val="1"/>
    </w:lvl>
    <w:lvl w:ilvl="1">
      <w:lvlJc w:val="left"/>
      <w:lvlText w:val="(%2)"/>
      <w:numFmt w:val="lowerLetter"/>
      <w:start w:val="27"/>
    </w:lvl>
  </w:abstractNum>
  <w:abstractNum w:abstractNumId="188">
    <w:nsid w:val="271210C7"/>
    <w:multiLevelType w:val="hybridMultilevel"/>
    <w:lvl w:ilvl="0">
      <w:lvlJc w:val="left"/>
      <w:lvlText w:val="%1."/>
      <w:numFmt w:val="decimal"/>
      <w:start w:val="3"/>
    </w:lvl>
    <w:lvl w:ilvl="1">
      <w:lvlJc w:val="left"/>
      <w:lvlText w:val="%2"/>
      <w:numFmt w:val="lowerLetter"/>
      <w:start w:val="1"/>
    </w:lvl>
  </w:abstractNum>
  <w:abstractNum w:abstractNumId="189">
    <w:nsid w:val="217B22E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0">
    <w:nsid w:val="53E31A2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91">
    <w:nsid w:val="6DC45E8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92">
    <w:nsid w:val="17304A67"/>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193">
    <w:nsid w:val="2BB180D8"/>
    <w:multiLevelType w:val="hybridMultilevel"/>
    <w:lvl w:ilvl="0">
      <w:lvlJc w:val="left"/>
      <w:lvlText w:val="(%1)"/>
      <w:numFmt w:val="lowerRoman"/>
      <w:start w:val="2"/>
    </w:lvl>
  </w:abstractNum>
  <w:abstractNum w:abstractNumId="194">
    <w:nsid w:val="556B69ED"/>
    <w:multiLevelType w:val="hybridMultilevel"/>
    <w:lvl w:ilvl="0">
      <w:lvlJc w:val="left"/>
      <w:lvlText w:val="%1."/>
      <w:numFmt w:val="decimal"/>
      <w:start w:val="7"/>
    </w:lvl>
    <w:lvl w:ilvl="1">
      <w:lvlJc w:val="left"/>
      <w:lvlText w:val="(%2)"/>
      <w:numFmt w:val="lowerLetter"/>
      <w:start w:val="1"/>
    </w:lvl>
  </w:abstractNum>
  <w:abstractNum w:abstractNumId="195">
    <w:nsid w:val="70836196"/>
    <w:multiLevelType w:val="hybridMultilevel"/>
    <w:lvl w:ilvl="0">
      <w:lvlJc w:val="left"/>
      <w:lvlText w:val="%1"/>
      <w:numFmt w:val="decimal"/>
      <w:start w:val="1"/>
    </w:lvl>
    <w:lvl w:ilvl="1">
      <w:lvlJc w:val="left"/>
      <w:lvlText w:val="(%2)"/>
      <w:numFmt w:val="lowerLetter"/>
      <w:start w:val="5"/>
    </w:lvl>
  </w:abstractNum>
  <w:abstractNum w:abstractNumId="196">
    <w:nsid w:val="539F7F12"/>
    <w:multiLevelType w:val="hybridMultilevel"/>
    <w:lvl w:ilvl="0">
      <w:lvlJc w:val="left"/>
      <w:lvlText w:val="%1."/>
      <w:numFmt w:val="decimal"/>
      <w:start w:val="9"/>
    </w:lvl>
    <w:lvl w:ilvl="1">
      <w:lvlJc w:val="left"/>
      <w:lvlText w:val="(%2)"/>
      <w:numFmt w:val="lowerLetter"/>
      <w:start w:val="1"/>
    </w:lvl>
  </w:abstractNum>
  <w:abstractNum w:abstractNumId="197">
    <w:nsid w:val="2817E7EC"/>
    <w:multiLevelType w:val="hybridMultilevel"/>
    <w:lvl w:ilvl="0">
      <w:lvlJc w:val="left"/>
      <w:lvlText w:val="%1"/>
      <w:numFmt w:val="decimal"/>
      <w:start w:val="1"/>
    </w:lvl>
    <w:lvl w:ilvl="1">
      <w:lvlJc w:val="left"/>
      <w:lvlText w:val="(%2)"/>
      <w:numFmt w:val="lowerLetter"/>
      <w:start w:val="2"/>
    </w:lvl>
  </w:abstractNum>
  <w:abstractNum w:abstractNumId="198">
    <w:nsid w:val="71482545"/>
    <w:multiLevelType w:val="hybridMultilevel"/>
    <w:lvl w:ilvl="0">
      <w:lvlJc w:val="left"/>
      <w:lvlText w:val="%1."/>
      <w:numFmt w:val="decimal"/>
      <w:start w:val="14"/>
    </w:lvl>
    <w:lvl w:ilvl="1">
      <w:lvlJc w:val="left"/>
      <w:lvlText w:val="(%2)"/>
      <w:numFmt w:val="lowerLetter"/>
      <w:start w:val="1"/>
    </w:lvl>
  </w:abstractNum>
  <w:abstractNum w:abstractNumId="199">
    <w:nsid w:val="17D78639"/>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200">
    <w:nsid w:val="141D2302"/>
    <w:multiLevelType w:val="hybridMultilevel"/>
    <w:lvl w:ilvl="0">
      <w:lvlJc w:val="left"/>
      <w:lvlText w:val="(%1)"/>
      <w:numFmt w:val="lowerRoman"/>
      <w:start w:val="4"/>
    </w:lvl>
    <w:lvl w:ilvl="1">
      <w:lvlJc w:val="left"/>
      <w:lvlText w:val="%2."/>
      <w:numFmt w:val="decimal"/>
      <w:start w:val="15"/>
    </w:lvl>
    <w:lvl w:ilvl="2">
      <w:lvlJc w:val="left"/>
      <w:lvlText w:val="(%3)"/>
      <w:numFmt w:val="lowerLetter"/>
      <w:start w:val="1"/>
    </w:lvl>
  </w:abstractNum>
  <w:abstractNum w:abstractNumId="201">
    <w:nsid w:val="407168D8"/>
    <w:multiLevelType w:val="hybridMultilevel"/>
    <w:lvl w:ilvl="0">
      <w:lvlJc w:val="left"/>
      <w:lvlText w:val="%1."/>
      <w:numFmt w:val="decimal"/>
      <w:start w:val="19"/>
    </w:lvl>
    <w:lvl w:ilvl="1">
      <w:lvlJc w:val="left"/>
      <w:lvlText w:val="(%2)"/>
      <w:numFmt w:val="lowerLetter"/>
      <w:start w:val="1"/>
    </w:lvl>
  </w:abstractNum>
  <w:abstractNum w:abstractNumId="202">
    <w:nsid w:val="6A1B45E5"/>
    <w:multiLevelType w:val="hybridMultilevel"/>
    <w:lvl w:ilvl="0">
      <w:lvlJc w:val="left"/>
      <w:lvlText w:val="•"/>
      <w:numFmt w:val="bullet"/>
      <w:start w:val="1"/>
    </w:lvl>
  </w:abstractNum>
  <w:abstractNum w:abstractNumId="203">
    <w:nsid w:val="567BD50A"/>
    <w:multiLevelType w:val="hybridMultilevel"/>
    <w:lvl w:ilvl="0">
      <w:lvlJc w:val="left"/>
      <w:lvlText w:val="•"/>
      <w:numFmt w:val="bullet"/>
      <w:start w:val="1"/>
    </w:lvl>
  </w:abstractNum>
  <w:abstractNum w:abstractNumId="204">
    <w:nsid w:val="73BBD7F8"/>
    <w:multiLevelType w:val="hybridMultilevel"/>
    <w:lvl w:ilvl="0">
      <w:lvlJc w:val="left"/>
      <w:lvlText w:val="(%1)"/>
      <w:numFmt w:val="lowerRoman"/>
      <w:start w:val="1"/>
    </w:lvl>
  </w:abstractNum>
  <w:abstractNum w:abstractNumId="205">
    <w:nsid w:val="1876589D"/>
    <w:multiLevelType w:val="hybridMultilevel"/>
    <w:lvl w:ilvl="0">
      <w:lvlJc w:val="left"/>
      <w:lvlText w:val="(%1)"/>
      <w:numFmt w:val="lowerRoman"/>
      <w:start w:val="4"/>
    </w:lvl>
  </w:abstractNum>
  <w:abstractNum w:abstractNumId="206">
    <w:nsid w:val="327FAC77"/>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07">
    <w:nsid w:val="5A606509"/>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abstractNum>
  <w:abstractNum w:abstractNumId="208">
    <w:nsid w:val="6F38E6D1"/>
    <w:multiLevelType w:val="hybridMultilevel"/>
    <w:lvl w:ilvl="0">
      <w:lvlJc w:val="left"/>
      <w:lvlText w:val="%1."/>
      <w:numFmt w:val="decimal"/>
      <w:start w:val="3"/>
    </w:lvl>
  </w:abstractNum>
  <w:abstractNum w:abstractNumId="209">
    <w:nsid w:val="46111BA5"/>
    <w:multiLevelType w:val="hybridMultilevel"/>
    <w:lvl w:ilvl="0">
      <w:lvlJc w:val="left"/>
      <w:lvlText w:val="%1."/>
      <w:numFmt w:val="decimal"/>
      <w:start w:val="4"/>
    </w:lvl>
  </w:abstractNum>
  <w:abstractNum w:abstractNumId="210">
    <w:nsid w:val="5E963896"/>
    <w:multiLevelType w:val="hybridMultilevel"/>
    <w:lvl w:ilvl="0">
      <w:lvlJc w:val="left"/>
      <w:lvlText w:val="•"/>
      <w:numFmt w:val="bullet"/>
      <w:start w:val="1"/>
    </w:lvl>
  </w:abstractNum>
  <w:abstractNum w:abstractNumId="211">
    <w:nsid w:val="775BA7C1"/>
    <w:multiLevelType w:val="hybridMultilevel"/>
    <w:lvl w:ilvl="0">
      <w:lvlJc w:val="left"/>
      <w:lvlText w:val="•"/>
      <w:numFmt w:val="bullet"/>
      <w:start w:val="1"/>
    </w:lvl>
  </w:abstractNum>
  <w:abstractNum w:abstractNumId="212">
    <w:nsid w:val="1DD6D6F4"/>
    <w:multiLevelType w:val="hybridMultilevel"/>
    <w:lvl w:ilvl="0">
      <w:lvlJc w:val="left"/>
      <w:lvlText w:val="•"/>
      <w:numFmt w:val="bullet"/>
      <w:start w:val="1"/>
    </w:lvl>
  </w:abstractNum>
  <w:abstractNum w:abstractNumId="213">
    <w:nsid w:val="769A091F"/>
    <w:multiLevelType w:val="hybridMultilevel"/>
    <w:lvl w:ilvl="0">
      <w:lvlJc w:val="left"/>
      <w:lvlText w:val="•"/>
      <w:numFmt w:val="bullet"/>
      <w:start w:val="1"/>
    </w:lvl>
  </w:abstractNum>
  <w:abstractNum w:abstractNumId="214">
    <w:nsid w:val="4695AE95"/>
    <w:multiLevelType w:val="hybridMultilevel"/>
    <w:lvl w:ilvl="0">
      <w:lvlJc w:val="left"/>
      <w:lvlText w:val="%1."/>
      <w:numFmt w:val="decimal"/>
      <w:start w:val="1"/>
    </w:lvl>
  </w:abstractNum>
  <w:abstractNum w:abstractNumId="215">
    <w:nsid w:val="777A4EAA"/>
    <w:multiLevelType w:val="hybridMultilevel"/>
    <w:lvl w:ilvl="0">
      <w:lvlJc w:val="left"/>
      <w:lvlText w:val="•"/>
      <w:numFmt w:val="bullet"/>
      <w:start w:val="1"/>
    </w:lvl>
  </w:abstractNum>
  <w:abstractNum w:abstractNumId="216">
    <w:nsid w:val="3F48B982"/>
    <w:multiLevelType w:val="hybridMultilevel"/>
    <w:lvl w:ilvl="0">
      <w:lvlJc w:val="left"/>
      <w:lvlText w:val="•"/>
      <w:numFmt w:val="bullet"/>
      <w:start w:val="1"/>
    </w:lvl>
  </w:abstractNum>
  <w:abstractNum w:abstractNumId="217">
    <w:nsid w:val="46BA8FCA"/>
    <w:multiLevelType w:val="hybridMultilevel"/>
    <w:lvl w:ilvl="0">
      <w:lvlJc w:val="left"/>
      <w:lvlText w:val="%1."/>
      <w:numFmt w:val="decimal"/>
      <w:start w:val="3"/>
    </w:lvl>
  </w:abstractNum>
  <w:abstractNum w:abstractNumId="218">
    <w:nsid w:val="7835626C"/>
    <w:multiLevelType w:val="hybridMultilevel"/>
    <w:lvl w:ilvl="0">
      <w:lvlJc w:val="left"/>
      <w:lvlText w:val="%1."/>
      <w:numFmt w:val="decimal"/>
      <w:start w:val="4"/>
    </w:lvl>
  </w:abstractNum>
  <w:abstractNum w:abstractNumId="219">
    <w:nsid w:val="665ACA49"/>
    <w:multiLevelType w:val="hybridMultilevel"/>
    <w:lvl w:ilvl="0">
      <w:lvlJc w:val="left"/>
      <w:lvlText w:val="%1."/>
      <w:numFmt w:val="decimal"/>
      <w:start w:val="6"/>
    </w:lvl>
  </w:abstractNum>
  <w:abstractNum w:abstractNumId="220">
    <w:nsid w:val="6835B2AE"/>
    <w:multiLevelType w:val="hybridMultilevel"/>
    <w:lvl w:ilvl="0">
      <w:lvlJc w:val="left"/>
      <w:lvlText w:val="%1."/>
      <w:numFmt w:val="decimal"/>
      <w:start w:val="11"/>
    </w:lvl>
  </w:abstractNum>
  <w:abstractNum w:abstractNumId="221">
    <w:nsid w:val="4C187C90"/>
    <w:multiLevelType w:val="hybridMultilevel"/>
    <w:lvl w:ilvl="0">
      <w:lvlJc w:val="left"/>
      <w:lvlText w:val="*"/>
      <w:numFmt w:val="bullet"/>
      <w:start w:val="1"/>
    </w:lvl>
  </w:abstractNum>
  <w:abstractNum w:abstractNumId="222">
    <w:nsid w:val="541F28CD"/>
    <w:multiLevelType w:val="hybridMultilevel"/>
    <w:lvl w:ilvl="0">
      <w:lvlJc w:val="left"/>
      <w:lvlText w:val="%1."/>
      <w:numFmt w:val="lowerLetter"/>
      <w:start w:val="1"/>
    </w:lvl>
  </w:abstractNum>
  <w:abstractNum w:abstractNumId="223">
    <w:nsid w:val="7F65FD16"/>
    <w:multiLevelType w:val="hybridMultilevel"/>
    <w:lvl w:ilvl="0">
      <w:lvlJc w:val="left"/>
      <w:lvlText w:val="%1."/>
      <w:numFmt w:val="decimal"/>
      <w:start w:val="1"/>
    </w:lvl>
  </w:abstractNum>
  <w:abstractNum w:abstractNumId="224">
    <w:nsid w:val="77C9FD68"/>
    <w:multiLevelType w:val="hybridMultilevel"/>
    <w:lvl w:ilvl="0">
      <w:lvlJc w:val="left"/>
      <w:lvlText w:val="%1."/>
      <w:numFmt w:val="lowerLetter"/>
      <w:start w:val="1"/>
    </w:lvl>
  </w:abstractNum>
  <w:abstractNum w:abstractNumId="225">
    <w:nsid w:val="298A92BA"/>
    <w:multiLevelType w:val="hybridMultilevel"/>
    <w:lvl w:ilvl="0">
      <w:lvlJc w:val="left"/>
      <w:lvlText w:val="(%1)"/>
      <w:numFmt w:val="lowerLetter"/>
      <w:start w:val="1"/>
    </w:lvl>
  </w:abstractNum>
  <w:abstractNum w:abstractNumId="226">
    <w:nsid w:val="6FE95EAC"/>
    <w:multiLevelType w:val="hybridMultilevel"/>
    <w:lvl w:ilvl="0">
      <w:lvlJc w:val="left"/>
      <w:lvlText w:val="(%1)"/>
      <w:numFmt w:val="lowerLetter"/>
      <w:start w:val="1"/>
    </w:lvl>
  </w:abstractNum>
  <w:abstractNum w:abstractNumId="227">
    <w:nsid w:val="4B697C7A"/>
    <w:multiLevelType w:val="hybridMultilevel"/>
    <w:lvl w:ilvl="0">
      <w:lvlJc w:val="left"/>
      <w:lvlText w:val="(%1)"/>
      <w:numFmt w:val="lowerLetter"/>
      <w:start w:val="3"/>
    </w:lvl>
  </w:abstractNum>
  <w:abstractNum w:abstractNumId="228">
    <w:nsid w:val="51A27AA6"/>
    <w:multiLevelType w:val="hybridMultilevel"/>
    <w:lvl w:ilvl="0">
      <w:lvlJc w:val="left"/>
      <w:lvlText w:val="(%1)"/>
      <w:numFmt w:val="lowerLetter"/>
      <w:start w:val="1"/>
    </w:lvl>
  </w:abstractNum>
  <w:abstractNum w:abstractNumId="229">
    <w:nsid w:val="613183F2"/>
    <w:multiLevelType w:val="hybridMultilevel"/>
    <w:lvl w:ilvl="0">
      <w:lvlJc w:val="left"/>
      <w:lvlText w:val="(%1)"/>
      <w:numFmt w:val="lowerLetter"/>
      <w:start w:val="1"/>
    </w:lvl>
  </w:abstractNum>
  <w:abstractNum w:abstractNumId="230">
    <w:nsid w:val="634102B4"/>
    <w:multiLevelType w:val="hybridMultilevel"/>
    <w:lvl w:ilvl="0">
      <w:lvlJc w:val="left"/>
      <w:lvlText w:val="(%1)"/>
      <w:numFmt w:val="lowerLetter"/>
      <w:start w:val="1"/>
    </w:lvl>
  </w:abstractNum>
  <w:abstractNum w:abstractNumId="231">
    <w:nsid w:val="65BF9DA8"/>
    <w:multiLevelType w:val="hybridMultilevel"/>
    <w:lvl w:ilvl="0">
      <w:lvlJc w:val="left"/>
      <w:lvlText w:val="(%1)"/>
      <w:numFmt w:val="lowerLetter"/>
      <w:start w:val="3"/>
    </w:lvl>
  </w:abstractNum>
  <w:abstractNum w:abstractNumId="232">
    <w:nsid w:val="21A2ECCA"/>
    <w:multiLevelType w:val="hybridMultilevel"/>
    <w:lvl w:ilvl="0">
      <w:lvlJc w:val="left"/>
      <w:lvlText w:val="%1"/>
      <w:numFmt w:val="lowerLetter"/>
      <w:start w:val="1"/>
    </w:lvl>
    <w:lvl w:ilvl="1">
      <w:lvlJc w:val="left"/>
      <w:lvlText w:val="(%2)"/>
      <w:numFmt w:val="lowerLetter"/>
      <w:start w:val="1"/>
    </w:lvl>
  </w:abstractNum>
  <w:abstractNum w:abstractNumId="233">
    <w:nsid w:val="4D5C4899"/>
    <w:multiLevelType w:val="hybridMultilevel"/>
    <w:lvl w:ilvl="0">
      <w:lvlJc w:val="left"/>
      <w:lvlText w:val="(%1)"/>
      <w:numFmt w:val="lowerLetter"/>
      <w:start w:val="61"/>
    </w:lvl>
    <w:lvl w:ilvl="1">
      <w:lvlJc w:val="left"/>
      <w:lvlText w:val="(%2)"/>
      <w:numFmt w:val="lowerLetter"/>
      <w:start w:val="7"/>
    </w:lvl>
  </w:abstractNum>
  <w:abstractNum w:abstractNumId="234">
    <w:nsid w:val="3C3B72B2"/>
    <w:multiLevelType w:val="hybridMultilevel"/>
    <w:lvl w:ilvl="0">
      <w:lvlJc w:val="left"/>
      <w:lvlText w:val="(%1)"/>
      <w:numFmt w:val="lowerLetter"/>
      <w:start w:val="1"/>
    </w:lvl>
  </w:abstractNum>
  <w:abstractNum w:abstractNumId="235">
    <w:nsid w:val="155EC4C2"/>
    <w:multiLevelType w:val="hybridMultilevel"/>
    <w:lvl w:ilvl="0">
      <w:lvlJc w:val="left"/>
      <w:lvlText w:val="(%1)"/>
      <w:numFmt w:val="lowerLetter"/>
      <w:start w:val="1"/>
    </w:lvl>
  </w:abstractNum>
  <w:abstractNum w:abstractNumId="236">
    <w:nsid w:val="65D2A137"/>
    <w:multiLevelType w:val="hybridMultilevel"/>
    <w:lvl w:ilvl="0">
      <w:lvlJc w:val="left"/>
      <w:lvlText w:val="(%1)"/>
      <w:numFmt w:val="lowerLetter"/>
      <w:start w:val="5"/>
    </w:lvl>
  </w:abstractNum>
  <w:abstractNum w:abstractNumId="237">
    <w:nsid w:val="6EBB1F2A"/>
    <w:multiLevelType w:val="hybridMultilevel"/>
    <w:lvl w:ilvl="0">
      <w:lvlJc w:val="left"/>
      <w:lvlText w:val="(%1)"/>
      <w:numFmt w:val="lowerLetter"/>
      <w:start w:val="1"/>
    </w:lvl>
  </w:abstractNum>
  <w:abstractNum w:abstractNumId="238">
    <w:nsid w:val="6FBF29CB"/>
    <w:multiLevelType w:val="hybridMultilevel"/>
    <w:lvl w:ilvl="0">
      <w:lvlJc w:val="left"/>
      <w:lvlText w:val="(%1)"/>
      <w:numFmt w:val="lowerLetter"/>
      <w:start w:val="2"/>
    </w:lvl>
  </w:abstractNum>
  <w:abstractNum w:abstractNumId="239">
    <w:nsid w:val="550B8808"/>
    <w:multiLevelType w:val="hybridMultilevel"/>
    <w:lvl w:ilvl="0">
      <w:lvlJc w:val="left"/>
      <w:lvlText w:val="(%1)"/>
      <w:numFmt w:val="lowerLetter"/>
      <w:start w:val="3"/>
    </w:lvl>
  </w:abstractNum>
  <w:abstractNum w:abstractNumId="240">
    <w:nsid w:val="34CC3ACF"/>
    <w:multiLevelType w:val="hybridMultilevel"/>
    <w:lvl w:ilvl="0">
      <w:lvlJc w:val="left"/>
      <w:lvlText w:val="(%1)"/>
      <w:numFmt w:val="lowerLetter"/>
      <w:start w:val="35"/>
    </w:lvl>
  </w:abstractNum>
  <w:abstractNum w:abstractNumId="241">
    <w:nsid w:val="4E556261"/>
    <w:multiLevelType w:val="hybridMultilevel"/>
    <w:lvl w:ilvl="0">
      <w:lvlJc w:val="left"/>
      <w:lvlText w:val="%1"/>
      <w:numFmt w:val="lowerLetter"/>
      <w:start w:val="1"/>
    </w:lvl>
    <w:lvl w:ilvl="1">
      <w:lvlJc w:val="left"/>
      <w:lvlText w:val="(%2)"/>
      <w:numFmt w:val="lowerLetter"/>
      <w:start w:val="1"/>
    </w:lvl>
  </w:abstractNum>
  <w:abstractNum w:abstractNumId="242">
    <w:nsid w:val="4C672FC9"/>
    <w:multiLevelType w:val="hybridMultilevel"/>
    <w:lvl w:ilvl="0">
      <w:lvlJc w:val="left"/>
      <w:lvlText w:val="(%1)"/>
      <w:numFmt w:val="lowerLetter"/>
      <w:start w:val="9"/>
    </w:lvl>
    <w:lvl w:ilvl="1">
      <w:lvlJc w:val="left"/>
      <w:lvlText w:val="%2"/>
      <w:numFmt w:val="lowerLetter"/>
      <w:start w:val="1"/>
    </w:lvl>
  </w:abstractNum>
  <w:abstractNum w:abstractNumId="243">
    <w:nsid w:val="52A311C3"/>
    <w:multiLevelType w:val="hybridMultilevel"/>
    <w:lvl w:ilvl="0">
      <w:lvlJc w:val="left"/>
      <w:lvlText w:val="(%1)"/>
      <w:numFmt w:val="lowerLetter"/>
      <w:start w:val="35"/>
    </w:lvl>
    <w:lvl w:ilvl="1">
      <w:lvlJc w:val="left"/>
      <w:lvlText w:val="(%2)"/>
      <w:numFmt w:val="lowerLetter"/>
      <w:start w:val="4"/>
    </w:lvl>
  </w:abstractNum>
  <w:abstractNum w:abstractNumId="244">
    <w:nsid w:val="44EF6B80"/>
    <w:multiLevelType w:val="hybridMultilevel"/>
    <w:lvl w:ilvl="0">
      <w:lvlJc w:val="left"/>
      <w:lvlText w:val="(%1)"/>
      <w:numFmt w:val="lowerRoman"/>
      <w:start w:val="3"/>
    </w:lvl>
  </w:abstractNum>
  <w:abstractNum w:abstractNumId="245">
    <w:nsid w:val="12FCDE5E"/>
    <w:multiLevelType w:val="hybridMultilevel"/>
    <w:lvl w:ilvl="0">
      <w:lvlJc w:val="left"/>
      <w:lvlText w:val="(%1)"/>
      <w:numFmt w:val="lowerLetter"/>
      <w:start w:val="1"/>
    </w:lvl>
  </w:abstractNum>
  <w:abstractNum w:abstractNumId="246">
    <w:nsid w:val="4A1D606E"/>
    <w:multiLevelType w:val="hybridMultilevel"/>
    <w:lvl w:ilvl="0">
      <w:lvlJc w:val="left"/>
      <w:lvlText w:val="(%1)"/>
      <w:numFmt w:val="lowerLetter"/>
      <w:start w:val="9"/>
    </w:lvl>
  </w:abstractNum>
  <w:abstractNum w:abstractNumId="247">
    <w:nsid w:val="4382503"/>
    <w:multiLevelType w:val="hybridMultilevel"/>
    <w:lvl w:ilvl="0">
      <w:lvlJc w:val="left"/>
      <w:lvlText w:val="(%1)"/>
      <w:numFmt w:val="lowerLetter"/>
      <w:start w:val="1"/>
    </w:lvl>
  </w:abstractNum>
  <w:abstractNum w:abstractNumId="248">
    <w:nsid w:val="59B76E28"/>
    <w:multiLevelType w:val="hybridMultilevel"/>
    <w:lvl w:ilvl="0">
      <w:lvlJc w:val="left"/>
      <w:lvlText w:val="(%1)"/>
      <w:numFmt w:val="lowerLetter"/>
      <w:start w:val="2"/>
    </w:lvl>
  </w:abstractNum>
  <w:abstractNum w:abstractNumId="249">
    <w:nsid w:val="4252C2DA"/>
    <w:multiLevelType w:val="hybridMultilevel"/>
    <w:lvl w:ilvl="0">
      <w:lvlJc w:val="left"/>
      <w:lvlText w:val="(%1)"/>
      <w:numFmt w:val="lowerLetter"/>
      <w:start w:val="35"/>
    </w:lvl>
  </w:abstractNum>
  <w:abstractNum w:abstractNumId="250">
    <w:nsid w:val="6A92EF4C"/>
    <w:multiLevelType w:val="hybridMultilevel"/>
    <w:lvl w:ilvl="0">
      <w:lvlJc w:val="left"/>
      <w:lvlText w:val="(%1)"/>
      <w:numFmt w:val="lowerLetter"/>
      <w:start w:val="1"/>
    </w:lvl>
  </w:abstractNum>
  <w:abstractNum w:abstractNumId="251">
    <w:nsid w:val="41ED20D7"/>
    <w:multiLevelType w:val="hybridMultilevel"/>
    <w:lvl w:ilvl="0">
      <w:lvlJc w:val="left"/>
      <w:lvlText w:val="(%1)"/>
      <w:numFmt w:val="lowerLetter"/>
      <w:start w:val="6"/>
    </w:lvl>
  </w:abstractNum>
  <w:abstractNum w:abstractNumId="252">
    <w:nsid w:val="E6B3F6A"/>
    <w:multiLevelType w:val="hybridMultilevel"/>
    <w:lvl w:ilvl="0">
      <w:lvlJc w:val="left"/>
      <w:lvlText w:val="(%1)"/>
      <w:numFmt w:val="lowerLetter"/>
      <w:start w:val="9"/>
    </w:lvl>
  </w:abstractNum>
  <w:abstractNum w:abstractNumId="253">
    <w:nsid w:val="3EB21819"/>
    <w:multiLevelType w:val="hybridMultilevel"/>
    <w:lvl w:ilvl="0">
      <w:lvlJc w:val="left"/>
      <w:lvlText w:val="(%1)"/>
      <w:numFmt w:val="lowerLetter"/>
      <w:start w:val="15"/>
    </w:lvl>
  </w:abstractNum>
  <w:abstractNum w:abstractNumId="254">
    <w:nsid w:val="41531DED"/>
    <w:multiLevelType w:val="hybridMultilevel"/>
    <w:lvl w:ilvl="0">
      <w:lvlJc w:val="left"/>
      <w:lvlText w:val="(%1)"/>
      <w:numFmt w:val="lowerLetter"/>
      <w:start w:val="1"/>
    </w:lvl>
  </w:abstractNum>
  <w:abstractNum w:abstractNumId="255">
    <w:nsid w:val="6353CD2"/>
    <w:multiLevelType w:val="hybridMultilevel"/>
    <w:lvl w:ilvl="0">
      <w:lvlJc w:val="left"/>
      <w:lvlText w:val="(%1)"/>
      <w:numFmt w:val="lowerLetter"/>
      <w:start w:val="2"/>
    </w:lvl>
  </w:abstractNum>
  <w:abstractNum w:abstractNumId="256">
    <w:nsid w:val="683CAAD3"/>
    <w:multiLevelType w:val="hybridMultilevel"/>
    <w:lvl w:ilvl="0">
      <w:lvlJc w:val="left"/>
      <w:lvlText w:val="(%1)"/>
      <w:numFmt w:val="lowerLetter"/>
      <w:start w:val="1"/>
    </w:lvl>
  </w:abstractNum>
  <w:abstractNum w:abstractNumId="257">
    <w:nsid w:val="313C7C99"/>
    <w:multiLevelType w:val="hybridMultilevel"/>
    <w:lvl w:ilvl="0">
      <w:lvlJc w:val="left"/>
      <w:lvlText w:val="(%1)"/>
      <w:numFmt w:val="lowerLetter"/>
      <w:start w:val="2"/>
    </w:lvl>
  </w:abstractNum>
  <w:abstractNum w:abstractNumId="258">
    <w:nsid w:val="519EB94C"/>
    <w:multiLevelType w:val="hybridMultilevel"/>
    <w:lvl w:ilvl="0">
      <w:lvlJc w:val="left"/>
      <w:lvlText w:val="(%1)"/>
      <w:numFmt w:val="lowerLetter"/>
      <w:start w:val="1"/>
    </w:lvl>
  </w:abstractNum>
  <w:abstractNum w:abstractNumId="259">
    <w:nsid w:val="39DF2579"/>
    <w:multiLevelType w:val="hybridMultilevel"/>
    <w:lvl w:ilvl="0">
      <w:lvlJc w:val="left"/>
      <w:lvlText w:val="(%1)"/>
      <w:numFmt w:val="lowerLetter"/>
      <w:start w:val="5"/>
    </w:lvl>
  </w:abstractNum>
  <w:abstractNum w:abstractNumId="260">
    <w:nsid w:val="126E008B"/>
    <w:multiLevelType w:val="hybridMultilevel"/>
    <w:lvl w:ilvl="0">
      <w:lvlJc w:val="left"/>
      <w:lvlText w:val="(%1)"/>
      <w:numFmt w:val="decimal"/>
      <w:start w:val="1"/>
    </w:lvl>
  </w:abstractNum>
  <w:abstractNum w:abstractNumId="261">
    <w:nsid w:val="34DFBC00"/>
    <w:multiLevelType w:val="hybridMultilevel"/>
    <w:lvl w:ilvl="0">
      <w:lvlJc w:val="left"/>
      <w:lvlText w:val="%1"/>
      <w:numFmt w:val="lowerRoman"/>
      <w:start w:val="1"/>
    </w:lvl>
    <w:lvl w:ilvl="1">
      <w:lvlJc w:val="left"/>
      <w:lvlText w:val="(%2)"/>
      <w:numFmt w:val="decimal"/>
      <w:start w:val="2"/>
    </w:lvl>
  </w:abstractNum>
  <w:abstractNum w:abstractNumId="262">
    <w:nsid w:val="1F9EC322"/>
    <w:multiLevelType w:val="hybridMultilevel"/>
    <w:lvl w:ilvl="0">
      <w:lvlJc w:val="left"/>
      <w:lvlText w:val="(%1)"/>
      <w:numFmt w:val="lowerRoman"/>
      <w:start w:val="1"/>
    </w:lvl>
    <w:lvl w:ilvl="1">
      <w:lvlJc w:val="left"/>
      <w:lvlText w:val="%2"/>
      <w:numFmt w:val="decimal"/>
      <w:start w:val="1"/>
    </w:lvl>
  </w:abstractNum>
  <w:abstractNum w:abstractNumId="263">
    <w:nsid w:val="3410ED56"/>
    <w:multiLevelType w:val="hybridMultilevel"/>
    <w:lvl w:ilvl="0">
      <w:lvlJc w:val="left"/>
      <w:lvlText w:val="%1"/>
      <w:numFmt w:val="decimal"/>
      <w:start w:val="1"/>
    </w:lvl>
    <w:lvl w:ilvl="1">
      <w:lvlJc w:val="left"/>
      <w:lvlText w:val="(%2)"/>
      <w:numFmt w:val="upperLetter"/>
      <w:start w:val="1"/>
    </w:lvl>
  </w:abstractNum>
  <w:abstractNum w:abstractNumId="264">
    <w:nsid w:val="23C049A"/>
    <w:multiLevelType w:val="hybridMultilevel"/>
    <w:lvl w:ilvl="0">
      <w:lvlJc w:val="left"/>
      <w:lvlText w:val="(%1)"/>
      <w:numFmt w:val="decimal"/>
      <w:start w:val="5"/>
    </w:lvl>
    <w:lvl w:ilvl="1">
      <w:lvlJc w:val="left"/>
      <w:lvlText w:val="%2"/>
      <w:numFmt w:val="upperLetter"/>
      <w:start w:val="1"/>
    </w:lvl>
  </w:abstractNum>
  <w:abstractNum w:abstractNumId="265">
    <w:nsid w:val="5BDA35D4"/>
    <w:multiLevelType w:val="hybridMultilevel"/>
    <w:lvl w:ilvl="0">
      <w:lvlJc w:val="left"/>
      <w:lvlText w:val="(%1)"/>
      <w:numFmt w:val="lowerLetter"/>
      <w:start w:val="1"/>
    </w:lvl>
  </w:abstractNum>
  <w:abstractNum w:abstractNumId="266">
    <w:nsid w:val="496FB218"/>
    <w:multiLevelType w:val="hybridMultilevel"/>
    <w:lvl w:ilvl="0">
      <w:lvlJc w:val="left"/>
      <w:lvlText w:val="(%1)"/>
      <w:numFmt w:val="lowerLetter"/>
      <w:start w:val="1"/>
    </w:lvl>
  </w:abstractNum>
  <w:abstractNum w:abstractNumId="267">
    <w:nsid w:val="680EA5D1"/>
    <w:multiLevelType w:val="hybridMultilevel"/>
    <w:lvl w:ilvl="0">
      <w:lvlJc w:val="left"/>
      <w:lvlText w:val="(%1)"/>
      <w:numFmt w:val="lowerLetter"/>
      <w:start w:val="1"/>
    </w:lvl>
  </w:abstractNum>
  <w:abstractNum w:abstractNumId="268">
    <w:nsid w:val="4A9554FE"/>
    <w:multiLevelType w:val="hybridMultilevel"/>
    <w:lvl w:ilvl="0">
      <w:lvlJc w:val="left"/>
      <w:lvlText w:val="(%1)"/>
      <w:numFmt w:val="lowerRoman"/>
      <w:start w:val="1"/>
    </w:lvl>
  </w:abstractNum>
  <w:abstractNum w:abstractNumId="269">
    <w:nsid w:val="392EDBE4"/>
    <w:multiLevelType w:val="hybridMultilevel"/>
    <w:lvl w:ilvl="0">
      <w:lvlJc w:val="left"/>
      <w:lvlText w:val="(%1)"/>
      <w:numFmt w:val="lowerRoman"/>
      <w:start w:val="1"/>
    </w:lvl>
  </w:abstractNum>
  <w:abstractNum w:abstractNumId="270">
    <w:nsid w:val="3D1A2DD9"/>
    <w:multiLevelType w:val="hybridMultilevel"/>
    <w:lvl w:ilvl="0">
      <w:lvlJc w:val="left"/>
      <w:lvlText w:val="(%1)"/>
      <w:numFmt w:val="lowerRoman"/>
      <w:start w:val="3"/>
    </w:lvl>
  </w:abstractNum>
  <w:abstractNum w:abstractNumId="271">
    <w:nsid w:val="7F618FCD"/>
    <w:multiLevelType w:val="hybridMultilevel"/>
    <w:lvl w:ilvl="0">
      <w:lvlJc w:val="left"/>
      <w:lvlText w:val="(%1)"/>
      <w:numFmt w:val="lowerLetter"/>
      <w:start w:val="5"/>
    </w:lvl>
  </w:abstractNum>
  <w:abstractNum w:abstractNumId="272">
    <w:nsid w:val="7843E45"/>
    <w:multiLevelType w:val="hybridMultilevel"/>
    <w:lvl w:ilvl="0">
      <w:lvlJc w:val="left"/>
      <w:lvlText w:val="(%1)"/>
      <w:numFmt w:val="lowerLetter"/>
      <w:start w:val="1"/>
    </w:lvl>
  </w:abstractNum>
  <w:abstractNum w:abstractNumId="273">
    <w:nsid w:val="9815DA3"/>
    <w:multiLevelType w:val="hybridMultilevel"/>
    <w:lvl w:ilvl="0">
      <w:lvlJc w:val="left"/>
      <w:lvlText w:val="(%1)"/>
      <w:numFmt w:val="lowerRoman"/>
      <w:start w:val="3"/>
    </w:lvl>
  </w:abstractNum>
  <w:abstractNum w:abstractNumId="274">
    <w:nsid w:val="5204A191"/>
    <w:multiLevelType w:val="hybridMultilevel"/>
    <w:lvl w:ilvl="0">
      <w:lvlJc w:val="left"/>
      <w:lvlText w:val="(%1)"/>
      <w:numFmt w:val="lowerRoman"/>
      <w:start w:val="1"/>
    </w:lvl>
  </w:abstractNum>
  <w:abstractNum w:abstractNumId="275">
    <w:nsid w:val="4C73A9C6"/>
    <w:multiLevelType w:val="hybridMultilevel"/>
    <w:lvl w:ilvl="0">
      <w:lvlJc w:val="left"/>
      <w:lvlText w:val="(%1)"/>
      <w:numFmt w:val="lowerRoman"/>
      <w:start w:val="8"/>
    </w:lvl>
  </w:abstractNum>
  <w:abstractNum w:abstractNumId="276">
    <w:nsid w:val="1C7E3C01"/>
    <w:multiLevelType w:val="hybridMultilevel"/>
    <w:lvl w:ilvl="0">
      <w:lvlJc w:val="left"/>
      <w:lvlText w:val="(%1)"/>
      <w:numFmt w:val="lowerLetter"/>
      <w:start w:val="1"/>
    </w:lvl>
  </w:abstractNum>
  <w:abstractNum w:abstractNumId="277">
    <w:nsid w:val="1C2201FF"/>
    <w:multiLevelType w:val="hybridMultilevel"/>
    <w:lvl w:ilvl="0">
      <w:lvlJc w:val="left"/>
      <w:lvlText w:val="(%1)"/>
      <w:numFmt w:val="lowerLetter"/>
      <w:start w:val="8"/>
    </w:lvl>
  </w:abstractNum>
  <w:abstractNum w:abstractNumId="278">
    <w:nsid w:val="50ABCEC9"/>
    <w:multiLevelType w:val="hybridMultilevel"/>
    <w:lvl w:ilvl="0">
      <w:lvlJc w:val="left"/>
      <w:lvlText w:val="(%1)"/>
      <w:numFmt w:val="lowerRoman"/>
      <w:start w:val="2"/>
    </w:lvl>
  </w:abstractNum>
  <w:abstractNum w:abstractNumId="279">
    <w:nsid w:val="7635AA2A"/>
    <w:multiLevelType w:val="hybridMultilevel"/>
    <w:lvl w:ilvl="0">
      <w:lvlJc w:val="left"/>
      <w:lvlText w:val="(%1)"/>
      <w:numFmt w:val="lowerRoman"/>
      <w:start w:val="1"/>
    </w:lvl>
  </w:abstractNum>
  <w:abstractNum w:abstractNumId="280">
    <w:nsid w:val="5E74C4D9"/>
    <w:multiLevelType w:val="hybridMultilevel"/>
    <w:lvl w:ilvl="0">
      <w:lvlJc w:val="left"/>
      <w:lvlText w:val="%1."/>
      <w:numFmt w:val="decimal"/>
      <w:start w:val="1"/>
    </w:lvl>
    <w:lvl w:ilvl="1">
      <w:lvlJc w:val="left"/>
      <w:lvlText w:val="(%2)"/>
      <w:numFmt w:val="lowerLetter"/>
      <w:start w:val="1"/>
    </w:lvl>
  </w:abstractNum>
  <w:abstractNum w:abstractNumId="281">
    <w:nsid w:val="3B3EBE15"/>
    <w:multiLevelType w:val="hybridMultilevel"/>
    <w:lvl w:ilvl="0">
      <w:lvlJc w:val="left"/>
      <w:lvlText w:val="%1"/>
      <w:numFmt w:val="decimal"/>
      <w:start w:val="1"/>
    </w:lvl>
    <w:lvl w:ilvl="1">
      <w:lvlJc w:val="left"/>
      <w:lvlText w:val="(%2)"/>
      <w:numFmt w:val="lowerLetter"/>
      <w:start w:val="2"/>
    </w:lvl>
  </w:abstractNum>
  <w:abstractNum w:abstractNumId="282">
    <w:nsid w:val="3822CB01"/>
    <w:multiLevelType w:val="hybridMultilevel"/>
    <w:lvl w:ilvl="0">
      <w:lvlJc w:val="left"/>
      <w:lvlText w:val="%1."/>
      <w:numFmt w:val="decimal"/>
      <w:start w:val="2"/>
    </w:lvl>
    <w:lvl w:ilvl="1">
      <w:lvlJc w:val="left"/>
      <w:lvlText w:val="(%2)"/>
      <w:numFmt w:val="lowerLetter"/>
      <w:start w:val="1"/>
    </w:lvl>
  </w:abstractNum>
  <w:abstractNum w:abstractNumId="283">
    <w:nsid w:val="6CE00443"/>
    <w:multiLevelType w:val="hybridMultilevel"/>
    <w:lvl w:ilvl="0">
      <w:lvlJc w:val="left"/>
      <w:lvlText w:val="%1"/>
      <w:numFmt w:val="lowerLetter"/>
      <w:start w:val="1"/>
    </w:lvl>
    <w:lvl w:ilvl="1">
      <w:lvlJc w:val="left"/>
      <w:lvlText w:val="(%2)"/>
      <w:numFmt w:val="lowerLetter"/>
      <w:start w:val="3"/>
    </w:lvl>
  </w:abstractNum>
  <w:abstractNum w:abstractNumId="284">
    <w:nsid w:val="79F0D62F"/>
    <w:multiLevelType w:val="hybridMultilevel"/>
    <w:lvl w:ilvl="0">
      <w:lvlJc w:val="left"/>
      <w:lvlText w:val="(%1)"/>
      <w:numFmt w:val="lowerLetter"/>
      <w:start w:val="35"/>
    </w:lvl>
    <w:lvl w:ilvl="1">
      <w:lvlJc w:val="left"/>
      <w:lvlText w:val="%2"/>
      <w:numFmt w:val="lowerLetter"/>
      <w:start w:val="1"/>
    </w:lvl>
  </w:abstractNum>
  <w:abstractNum w:abstractNumId="285">
    <w:nsid w:val="7975E8EE"/>
    <w:multiLevelType w:val="hybridMultilevel"/>
    <w:lvl w:ilvl="0">
      <w:lvlJc w:val="left"/>
      <w:lvlText w:val="%1."/>
      <w:numFmt w:val="decimal"/>
      <w:start w:val="4"/>
    </w:lvl>
  </w:abstractNum>
  <w:abstractNum w:abstractNumId="286">
    <w:nsid w:val="73154115"/>
    <w:multiLevelType w:val="hybridMultilevel"/>
    <w:lvl w:ilvl="0">
      <w:lvlJc w:val="left"/>
      <w:lvlText w:val="%1."/>
      <w:numFmt w:val="decimal"/>
      <w:start w:val="5"/>
    </w:lvl>
  </w:abstractNum>
  <w:abstractNum w:abstractNumId="287">
    <w:nsid w:val="622D8102"/>
    <w:multiLevelType w:val="hybridMultilevel"/>
    <w:lvl w:ilvl="0">
      <w:lvlJc w:val="left"/>
      <w:lvlText w:val="%1."/>
      <w:numFmt w:val="decimal"/>
      <w:start w:val="7"/>
    </w:lvl>
  </w:abstractNum>
  <w:abstractNum w:abstractNumId="288">
    <w:nsid w:val="2AB26587"/>
    <w:multiLevelType w:val="hybridMultilevel"/>
    <w:lvl w:ilvl="0">
      <w:lvlJc w:val="left"/>
      <w:lvlText w:val="%1)"/>
      <w:numFmt w:val="lowerLetter"/>
      <w:start w:val="1"/>
    </w:lvl>
  </w:abstractNum>
  <w:abstractNum w:abstractNumId="289">
    <w:nsid w:val="44B3FA61"/>
    <w:multiLevelType w:val="hybridMultilevel"/>
    <w:lvl w:ilvl="0">
      <w:lvlJc w:val="left"/>
      <w:lvlText w:val="(%1)"/>
      <w:numFmt w:val="lowerRoman"/>
      <w:start w:val="2"/>
    </w:lvl>
  </w:abstractNum>
  <w:abstractNum w:abstractNumId="290">
    <w:nsid w:val="1C0CA67C"/>
    <w:multiLevelType w:val="hybridMultilevel"/>
    <w:lvl w:ilvl="0">
      <w:lvlJc w:val="left"/>
      <w:lvlText w:val="(%1)"/>
      <w:numFmt w:val="lowerRoman"/>
      <w:start w:val="2"/>
    </w:lvl>
  </w:abstractNum>
  <w:abstractNum w:abstractNumId="291">
    <w:nsid w:val="3D206613"/>
    <w:multiLevelType w:val="hybridMultilevel"/>
    <w:lvl w:ilvl="0">
      <w:lvlJc w:val="left"/>
      <w:lvlText w:val="%1."/>
      <w:numFmt w:val="decimal"/>
      <w:start w:val="1"/>
    </w:lvl>
  </w:abstractNum>
  <w:abstractNum w:abstractNumId="292">
    <w:nsid w:val="7993B662"/>
    <w:multiLevelType w:val="hybridMultilevel"/>
    <w:lvl w:ilvl="0">
      <w:lvlJc w:val="left"/>
      <w:lvlText w:val="(%1)"/>
      <w:numFmt w:val="lowerLetter"/>
      <w:start w:val="1"/>
    </w:lvl>
  </w:abstractNum>
  <w:abstractNum w:abstractNumId="293">
    <w:nsid w:val="3BAB699E"/>
    <w:multiLevelType w:val="hybridMultilevel"/>
    <w:lvl w:ilvl="0">
      <w:lvlJc w:val="left"/>
      <w:lvlText w:val="%1."/>
      <w:numFmt w:val="decimal"/>
      <w:start w:val="2"/>
    </w:lvl>
  </w:abstractNum>
  <w:abstractNum w:abstractNumId="294">
    <w:nsid w:val="71315369"/>
    <w:multiLevelType w:val="hybridMultilevel"/>
    <w:lvl w:ilvl="0">
      <w:lvlJc w:val="left"/>
      <w:lvlText w:val="*"/>
      <w:numFmt w:val="bullet"/>
      <w:start w:val="1"/>
    </w:lvl>
  </w:abstractNum>
  <w:abstractNum w:abstractNumId="295">
    <w:nsid w:val="7BCFBAFC"/>
    <w:multiLevelType w:val="hybridMultilevel"/>
    <w:lvl w:ilvl="0">
      <w:lvlJc w:val="left"/>
      <w:lvlText w:val="1"/>
      <w:numFmt w:val="bullet"/>
      <w:start w:val="1"/>
    </w:lvl>
  </w:abstractNum>
  <w:abstractNum w:abstractNumId="296">
    <w:nsid w:val="17859F72"/>
    <w:multiLevelType w:val="hybridMultilevel"/>
    <w:lvl w:ilvl="0">
      <w:lvlJc w:val="left"/>
      <w:lvlText w:val="2"/>
      <w:numFmt w:val="bullet"/>
      <w:start w:val="1"/>
    </w:lvl>
  </w:abstractNum>
  <w:abstractNum w:abstractNumId="297">
    <w:nsid w:val="3AA1058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2021-07-12T23:08:22Z</dcterms:created>
  <dcterms:modified xsi:type="dcterms:W3CDTF">2021-07-12T23:08:22Z</dcterms:modified>
</cp:coreProperties>
</file>