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Executive Officer</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June 29, 2026, Rani Therapeutics Holdings, Inc. (the “Company”) announced the appointment of Nicholas M. Maestas as the Company’s Chief Financial Officer (principal financial officer and principal accounting officer) effective as of June 29, 2026. Mr. Maestas succeeds Svai Sanford as the Company’s Chief Financial Officer, who the Company previously announced would be stepping down upon the appointment of his successor.</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Mr. Maestas, age 46, most recently served as the Chief Financial Officer and Head of Corporate Strategy of Tempest Therapeutics, Inc., a biotechnology company (“Tempest”) from January 2025 until June 2026, having previously served as Vice President, Finance and Strategy of Tempest from July 2021 through December 2024, and as its Corporate Secretary since September 2022. From July 2019 to July 2021, Mr. Maestas served as the head of FP&amp;A and strategic finance at Alector, a biopharmaceutical company. From November 2014 to July 2019, Mr. Maestas served in a variety of roles at Immune Design, an oncology immunotherapy company that was acquired by Merck &amp; Co in 2019, including as Senior Director, Corporate Development</w:t>
      </w:r>
    </w:p>
    <w:p>
      <w:pPr>
        <w:spacing w:after="0" w:line="3" w:lineRule="exact"/>
        <w:rPr>
          <w:sz w:val="20"/>
          <w:szCs w:val="20"/>
          <w:color w:val="auto"/>
        </w:rPr>
      </w:pPr>
    </w:p>
    <w:p>
      <w:pPr>
        <w:ind w:firstLine="8"/>
        <w:spacing w:after="0" w:line="260" w:lineRule="auto"/>
        <w:tabs>
          <w:tab w:leader="none" w:pos="1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w:t>
      </w:r>
    </w:p>
    <w:p>
      <w:pPr>
        <w:spacing w:after="0" w:line="1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Maestas and any other person pursuant to which he was selected as an officer of the Company, and there is no family relationship between Mr. Maestas and any of the Company’s other directors or executive officers.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Pursuant to an offer letter, dated June 24, 2026, Mr. Maestas’ annual base salary will be $500,000 and he will be eligible to earn an annual bonus with a target equal to 75% of his base salary. In addition, Mr. Maestas will be granted a non-qualified option to purchase 2,000,000 shares of the Company’s Class A common stock under the Company’s 2026 Equity Inducement Plan (the “Inducement Plan”). The option will vest over a four-year period, with 25% of the shares subject to the option vesting on the one year anniversary of the date of his commencement of employment, and the remaining shares vesting equally over the following 36 months of continuous service. Mr. Maestas will also be eligible to participate in the Company’s Severance and Change in Control Plan (the “Severance Plan”), and the Participation Agreement under the Severance Plan, which are filed as Exhibits 10.8 and 10.9, respectively, to the Company’s Registration Statement on Form S-1 filed with the Securities and Exchange Commission (the “SEC”) on July 9, 2021. In addition, Mr. Maestas will enter into the Company’s standard form of indemnification agreement which is filed as Exhibit 10.4 to the Company’s Registration Statement on Form S-1 filed with the SEC on July 9, 2021.</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not complete and is qualified in its entirety by reference to the offer letter, filed as Exhibit 10.1 to this Current Report on Form 8-K.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Equity Inducement Plan</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June 28, 2026, the Company’s Board of Directors approved the Inducement Plan, and reserved 5,500,000 shares of its Class A common stock to be used exclusively for grants of inducement awards to individuals who were not previously employees or directors of the Company, other than following a bona fide period of non-employment, as an inducement material to the individual’s entry into employment with the Company within the meaning of Rule 5635(c)(4). As permitted by Nasdaq Rule 5635(c)(4), the Company’s stockholders are not required to approve the Inducement Plan. The terms and conditions of the Inducement Plan and the inducement awards to be granted thereunder are substantially similar to the Company’s stockholder-approved 2021 Equity Incentive Plan.</w:t>
      </w:r>
    </w:p>
    <w:p>
      <w:pPr>
        <w:spacing w:after="0" w:line="187" w:lineRule="exact"/>
        <w:rPr>
          <w:sz w:val="20"/>
          <w:szCs w:val="20"/>
          <w:color w:val="auto"/>
        </w:rPr>
      </w:pPr>
    </w:p>
    <w:p>
      <w:pPr>
        <w:jc w:val="both"/>
        <w:ind w:right="260" w:firstLine="3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Inducement Plan is not intended to be complete and is qualified in its entirety by reference to the Inducement Plan and the form of stock option agreement adopted under the Inducement Plan, copies of which are filed hereto as Exhibits 10.2 and 10.3, respectively,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10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4"/>
                <w:szCs w:val="14"/>
                <w:color w:val="auto"/>
              </w:rPr>
            </w:pPr>
          </w:p>
        </w:tc>
        <w:tc>
          <w:tcPr>
            <w:tcW w:w="102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Offer Letter, by and between Rani Therapeutics LLC and Nicholas Maestas dated June 24, 2026</w:t>
            </w:r>
          </w:p>
        </w:tc>
      </w:tr>
      <w:tr>
        <w:trPr>
          <w:trHeight w:val="196"/>
        </w:trPr>
        <w:tc>
          <w:tcPr>
            <w:tcW w:w="80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7"/>
                <w:szCs w:val="17"/>
                <w:color w:val="auto"/>
              </w:rPr>
            </w:pPr>
          </w:p>
        </w:tc>
        <w:tc>
          <w:tcPr>
            <w:tcW w:w="69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Rani Therapeutics Holdings, Inc. 2026 Equity Inducement Plan</w:t>
            </w:r>
          </w:p>
        </w:tc>
        <w:tc>
          <w:tcPr>
            <w:tcW w:w="328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80" w:type="dxa"/>
            <w:vAlign w:val="bottom"/>
            <w:tcBorders>
              <w:right w:val="single" w:sz="8" w:color="0000EE"/>
            </w:tcBorders>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0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17"/>
                <w:szCs w:val="17"/>
                <w:color w:val="auto"/>
              </w:rPr>
            </w:pPr>
          </w:p>
        </w:tc>
        <w:tc>
          <w:tcPr>
            <w:tcW w:w="10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Form of Stock Option Agreement under Rani Therapeutics Holdings, Inc. 2026 Equity Inducement Plan</w:t>
            </w:r>
          </w:p>
        </w:tc>
      </w:tr>
      <w:tr>
        <w:trPr>
          <w:trHeight w:val="1215"/>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580" w:type="dxa"/>
            <w:vAlign w:val="bottom"/>
            <w:tcBorders>
              <w:top w:val="single" w:sz="8" w:color="0000FF"/>
              <w:bottom w:val="single" w:sz="8" w:color="9A9A9A"/>
            </w:tcBorders>
          </w:tcPr>
          <w:p>
            <w:pPr>
              <w:spacing w:after="0"/>
              <w:rPr>
                <w:sz w:val="24"/>
                <w:szCs w:val="24"/>
                <w:color w:val="auto"/>
              </w:rPr>
            </w:pPr>
          </w:p>
        </w:tc>
        <w:tc>
          <w:tcPr>
            <w:tcW w:w="234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RANI THERAPEUTICS,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Nicholas M. Maestas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Offer of Employment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Nicholas:</w:t>
      </w:r>
    </w:p>
    <w:p>
      <w:pPr>
        <w:spacing w:after="0" w:line="225"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RANI THERAPEUTICS, LLC </w:t>
      </w:r>
      <w:r>
        <w:rPr>
          <w:rFonts w:ascii="Times New Roman" w:cs="Times New Roman" w:eastAsia="Times New Roman" w:hAnsi="Times New Roman"/>
          <w:sz w:val="20"/>
          <w:szCs w:val="20"/>
          <w:color w:val="auto"/>
        </w:rPr>
        <w:t>(the “Company”) is pleased to offer you employment on the terms and conditions set forth in this letter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“Agreement”).</w:t>
      </w:r>
    </w:p>
    <w:p>
      <w:pPr>
        <w:spacing w:after="0" w:line="165"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MPLOYMENT BY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employment with the Company as Chief Financial Officer will start on June 29, 2026.</w:t>
      </w:r>
    </w:p>
    <w:p>
      <w:pPr>
        <w:spacing w:after="0" w:line="229" w:lineRule="exact"/>
        <w:rPr>
          <w:rFonts w:ascii="Times New Roman" w:cs="Times New Roman" w:eastAsia="Times New Roman" w:hAnsi="Times New Roman"/>
          <w:sz w:val="20"/>
          <w:szCs w:val="20"/>
          <w:b w:val="1"/>
          <w:bCs w:val="1"/>
          <w:color w:val="auto"/>
        </w:rPr>
      </w:pPr>
    </w:p>
    <w:p>
      <w:pPr>
        <w:ind w:right="80" w:firstLine="8"/>
        <w:spacing w:after="0" w:line="243" w:lineRule="auto"/>
        <w:tabs>
          <w:tab w:leader="none" w:pos="291"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Duties and Location</w:t>
      </w:r>
      <w:r>
        <w:rPr>
          <w:rFonts w:ascii="Times New Roman" w:cs="Times New Roman" w:eastAsia="Times New Roman" w:hAnsi="Times New Roman"/>
          <w:sz w:val="20"/>
          <w:szCs w:val="20"/>
          <w:color w:val="auto"/>
        </w:rPr>
        <w:t>. You will be responsible for duties and responsibilities as are customary for the position of Chief Financial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 may be directed by the CEO of the Company, to whom you will report. You will have the authority to make design and hiring decisions that fall directly within the scope of your responsibilities as Chief Financial Officer, subject to Company policies and practices and the corporate goals, budget and directives established by the CEO and/or Board. Notwithstanding the foregoing, the CEO and/or the Board retain the ability to provide input and make decisions on design and hiring at all times. Your primary office location will be the Company’s offices in Fremont,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99" w:lineRule="exact"/>
        <w:rPr>
          <w:rFonts w:ascii="Times New Roman" w:cs="Times New Roman" w:eastAsia="Times New Roman" w:hAnsi="Times New Roman"/>
          <w:sz w:val="20"/>
          <w:szCs w:val="20"/>
          <w:b w:val="1"/>
          <w:bCs w:val="1"/>
          <w:color w:val="auto"/>
        </w:rPr>
      </w:pPr>
    </w:p>
    <w:p>
      <w:pPr>
        <w:ind w:right="20" w:firstLine="8"/>
        <w:spacing w:after="0" w:line="244" w:lineRule="auto"/>
        <w:tabs>
          <w:tab w:leader="none" w:pos="26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Outside Activities</w:t>
      </w:r>
      <w:r>
        <w:rPr>
          <w:rFonts w:ascii="Times New Roman" w:cs="Times New Roman" w:eastAsia="Times New Roman" w:hAnsi="Times New Roman"/>
          <w:sz w:val="20"/>
          <w:szCs w:val="20"/>
          <w:color w:val="auto"/>
        </w:rPr>
        <w:t>. Throughout your employment with the Company, you may engage in civic and not-for-profit activities so long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95"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OMPENSATION AND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0" w:firstLine="8"/>
        <w:spacing w:after="0" w:line="276" w:lineRule="auto"/>
        <w:tabs>
          <w:tab w:leader="none" w:pos="280"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Base Salary</w:t>
      </w:r>
      <w:r>
        <w:rPr>
          <w:rFonts w:ascii="Times New Roman" w:cs="Times New Roman" w:eastAsia="Times New Roman" w:hAnsi="Times New Roman"/>
          <w:sz w:val="19"/>
          <w:szCs w:val="19"/>
          <w:color w:val="auto"/>
        </w:rPr>
        <w:t>. Your base salary will be $500,000.00 per year and will be paid on the Company’s ordinary payroll cycle, less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64" w:lineRule="exact"/>
        <w:rPr>
          <w:rFonts w:ascii="Times New Roman" w:cs="Times New Roman" w:eastAsia="Times New Roman" w:hAnsi="Times New Roman"/>
          <w:sz w:val="19"/>
          <w:szCs w:val="19"/>
          <w:b w:val="1"/>
          <w:bCs w:val="1"/>
          <w:color w:val="auto"/>
        </w:rPr>
      </w:pPr>
    </w:p>
    <w:p>
      <w:pPr>
        <w:ind w:firstLine="8"/>
        <w:spacing w:after="0" w:line="250" w:lineRule="auto"/>
        <w:tabs>
          <w:tab w:leader="none" w:pos="291"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full-time employee, you will be eligible to participate in the Company’s standard employee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offered 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89" w:lineRule="exact"/>
        <w:rPr>
          <w:rFonts w:ascii="Times New Roman" w:cs="Times New Roman" w:eastAsia="Times New Roman" w:hAnsi="Times New Roman"/>
          <w:sz w:val="20"/>
          <w:szCs w:val="20"/>
          <w:b w:val="1"/>
          <w:bCs w:val="1"/>
          <w:color w:val="auto"/>
        </w:rPr>
      </w:pPr>
    </w:p>
    <w:p>
      <w:pPr>
        <w:ind w:right="80" w:firstLine="8"/>
        <w:spacing w:after="0" w:line="246" w:lineRule="auto"/>
        <w:tabs>
          <w:tab w:leader="none" w:pos="269"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Bonus</w:t>
      </w:r>
      <w:r>
        <w:rPr>
          <w:rFonts w:ascii="Times New Roman" w:cs="Times New Roman" w:eastAsia="Times New Roman" w:hAnsi="Times New Roman"/>
          <w:sz w:val="20"/>
          <w:szCs w:val="20"/>
          <w:color w:val="auto"/>
        </w:rPr>
        <w:t>. Each year, you will be eligible to earn an annual bonus, with a target equal to 75% of your annual base salary.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receive a bonus, and the amount of any such bonus, will be determined by the Board of Directors of Rani Therapeutics Holdings, Inc. (the “Board”)(or the Compensation Committee thereof) in its sole discretion, and will be based upon achievement of corporate objectives to be determined by the Company, as well as such other criteria as determined by the Company. Any annual bonus shall be paid within 30 days after the Company’s determination that a bonus shall be awarded, subject to your continued employment through such payment date. You must be employed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ind w:right="260"/>
        <w:spacing w:after="0" w:line="269" w:lineRule="auto"/>
        <w:rPr>
          <w:sz w:val="20"/>
          <w:szCs w:val="20"/>
          <w:color w:val="auto"/>
        </w:rPr>
      </w:pPr>
      <w:r>
        <w:rPr>
          <w:rFonts w:ascii="Times New Roman" w:cs="Times New Roman" w:eastAsia="Times New Roman" w:hAnsi="Times New Roman"/>
          <w:sz w:val="20"/>
          <w:szCs w:val="20"/>
          <w:color w:val="auto"/>
        </w:rPr>
        <w:t>date any bonus is paid in order to earn the bonus. Therefore, if your employment ends for any reason before the bonus is paid, you will not receive any bonus, including any prorated bonus.</w:t>
      </w:r>
    </w:p>
    <w:p>
      <w:pPr>
        <w:spacing w:after="0" w:line="169" w:lineRule="exact"/>
        <w:rPr>
          <w:sz w:val="20"/>
          <w:szCs w:val="20"/>
          <w:color w:val="auto"/>
        </w:rPr>
      </w:pPr>
    </w:p>
    <w:p>
      <w:pPr>
        <w:ind w:right="80" w:firstLine="8"/>
        <w:spacing w:after="0" w:line="242" w:lineRule="auto"/>
        <w:tabs>
          <w:tab w:leader="none" w:pos="291"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Compensation</w:t>
      </w:r>
      <w:r>
        <w:rPr>
          <w:rFonts w:ascii="Times New Roman" w:cs="Times New Roman" w:eastAsia="Times New Roman" w:hAnsi="Times New Roman"/>
          <w:sz w:val="20"/>
          <w:szCs w:val="20"/>
          <w:color w:val="auto"/>
        </w:rPr>
        <w:t>. As a material inducement to your acceptance of this offer of employment, subject to approval by the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Committee of the Board, following your start date with us, the Company will grant you a non-qualified option to purchase 2,000,000 shares of the Company’s Class A common stock (the “Option”) with an exercise price per share equal to the closing price of the Class A common stock of the Company on the date of grant of such Option. The Option shall vest over a four-year period, with one quarter (1/4) of the shares subject to the Option vesting on the one year anniversary of your date of commencement of employment, and the remaining shares vesting equally over the following thirty-six (36) months of continuous service. The Company understands that you would not accept employment with the Company but for the granting of this inducement award. The Option shall be issued pursuant to the terms and conditions of the Company’s 2026 Inducement Plan (the “Plan”) approved by the Board pursuant to the “inducement grant exception” provided under Nasdaq Market Place Rule 5635(c)(4) and Nasdaq IM-5635-1 and shall be governed in all respects by the terms of the Plan, the grant notices and the option agreements thereunder. In addition, you may be eligible for future option grants. The Company will evaluate whether to provide additional option grants annually and will determine whether to provide such grants based upon Company and individual performance, and any other factors the Company deems relevant, in its sole discretion. In all circumstances, any future option grants are subject to approval by the Board.</w:t>
      </w:r>
    </w:p>
    <w:p>
      <w:pPr>
        <w:spacing w:after="0" w:line="198" w:lineRule="exact"/>
        <w:rPr>
          <w:rFonts w:ascii="Times New Roman" w:cs="Times New Roman" w:eastAsia="Times New Roman" w:hAnsi="Times New Roman"/>
          <w:sz w:val="20"/>
          <w:szCs w:val="20"/>
          <w:b w:val="1"/>
          <w:bCs w:val="1"/>
          <w:color w:val="auto"/>
        </w:rPr>
      </w:pPr>
    </w:p>
    <w:p>
      <w:pPr>
        <w:ind w:right="240" w:firstLine="8"/>
        <w:spacing w:after="0" w:line="256" w:lineRule="auto"/>
        <w:tabs>
          <w:tab w:leader="none" w:pos="269"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 and Change in Control Benefit Plan</w:t>
      </w:r>
      <w:r>
        <w:rPr>
          <w:rFonts w:ascii="Times New Roman" w:cs="Times New Roman" w:eastAsia="Times New Roman" w:hAnsi="Times New Roman"/>
          <w:sz w:val="20"/>
          <w:szCs w:val="20"/>
          <w:color w:val="auto"/>
        </w:rPr>
        <w:t>. You will be eligible to participate in the Rani Therapeutics Holdings, Inc.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Change in Control Plan (the “Severance Plan”) subject to the terms and conditions of the Severance Plan and your Participation Agreement (as defined in the Severance Plan).</w:t>
      </w:r>
    </w:p>
    <w:p>
      <w:pPr>
        <w:spacing w:after="0" w:line="182" w:lineRule="exact"/>
        <w:rPr>
          <w:rFonts w:ascii="Times New Roman" w:cs="Times New Roman" w:eastAsia="Times New Roman" w:hAnsi="Times New Roman"/>
          <w:sz w:val="20"/>
          <w:szCs w:val="20"/>
          <w:b w:val="1"/>
          <w:bCs w:val="1"/>
          <w:color w:val="auto"/>
        </w:rPr>
      </w:pPr>
    </w:p>
    <w:p>
      <w:pPr>
        <w:jc w:val="both"/>
        <w:ind w:right="60" w:firstLine="8"/>
        <w:spacing w:after="0" w:line="256" w:lineRule="auto"/>
        <w:tabs>
          <w:tab w:leader="none" w:pos="247"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The Company will reimburse you for reasonable travel, entertainment or other expenses incurred by you in furtherance of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performance of your duties hereunder, in accordance with the Company’s expense reimbursement policies and practices as in effect from time to time.</w:t>
      </w:r>
    </w:p>
    <w:p>
      <w:pPr>
        <w:spacing w:after="0" w:line="182" w:lineRule="exact"/>
        <w:rPr>
          <w:sz w:val="20"/>
          <w:szCs w:val="20"/>
          <w:color w:val="auto"/>
        </w:rPr>
      </w:pPr>
    </w:p>
    <w:p>
      <w:pPr>
        <w:ind w:right="240" w:firstLine="8"/>
        <w:spacing w:after="0" w:line="256" w:lineRule="auto"/>
        <w:tabs>
          <w:tab w:leader="none" w:pos="198"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ONFIDENTIAL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color w:val="auto"/>
        </w:rPr>
        <w:t>. As a Company employee, you will be expected to continue to abide by Company rules and policies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those rules and policies regarding the protection of the Company’s confidential information. You are also required to execute the Company’s standard form of Confidentiality Agreement, to be provided to you.</w:t>
      </w:r>
    </w:p>
    <w:p>
      <w:pPr>
        <w:spacing w:after="0" w:line="182" w:lineRule="exact"/>
        <w:rPr>
          <w:rFonts w:ascii="Times New Roman" w:cs="Times New Roman" w:eastAsia="Times New Roman" w:hAnsi="Times New Roman"/>
          <w:sz w:val="20"/>
          <w:szCs w:val="20"/>
          <w:b w:val="1"/>
          <w:bCs w:val="1"/>
          <w:color w:val="auto"/>
        </w:rPr>
      </w:pPr>
    </w:p>
    <w:p>
      <w:pPr>
        <w:ind w:right="240" w:firstLine="8"/>
        <w:spacing w:after="0" w:line="256" w:lineRule="auto"/>
        <w:tabs>
          <w:tab w:leader="none" w:pos="198"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6"/>
          <w:szCs w:val="16"/>
          <w:b w:val="1"/>
          <w:bCs w:val="1"/>
          <w:color w:val="auto"/>
        </w:rPr>
        <w:t>ILL</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MPLOYMENT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ELATIONSHIP</w:t>
      </w:r>
      <w:r>
        <w:rPr>
          <w:rFonts w:ascii="Times New Roman" w:cs="Times New Roman" w:eastAsia="Times New Roman" w:hAnsi="Times New Roman"/>
          <w:sz w:val="20"/>
          <w:szCs w:val="20"/>
          <w:color w:val="auto"/>
        </w:rPr>
        <w:t>. Your employment relationship with the Company is at will. Accordingly, you may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with the Company at any time and for any reason whatsoever simply by notifying the Company; and the Company may terminate your employment at any time, with or without cause or advance notice.</w:t>
      </w:r>
    </w:p>
    <w:p>
      <w:pPr>
        <w:spacing w:after="0" w:line="182" w:lineRule="exact"/>
        <w:rPr>
          <w:rFonts w:ascii="Times New Roman" w:cs="Times New Roman" w:eastAsia="Times New Roman" w:hAnsi="Times New Roman"/>
          <w:sz w:val="20"/>
          <w:szCs w:val="20"/>
          <w:b w:val="1"/>
          <w:bCs w:val="1"/>
          <w:color w:val="auto"/>
        </w:rPr>
      </w:pPr>
    </w:p>
    <w:p>
      <w:pPr>
        <w:ind w:right="40" w:firstLine="8"/>
        <w:spacing w:after="0" w:line="243" w:lineRule="auto"/>
        <w:tabs>
          <w:tab w:leader="none" w:pos="198"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OMPLIANCE</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 OR</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XEMPTION</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ROM</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409A</w:t>
      </w:r>
      <w:r>
        <w:rPr>
          <w:rFonts w:ascii="Times New Roman" w:cs="Times New Roman" w:eastAsia="Times New Roman" w:hAnsi="Times New Roman"/>
          <w:sz w:val="20"/>
          <w:szCs w:val="20"/>
          <w:color w:val="auto"/>
        </w:rPr>
        <w:t>. It is intended that the benefits set forth in this Agreement satisfy,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greatest extent possible, the exemptions from the application of Section 409A of the Internal Revenue Code of 1986, as amended, (the “Code”) (Section 409A, together with any state law of similar effect, “Section 409A”)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99"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ISPUTE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ESOLUTION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8"/>
        <w:spacing w:after="0" w:line="245" w:lineRule="auto"/>
        <w:tabs>
          <w:tab w:leader="none" w:pos="2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 Agreement</w:t>
      </w:r>
      <w:r>
        <w:rPr>
          <w:rFonts w:ascii="Times New Roman" w:cs="Times New Roman" w:eastAsia="Times New Roman" w:hAnsi="Times New Roman"/>
          <w:sz w:val="20"/>
          <w:szCs w:val="20"/>
          <w:color w:val="auto"/>
        </w:rPr>
        <w:t>. To ensure the rapid and economical resolution of disputes that may arise in connection with your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(“JAMS”), under JAMS’ then applicable rules and procedures for employment disputes before a single arbitrator (available upon request and also currently available at http://www.jamsadr.com/rules-employment-arbitration/). </w:t>
      </w:r>
      <w:r>
        <w:rPr>
          <w:rFonts w:ascii="Times New Roman" w:cs="Times New Roman" w:eastAsia="Times New Roman" w:hAnsi="Times New Roman"/>
          <w:sz w:val="20"/>
          <w:szCs w:val="20"/>
          <w:b w:val="1"/>
          <w:bCs w:val="1"/>
          <w:color w:val="auto"/>
        </w:rPr>
        <w:t>You acknowledge that by agreeing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this arbitration procedure, both you and the Company waive the right to resolve any such dispute through a trial by jury or judge or administrative proceeding</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firstLine="8"/>
        <w:spacing w:after="0" w:line="242" w:lineRule="auto"/>
        <w:tabs>
          <w:tab w:leader="none" w:pos="291"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Claims</w:t>
      </w:r>
      <w:r>
        <w:rPr>
          <w:rFonts w:ascii="Times New Roman" w:cs="Times New Roman" w:eastAsia="Times New Roman" w:hAnsi="Times New Roman"/>
          <w:sz w:val="20"/>
          <w:szCs w:val="20"/>
          <w:color w:val="auto"/>
        </w:rPr>
        <w:t>. All claims, disputes, or causes of action under this section, whether by you or the Company, must be brought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“Excluded Claims”). In the event you intend to bring multiple claims, including one of the Excluded Claims listed above, the Excluded Claims may be publicly filed with a court, while any other claims will remain subject to mandatory arbitration.</w:t>
      </w:r>
    </w:p>
    <w:p>
      <w:pPr>
        <w:spacing w:after="0" w:line="200" w:lineRule="exact"/>
        <w:rPr>
          <w:rFonts w:ascii="Times New Roman" w:cs="Times New Roman" w:eastAsia="Times New Roman" w:hAnsi="Times New Roman"/>
          <w:sz w:val="20"/>
          <w:szCs w:val="20"/>
          <w:b w:val="1"/>
          <w:bCs w:val="1"/>
          <w:color w:val="auto"/>
        </w:rPr>
      </w:pPr>
    </w:p>
    <w:p>
      <w:pPr>
        <w:ind w:right="100" w:firstLine="8"/>
        <w:spacing w:after="0" w:line="244" w:lineRule="auto"/>
        <w:tabs>
          <w:tab w:leader="none" w:pos="269"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Process</w:t>
      </w:r>
      <w:r>
        <w:rPr>
          <w:rFonts w:ascii="Times New Roman" w:cs="Times New Roman" w:eastAsia="Times New Roman" w:hAnsi="Times New Roman"/>
          <w:sz w:val="20"/>
          <w:szCs w:val="20"/>
          <w:color w:val="auto"/>
        </w:rPr>
        <w:t>. You will have the right to be represented by legal counsel at any arbitration proceeding. Questions of whether a claim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95" w:lineRule="exact"/>
        <w:rPr>
          <w:rFonts w:ascii="Times New Roman" w:cs="Times New Roman" w:eastAsia="Times New Roman" w:hAnsi="Times New Roman"/>
          <w:sz w:val="20"/>
          <w:szCs w:val="20"/>
          <w:b w:val="1"/>
          <w:bCs w:val="1"/>
          <w:color w:val="auto"/>
        </w:rPr>
      </w:pPr>
    </w:p>
    <w:p>
      <w:pPr>
        <w:jc w:val="both"/>
        <w:ind w:right="220" w:firstLine="8"/>
        <w:spacing w:after="0" w:line="256" w:lineRule="auto"/>
        <w:tabs>
          <w:tab w:leader="none" w:pos="291"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Injunctive Relief</w:t>
      </w:r>
      <w:r>
        <w:rPr>
          <w:rFonts w:ascii="Times New Roman" w:cs="Times New Roman" w:eastAsia="Times New Roman" w:hAnsi="Times New Roman"/>
          <w:sz w:val="20"/>
          <w:szCs w:val="20"/>
          <w:color w:val="auto"/>
        </w:rPr>
        <w:t>. Nothing in this letter agreement is intended to prevent either you or the Company from obtaining injunctive relief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 to prevent irreparable harm pending the conclusion of any such arbitration. Any awards or orders in such arbitrations may be entered and enforced as judgments in the federal and state courts of any competent jurisdiction.</w:t>
      </w:r>
    </w:p>
    <w:p>
      <w:pPr>
        <w:spacing w:after="0" w:line="182" w:lineRule="exact"/>
        <w:rPr>
          <w:sz w:val="20"/>
          <w:szCs w:val="20"/>
          <w:color w:val="auto"/>
        </w:rPr>
      </w:pPr>
    </w:p>
    <w:p>
      <w:pPr>
        <w:ind w:right="40" w:firstLine="8"/>
        <w:spacing w:after="0" w:line="242" w:lineRule="auto"/>
        <w:tabs>
          <w:tab w:leader="none" w:pos="198"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6"/>
          <w:szCs w:val="16"/>
          <w:b w:val="1"/>
          <w:bCs w:val="1"/>
          <w:color w:val="auto"/>
        </w:rPr>
        <w:t>ISCELLANEOUS</w:t>
      </w:r>
      <w:r>
        <w:rPr>
          <w:rFonts w:ascii="Times New Roman" w:cs="Times New Roman" w:eastAsia="Times New Roman" w:hAnsi="Times New Roman"/>
          <w:sz w:val="20"/>
          <w:szCs w:val="20"/>
          <w:color w:val="auto"/>
        </w:rPr>
        <w:t>. This Agreement, together with the other agreements referenced herein, forms the complete and exclusive statement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agreement with the Company. It supersedes any other agreements or promises made to you by anyone, whether oral or written.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1392555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color w:val="auto"/>
        </w:rPr>
        <w:t>Please sign and date this Agreement and return a signed copy to me on or before June 24,2026 to confirm your acceptance of this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RANI THERAPEUTICS,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Accepted and Agreed: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 Talat Imran</w:t>
            </w:r>
          </w:p>
        </w:tc>
        <w:tc>
          <w:tcPr>
            <w:tcW w:w="6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6/24/2026</w:t>
            </w:r>
          </w:p>
        </w:tc>
      </w:tr>
      <w:tr>
        <w:trPr>
          <w:trHeight w:val="191"/>
        </w:trPr>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Talat Imran</w:t>
            </w:r>
          </w:p>
        </w:tc>
        <w:tc>
          <w:tcPr>
            <w:tcW w:w="11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1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 Nicholas Maestas</w:t>
            </w:r>
          </w:p>
        </w:tc>
        <w:tc>
          <w:tcPr>
            <w:tcW w:w="6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6/17/2026</w:t>
            </w: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Nicholas M. Maestas</w:t>
            </w:r>
          </w:p>
        </w:tc>
        <w:tc>
          <w:tcPr>
            <w:tcW w:w="112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1609"/>
        </w:trPr>
        <w:tc>
          <w:tcPr>
            <w:tcW w:w="4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 w:name="page9"/>
    <w:bookmarkEnd w:id="8"/>
    <w:p>
      <w:pPr>
        <w:jc w:val="center"/>
        <w:ind w:right="-559"/>
        <w:spacing w:after="0"/>
        <w:rPr>
          <w:sz w:val="20"/>
          <w:szCs w:val="20"/>
          <w:color w:val="auto"/>
        </w:rPr>
      </w:pPr>
      <w:r>
        <w:rPr>
          <w:rFonts w:ascii="Times New Roman" w:cs="Times New Roman" w:eastAsia="Times New Roman" w:hAnsi="Times New Roman"/>
          <w:sz w:val="22"/>
          <w:szCs w:val="22"/>
          <w:b w:val="1"/>
          <w:bCs w:val="1"/>
          <w:color w:val="231F20"/>
        </w:rPr>
        <w:t>R</w:t>
      </w:r>
      <w:r>
        <w:rPr>
          <w:rFonts w:ascii="Times New Roman" w:cs="Times New Roman" w:eastAsia="Times New Roman" w:hAnsi="Times New Roman"/>
          <w:sz w:val="14"/>
          <w:szCs w:val="14"/>
          <w:b w:val="1"/>
          <w:bCs w:val="1"/>
          <w:color w:val="231F20"/>
        </w:rPr>
        <w:t>ani</w:t>
      </w:r>
      <w:r>
        <w:rPr>
          <w:rFonts w:ascii="Times New Roman" w:cs="Times New Roman" w:eastAsia="Times New Roman" w:hAnsi="Times New Roman"/>
          <w:sz w:val="22"/>
          <w:szCs w:val="22"/>
          <w:b w:val="1"/>
          <w:bCs w:val="1"/>
          <w:color w:val="231F20"/>
        </w:rPr>
        <w:t xml:space="preserve"> T</w:t>
      </w:r>
      <w:r>
        <w:rPr>
          <w:rFonts w:ascii="Times New Roman" w:cs="Times New Roman" w:eastAsia="Times New Roman" w:hAnsi="Times New Roman"/>
          <w:sz w:val="14"/>
          <w:szCs w:val="14"/>
          <w:b w:val="1"/>
          <w:bCs w:val="1"/>
          <w:color w:val="231F20"/>
        </w:rPr>
        <w:t>herapeutics</w:t>
      </w:r>
      <w:r>
        <w:rPr>
          <w:rFonts w:ascii="Times New Roman" w:cs="Times New Roman" w:eastAsia="Times New Roman" w:hAnsi="Times New Roman"/>
          <w:sz w:val="22"/>
          <w:szCs w:val="22"/>
          <w:b w:val="1"/>
          <w:bCs w:val="1"/>
          <w:color w:val="231F20"/>
        </w:rPr>
        <w:t xml:space="preserve"> H</w:t>
      </w:r>
      <w:r>
        <w:rPr>
          <w:rFonts w:ascii="Times New Roman" w:cs="Times New Roman" w:eastAsia="Times New Roman" w:hAnsi="Times New Roman"/>
          <w:sz w:val="14"/>
          <w:szCs w:val="14"/>
          <w:b w:val="1"/>
          <w:bCs w:val="1"/>
          <w:color w:val="231F20"/>
        </w:rPr>
        <w:t>oldings</w:t>
      </w:r>
      <w:r>
        <w:rPr>
          <w:rFonts w:ascii="Times New Roman" w:cs="Times New Roman" w:eastAsia="Times New Roman" w:hAnsi="Times New Roman"/>
          <w:sz w:val="22"/>
          <w:szCs w:val="22"/>
          <w:b w:val="1"/>
          <w:bCs w:val="1"/>
          <w:color w:val="231F20"/>
        </w:rPr>
        <w:t>, I</w:t>
      </w:r>
      <w:r>
        <w:rPr>
          <w:rFonts w:ascii="Times New Roman" w:cs="Times New Roman" w:eastAsia="Times New Roman" w:hAnsi="Times New Roman"/>
          <w:sz w:val="14"/>
          <w:szCs w:val="14"/>
          <w:b w:val="1"/>
          <w:bCs w:val="1"/>
          <w:color w:val="231F20"/>
        </w:rPr>
        <w:t>nc</w:t>
      </w:r>
      <w:r>
        <w:rPr>
          <w:rFonts w:ascii="Times New Roman" w:cs="Times New Roman" w:eastAsia="Times New Roman" w:hAnsi="Times New Roman"/>
          <w:sz w:val="22"/>
          <w:szCs w:val="22"/>
          <w:b w:val="1"/>
          <w:bCs w:val="1"/>
          <w:color w:val="231F20"/>
        </w:rPr>
        <w:t>.</w:t>
      </w:r>
    </w:p>
    <w:p>
      <w:pPr>
        <w:spacing w:after="0" w:line="1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231F20"/>
        </w:rPr>
        <w:t>2026 E</w:t>
      </w:r>
      <w:r>
        <w:rPr>
          <w:rFonts w:ascii="Times New Roman" w:cs="Times New Roman" w:eastAsia="Times New Roman" w:hAnsi="Times New Roman"/>
          <w:sz w:val="14"/>
          <w:szCs w:val="14"/>
          <w:b w:val="1"/>
          <w:bCs w:val="1"/>
          <w:color w:val="231F20"/>
        </w:rPr>
        <w:t>quity</w:t>
      </w:r>
      <w:r>
        <w:rPr>
          <w:rFonts w:ascii="Times New Roman" w:cs="Times New Roman" w:eastAsia="Times New Roman" w:hAnsi="Times New Roman"/>
          <w:sz w:val="22"/>
          <w:szCs w:val="22"/>
          <w:b w:val="1"/>
          <w:bCs w:val="1"/>
          <w:color w:val="231F20"/>
        </w:rPr>
        <w:t xml:space="preserve"> I</w:t>
      </w:r>
      <w:r>
        <w:rPr>
          <w:rFonts w:ascii="Times New Roman" w:cs="Times New Roman" w:eastAsia="Times New Roman" w:hAnsi="Times New Roman"/>
          <w:sz w:val="14"/>
          <w:szCs w:val="14"/>
          <w:b w:val="1"/>
          <w:bCs w:val="1"/>
          <w:color w:val="231F20"/>
        </w:rPr>
        <w:t>nducement</w:t>
      </w:r>
      <w:r>
        <w:rPr>
          <w:rFonts w:ascii="Times New Roman" w:cs="Times New Roman" w:eastAsia="Times New Roman" w:hAnsi="Times New Roman"/>
          <w:sz w:val="22"/>
          <w:szCs w:val="22"/>
          <w:b w:val="1"/>
          <w:bCs w:val="1"/>
          <w:color w:val="231F20"/>
        </w:rPr>
        <w:t xml:space="preserve"> P</w:t>
      </w:r>
      <w:r>
        <w:rPr>
          <w:rFonts w:ascii="Times New Roman" w:cs="Times New Roman" w:eastAsia="Times New Roman" w:hAnsi="Times New Roman"/>
          <w:sz w:val="14"/>
          <w:szCs w:val="14"/>
          <w:b w:val="1"/>
          <w:bCs w:val="1"/>
          <w:color w:val="231F20"/>
        </w:rPr>
        <w:t>lan</w:t>
      </w:r>
    </w:p>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231F20"/>
        </w:rPr>
        <w:t>A</w:t>
      </w:r>
      <w:r>
        <w:rPr>
          <w:rFonts w:ascii="Times New Roman" w:cs="Times New Roman" w:eastAsia="Times New Roman" w:hAnsi="Times New Roman"/>
          <w:sz w:val="14"/>
          <w:szCs w:val="14"/>
          <w:b w:val="1"/>
          <w:bCs w:val="1"/>
          <w:color w:val="231F20"/>
        </w:rPr>
        <w:t>dopted by the</w:t>
      </w:r>
      <w:r>
        <w:rPr>
          <w:rFonts w:ascii="Times New Roman" w:cs="Times New Roman" w:eastAsia="Times New Roman" w:hAnsi="Times New Roman"/>
          <w:sz w:val="22"/>
          <w:szCs w:val="22"/>
          <w:b w:val="1"/>
          <w:bCs w:val="1"/>
          <w:color w:val="231F20"/>
        </w:rPr>
        <w:t xml:space="preserve"> B</w:t>
      </w:r>
      <w:r>
        <w:rPr>
          <w:rFonts w:ascii="Times New Roman" w:cs="Times New Roman" w:eastAsia="Times New Roman" w:hAnsi="Times New Roman"/>
          <w:sz w:val="14"/>
          <w:szCs w:val="14"/>
          <w:b w:val="1"/>
          <w:bCs w:val="1"/>
          <w:color w:val="231F20"/>
        </w:rPr>
        <w:t>oard of</w:t>
      </w:r>
      <w:r>
        <w:rPr>
          <w:rFonts w:ascii="Times New Roman" w:cs="Times New Roman" w:eastAsia="Times New Roman" w:hAnsi="Times New Roman"/>
          <w:sz w:val="22"/>
          <w:szCs w:val="22"/>
          <w:b w:val="1"/>
          <w:bCs w:val="1"/>
          <w:color w:val="231F20"/>
        </w:rPr>
        <w:t xml:space="preserve"> D</w:t>
      </w:r>
      <w:r>
        <w:rPr>
          <w:rFonts w:ascii="Times New Roman" w:cs="Times New Roman" w:eastAsia="Times New Roman" w:hAnsi="Times New Roman"/>
          <w:sz w:val="14"/>
          <w:szCs w:val="14"/>
          <w:b w:val="1"/>
          <w:bCs w:val="1"/>
          <w:color w:val="231F20"/>
        </w:rPr>
        <w:t>irectors</w:t>
      </w:r>
      <w:r>
        <w:rPr>
          <w:rFonts w:ascii="Times New Roman" w:cs="Times New Roman" w:eastAsia="Times New Roman" w:hAnsi="Times New Roman"/>
          <w:sz w:val="22"/>
          <w:szCs w:val="22"/>
          <w:b w:val="1"/>
          <w:bCs w:val="1"/>
          <w:color w:val="231F20"/>
        </w:rPr>
        <w:t>: J</w:t>
      </w:r>
      <w:r>
        <w:rPr>
          <w:rFonts w:ascii="Times New Roman" w:cs="Times New Roman" w:eastAsia="Times New Roman" w:hAnsi="Times New Roman"/>
          <w:sz w:val="14"/>
          <w:szCs w:val="14"/>
          <w:b w:val="1"/>
          <w:bCs w:val="1"/>
          <w:color w:val="231F20"/>
        </w:rPr>
        <w:t>une</w:t>
      </w:r>
      <w:r>
        <w:rPr>
          <w:rFonts w:ascii="Times New Roman" w:cs="Times New Roman" w:eastAsia="Times New Roman" w:hAnsi="Times New Roman"/>
          <w:sz w:val="22"/>
          <w:szCs w:val="22"/>
          <w:b w:val="1"/>
          <w:bCs w:val="1"/>
          <w:color w:val="231F20"/>
        </w:rPr>
        <w:t xml:space="preserve"> 28, 2026</w:t>
      </w:r>
    </w:p>
    <w:p>
      <w:pPr>
        <w:spacing w:after="0" w:line="238" w:lineRule="exact"/>
        <w:rPr>
          <w:sz w:val="20"/>
          <w:szCs w:val="20"/>
          <w:color w:val="auto"/>
        </w:rPr>
      </w:pPr>
    </w:p>
    <w:p>
      <w:pPr>
        <w:ind w:left="1120" w:hanging="758"/>
        <w:spacing w:after="0"/>
        <w:tabs>
          <w:tab w:leader="none" w:pos="1120" w:val="left"/>
        </w:tabs>
        <w:numPr>
          <w:ilvl w:val="0"/>
          <w:numId w:val="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G</w:t>
      </w:r>
      <w:r>
        <w:rPr>
          <w:rFonts w:ascii="Times New Roman" w:cs="Times New Roman" w:eastAsia="Times New Roman" w:hAnsi="Times New Roman"/>
          <w:sz w:val="13"/>
          <w:szCs w:val="13"/>
          <w:b w:val="1"/>
          <w:bCs w:val="1"/>
          <w:color w:val="231F20"/>
        </w:rPr>
        <w:t>eneral</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400" w:right="20" w:firstLine="741"/>
        <w:spacing w:after="0" w:line="243" w:lineRule="auto"/>
        <w:tabs>
          <w:tab w:leader="none" w:pos="1510" w:val="left"/>
        </w:tabs>
        <w:numPr>
          <w:ilvl w:val="3"/>
          <w:numId w:val="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Eligible Award Recipients. </w:t>
      </w:r>
      <w:r>
        <w:rPr>
          <w:rFonts w:ascii="Times New Roman" w:cs="Times New Roman" w:eastAsia="Times New Roman" w:hAnsi="Times New Roman"/>
          <w:sz w:val="20"/>
          <w:szCs w:val="20"/>
          <w:color w:val="231F20"/>
        </w:rPr>
        <w:t>The only persons eligible to receive grants of Awards under this Plan are individuals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who satisfy the standards for “employment inducement grants” under Nasdaq Listing Rule 5635(c)(4) and the related guidance under Nasdaq IM-5635-1 (together with any analogous rules or guidance effective after the date hereof, the “</w:t>
      </w:r>
      <w:r>
        <w:rPr>
          <w:rFonts w:ascii="Times New Roman" w:cs="Times New Roman" w:eastAsia="Times New Roman" w:hAnsi="Times New Roman"/>
          <w:sz w:val="20"/>
          <w:szCs w:val="20"/>
          <w:b w:val="1"/>
          <w:bCs w:val="1"/>
          <w:i w:val="1"/>
          <w:iCs w:val="1"/>
          <w:color w:val="231F20"/>
        </w:rPr>
        <w:t>Inducement Award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231F20"/>
        </w:rPr>
        <w:t>Rules</w:t>
      </w:r>
      <w:r>
        <w:rPr>
          <w:rFonts w:ascii="Times New Roman" w:cs="Times New Roman" w:eastAsia="Times New Roman" w:hAnsi="Times New Roman"/>
          <w:sz w:val="20"/>
          <w:szCs w:val="20"/>
          <w:color w:val="231F20"/>
        </w:rPr>
        <w:t>”). A person who previously served as an Employee or Director will not be eligible to receive Awards under the Plan, other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than following a </w:t>
      </w:r>
      <w:r>
        <w:rPr>
          <w:rFonts w:ascii="Times New Roman" w:cs="Times New Roman" w:eastAsia="Times New Roman" w:hAnsi="Times New Roman"/>
          <w:sz w:val="20"/>
          <w:szCs w:val="20"/>
          <w:i w:val="1"/>
          <w:iCs w:val="1"/>
          <w:color w:val="231F20"/>
        </w:rPr>
        <w:t>bona fide</w:t>
      </w:r>
      <w:r>
        <w:rPr>
          <w:rFonts w:ascii="Times New Roman" w:cs="Times New Roman" w:eastAsia="Times New Roman" w:hAnsi="Times New Roman"/>
          <w:sz w:val="20"/>
          <w:szCs w:val="20"/>
          <w:color w:val="231F20"/>
        </w:rPr>
        <w:t xml:space="preserve"> period of non-employment. Persons eligible to receive grants of Awards under this Plan are referred to in this Plan as “</w:t>
      </w:r>
      <w:r>
        <w:rPr>
          <w:rFonts w:ascii="Times New Roman" w:cs="Times New Roman" w:eastAsia="Times New Roman" w:hAnsi="Times New Roman"/>
          <w:sz w:val="20"/>
          <w:szCs w:val="20"/>
          <w:b w:val="1"/>
          <w:bCs w:val="1"/>
          <w:i w:val="1"/>
          <w:iCs w:val="1"/>
          <w:color w:val="231F20"/>
        </w:rPr>
        <w:t>Eligible Employees</w:t>
      </w:r>
      <w:r>
        <w:rPr>
          <w:rFonts w:ascii="Times New Roman" w:cs="Times New Roman" w:eastAsia="Times New Roman" w:hAnsi="Times New Roman"/>
          <w:sz w:val="20"/>
          <w:szCs w:val="20"/>
          <w:color w:val="231F20"/>
        </w:rPr>
        <w:t>.” Awards must be approved either by a majority of the members of the Board who qualify as “independent directors” (within the meaning of Nasdaq Listing Rule 5605(a)(2)) (“</w:t>
      </w:r>
      <w:r>
        <w:rPr>
          <w:rFonts w:ascii="Times New Roman" w:cs="Times New Roman" w:eastAsia="Times New Roman" w:hAnsi="Times New Roman"/>
          <w:sz w:val="20"/>
          <w:szCs w:val="20"/>
          <w:b w:val="1"/>
          <w:bCs w:val="1"/>
          <w:i w:val="1"/>
          <w:iCs w:val="1"/>
          <w:color w:val="231F20"/>
        </w:rPr>
        <w:t>Independent Directors</w:t>
      </w:r>
      <w:r>
        <w:rPr>
          <w:rFonts w:ascii="Times New Roman" w:cs="Times New Roman" w:eastAsia="Times New Roman" w:hAnsi="Times New Roman"/>
          <w:sz w:val="20"/>
          <w:szCs w:val="20"/>
          <w:color w:val="231F20"/>
        </w:rPr>
        <w:t>”) or the Compensation Committee, provided such committee is comprised solely of Independent Directors (the “</w:t>
      </w:r>
      <w:r>
        <w:rPr>
          <w:rFonts w:ascii="Times New Roman" w:cs="Times New Roman" w:eastAsia="Times New Roman" w:hAnsi="Times New Roman"/>
          <w:sz w:val="20"/>
          <w:szCs w:val="20"/>
          <w:b w:val="1"/>
          <w:bCs w:val="1"/>
          <w:i w:val="1"/>
          <w:iCs w:val="1"/>
          <w:color w:val="231F20"/>
        </w:rPr>
        <w:t>Independent Compensation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231F20"/>
        </w:rPr>
        <w:t>Committee</w:t>
      </w:r>
      <w:r>
        <w:rPr>
          <w:rFonts w:ascii="Times New Roman" w:cs="Times New Roman" w:eastAsia="Times New Roman" w:hAnsi="Times New Roman"/>
          <w:sz w:val="20"/>
          <w:szCs w:val="20"/>
          <w:color w:val="231F20"/>
        </w:rPr>
        <w:t>”), in order to comply with the exemption from the stockholder approval requirement for “employment inducement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grants” provided under the Inducement Award Rules.</w:t>
      </w:r>
    </w:p>
    <w:p>
      <w:pPr>
        <w:spacing w:after="0" w:line="182" w:lineRule="exact"/>
        <w:rPr>
          <w:rFonts w:ascii="Times New Roman" w:cs="Times New Roman" w:eastAsia="Times New Roman" w:hAnsi="Times New Roman"/>
          <w:sz w:val="20"/>
          <w:szCs w:val="20"/>
          <w:b w:val="1"/>
          <w:bCs w:val="1"/>
          <w:color w:val="231F20"/>
        </w:rPr>
      </w:pPr>
    </w:p>
    <w:p>
      <w:pPr>
        <w:jc w:val="both"/>
        <w:ind w:left="360" w:firstLine="751"/>
        <w:spacing w:after="0" w:line="247" w:lineRule="auto"/>
        <w:tabs>
          <w:tab w:leader="none" w:pos="1499" w:val="left"/>
        </w:tabs>
        <w:numPr>
          <w:ilvl w:val="2"/>
          <w:numId w:val="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Plan Purpose. </w:t>
      </w:r>
      <w:r>
        <w:rPr>
          <w:rFonts w:ascii="Times New Roman" w:cs="Times New Roman" w:eastAsia="Times New Roman" w:hAnsi="Times New Roman"/>
          <w:sz w:val="20"/>
          <w:szCs w:val="20"/>
          <w:color w:val="231F20"/>
        </w:rPr>
        <w:t>This Plan, through the granting of Awards, is intended to (i) provide a material inducement for certain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individuals to enter into employment with the Company within the meaning of the Inducement Award Rules, (ii) help the Company and any Affiliate secure and retain the services of Eligible Employees, (iii) provide incentives for such persons to exert maximum efforts for the success of the Company and any Affiliate, and (iv) provide a means by which such persons may be given an opportunity to benefit from increases in value of the Common Stock.</w:t>
      </w:r>
    </w:p>
    <w:p>
      <w:pPr>
        <w:spacing w:after="0" w:line="180" w:lineRule="exact"/>
        <w:rPr>
          <w:rFonts w:ascii="Times New Roman" w:cs="Times New Roman" w:eastAsia="Times New Roman" w:hAnsi="Times New Roman"/>
          <w:sz w:val="20"/>
          <w:szCs w:val="20"/>
          <w:b w:val="1"/>
          <w:bCs w:val="1"/>
          <w:color w:val="231F20"/>
        </w:rPr>
      </w:pPr>
    </w:p>
    <w:p>
      <w:pPr>
        <w:ind w:left="360" w:right="20" w:firstLine="725"/>
        <w:spacing w:after="0" w:line="273" w:lineRule="auto"/>
        <w:tabs>
          <w:tab w:leader="none" w:pos="1473" w:val="left"/>
        </w:tabs>
        <w:numPr>
          <w:ilvl w:val="1"/>
          <w:numId w:val="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Available Awards. </w:t>
      </w:r>
      <w:r>
        <w:rPr>
          <w:rFonts w:ascii="Times New Roman" w:cs="Times New Roman" w:eastAsia="Times New Roman" w:hAnsi="Times New Roman"/>
          <w:sz w:val="20"/>
          <w:szCs w:val="20"/>
          <w:color w:val="231F20"/>
        </w:rPr>
        <w:t>The Plan provides for the grant of the following Awards: (i) Nonstatutory Stock Options; (ii)</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SARs; (iii) Restricted Stock Awards; (iv) RSU Awards; (v) Performance Awards; and (vi) Other Awards.</w:t>
      </w:r>
    </w:p>
    <w:p>
      <w:pPr>
        <w:spacing w:after="0" w:line="151" w:lineRule="exact"/>
        <w:rPr>
          <w:rFonts w:ascii="Times New Roman" w:cs="Times New Roman" w:eastAsia="Times New Roman" w:hAnsi="Times New Roman"/>
          <w:sz w:val="20"/>
          <w:szCs w:val="20"/>
          <w:b w:val="1"/>
          <w:bCs w:val="1"/>
          <w:color w:val="231F20"/>
        </w:rPr>
      </w:pPr>
    </w:p>
    <w:p>
      <w:pPr>
        <w:ind w:left="1120" w:hanging="758"/>
        <w:spacing w:after="0"/>
        <w:tabs>
          <w:tab w:leader="none" w:pos="1120" w:val="left"/>
        </w:tabs>
        <w:numPr>
          <w:ilvl w:val="0"/>
          <w:numId w:val="1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w:t>
      </w:r>
      <w:r>
        <w:rPr>
          <w:rFonts w:ascii="Times New Roman" w:cs="Times New Roman" w:eastAsia="Times New Roman" w:hAnsi="Times New Roman"/>
          <w:sz w:val="13"/>
          <w:szCs w:val="13"/>
          <w:b w:val="1"/>
          <w:bCs w:val="1"/>
          <w:color w:val="231F20"/>
        </w:rPr>
        <w:t>hares</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ubject to the</w:t>
      </w:r>
      <w:r>
        <w:rPr>
          <w:rFonts w:ascii="Times New Roman" w:cs="Times New Roman" w:eastAsia="Times New Roman" w:hAnsi="Times New Roman"/>
          <w:sz w:val="20"/>
          <w:szCs w:val="20"/>
          <w:b w:val="1"/>
          <w:bCs w:val="1"/>
          <w:color w:val="231F20"/>
        </w:rPr>
        <w:t xml:space="preserve"> P</w:t>
      </w:r>
      <w:r>
        <w:rPr>
          <w:rFonts w:ascii="Times New Roman" w:cs="Times New Roman" w:eastAsia="Times New Roman" w:hAnsi="Times New Roman"/>
          <w:sz w:val="13"/>
          <w:szCs w:val="13"/>
          <w:b w:val="1"/>
          <w:bCs w:val="1"/>
          <w:color w:val="231F20"/>
        </w:rPr>
        <w:t>lan</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360" w:right="20" w:firstLine="725"/>
        <w:spacing w:after="0" w:line="256" w:lineRule="auto"/>
        <w:tabs>
          <w:tab w:leader="none" w:pos="1473" w:val="left"/>
        </w:tabs>
        <w:numPr>
          <w:ilvl w:val="1"/>
          <w:numId w:val="1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Share Reserve. </w:t>
      </w:r>
      <w:r>
        <w:rPr>
          <w:rFonts w:ascii="Times New Roman" w:cs="Times New Roman" w:eastAsia="Times New Roman" w:hAnsi="Times New Roman"/>
          <w:sz w:val="20"/>
          <w:szCs w:val="20"/>
          <w:color w:val="231F20"/>
        </w:rPr>
        <w:t>Subject to adjustment in accordance with Section 2(c) and any adjustments as necessary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implement any Capitalization Adjustments, the aggregate number of shares of Common Stock that may be issued pursuant to Awards will not exceed 5,500,000 shares.</w:t>
      </w:r>
    </w:p>
    <w:p>
      <w:pPr>
        <w:spacing w:after="0" w:line="182" w:lineRule="exact"/>
        <w:rPr>
          <w:rFonts w:ascii="Times New Roman" w:cs="Times New Roman" w:eastAsia="Times New Roman" w:hAnsi="Times New Roman"/>
          <w:sz w:val="20"/>
          <w:szCs w:val="20"/>
          <w:b w:val="1"/>
          <w:bCs w:val="1"/>
          <w:color w:val="231F20"/>
        </w:rPr>
      </w:pPr>
    </w:p>
    <w:p>
      <w:pPr>
        <w:ind w:left="1480" w:hanging="395"/>
        <w:spacing w:after="0"/>
        <w:tabs>
          <w:tab w:leader="none" w:pos="1480" w:val="left"/>
        </w:tabs>
        <w:numPr>
          <w:ilvl w:val="1"/>
          <w:numId w:val="1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Share Reserve Operation.</w:t>
      </w:r>
    </w:p>
    <w:p>
      <w:pPr>
        <w:spacing w:after="0" w:line="216" w:lineRule="exact"/>
        <w:rPr>
          <w:sz w:val="20"/>
          <w:szCs w:val="20"/>
          <w:color w:val="auto"/>
        </w:rPr>
      </w:pPr>
    </w:p>
    <w:p>
      <w:pPr>
        <w:jc w:val="both"/>
        <w:ind w:left="360" w:right="20" w:firstLine="1446"/>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(i)Limit Applies to Common Stock Issued Pursuant to Awards. </w:t>
      </w:r>
      <w:r>
        <w:rPr>
          <w:rFonts w:ascii="Times New Roman" w:cs="Times New Roman" w:eastAsia="Times New Roman" w:hAnsi="Times New Roman"/>
          <w:sz w:val="20"/>
          <w:szCs w:val="20"/>
          <w:color w:val="231F20"/>
        </w:rPr>
        <w:t>For clarity, the Share Reserve is a limit on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w:t>
      </w:r>
    </w:p>
    <w:p>
      <w:pPr>
        <w:spacing w:after="0" w:line="176" w:lineRule="exact"/>
        <w:rPr>
          <w:sz w:val="20"/>
          <w:szCs w:val="20"/>
          <w:color w:val="auto"/>
        </w:rPr>
      </w:pPr>
    </w:p>
    <w:p>
      <w:pPr>
        <w:jc w:val="both"/>
        <w:ind w:left="360" w:firstLine="1497"/>
        <w:spacing w:after="0" w:line="247" w:lineRule="auto"/>
        <w:rPr>
          <w:sz w:val="20"/>
          <w:szCs w:val="20"/>
          <w:color w:val="auto"/>
        </w:rPr>
      </w:pPr>
      <w:r>
        <w:rPr>
          <w:rFonts w:ascii="Times New Roman" w:cs="Times New Roman" w:eastAsia="Times New Roman" w:hAnsi="Times New Roman"/>
          <w:sz w:val="20"/>
          <w:szCs w:val="20"/>
          <w:b w:val="1"/>
          <w:bCs w:val="1"/>
          <w:color w:val="231F20"/>
        </w:rPr>
        <w:t xml:space="preserve">(ii)Actions that Do Not Constitute Issuance of Common Stock and Do Not Reduce Share Reserve. </w:t>
      </w:r>
      <w:r>
        <w:rPr>
          <w:rFonts w:ascii="Times New Roman" w:cs="Times New Roman" w:eastAsia="Times New Roman" w:hAnsi="Times New Roman"/>
          <w:sz w:val="20"/>
          <w:szCs w:val="20"/>
          <w:color w:val="231F20"/>
        </w:rPr>
        <w:t>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829945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77" w:right="699" w:bottom="1440" w:gutter="0" w:footer="0" w:header="0"/>
        </w:sectPr>
      </w:pPr>
    </w:p>
    <w:bookmarkStart w:id="9" w:name="page10"/>
    <w:bookmarkEnd w:id="9"/>
    <w:p>
      <w:pPr>
        <w:spacing w:after="0" w:line="108" w:lineRule="exact"/>
        <w:rPr>
          <w:sz w:val="20"/>
          <w:szCs w:val="20"/>
          <w:color w:val="auto"/>
        </w:rPr>
      </w:pPr>
    </w:p>
    <w:p>
      <w:pPr>
        <w:jc w:val="both"/>
        <w:ind w:left="360"/>
        <w:spacing w:after="0" w:line="254" w:lineRule="auto"/>
        <w:rPr>
          <w:sz w:val="20"/>
          <w:szCs w:val="20"/>
          <w:color w:val="auto"/>
        </w:rPr>
      </w:pPr>
      <w:r>
        <w:rPr>
          <w:rFonts w:ascii="Times New Roman" w:cs="Times New Roman" w:eastAsia="Times New Roman" w:hAnsi="Times New Roman"/>
          <w:sz w:val="20"/>
          <w:szCs w:val="20"/>
          <w:color w:val="231F20"/>
        </w:rPr>
        <w:t>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400" w:lineRule="exact"/>
        <w:rPr>
          <w:sz w:val="20"/>
          <w:szCs w:val="20"/>
          <w:color w:val="auto"/>
        </w:rPr>
      </w:pPr>
    </w:p>
    <w:p>
      <w:pPr>
        <w:jc w:val="both"/>
        <w:ind w:left="360" w:right="20" w:firstLine="1448"/>
        <w:spacing w:after="0" w:line="246" w:lineRule="auto"/>
        <w:tabs>
          <w:tab w:leader="none" w:pos="2181" w:val="left"/>
        </w:tabs>
        <w:numPr>
          <w:ilvl w:val="3"/>
          <w:numId w:val="1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Reversion of Previously Issued Shares of Common Stock to Share Reserve. </w:t>
      </w:r>
      <w:r>
        <w:rPr>
          <w:rFonts w:ascii="Times New Roman" w:cs="Times New Roman" w:eastAsia="Times New Roman" w:hAnsi="Times New Roman"/>
          <w:sz w:val="20"/>
          <w:szCs w:val="20"/>
          <w:color w:val="231F20"/>
        </w:rPr>
        <w:t>The following shares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8" w:lineRule="exact"/>
        <w:rPr>
          <w:rFonts w:ascii="Times New Roman" w:cs="Times New Roman" w:eastAsia="Times New Roman" w:hAnsi="Times New Roman"/>
          <w:sz w:val="20"/>
          <w:szCs w:val="20"/>
          <w:b w:val="1"/>
          <w:bCs w:val="1"/>
          <w:color w:val="231F20"/>
        </w:rPr>
      </w:pPr>
    </w:p>
    <w:p>
      <w:pPr>
        <w:ind w:left="1000" w:hanging="638"/>
        <w:spacing w:after="0"/>
        <w:tabs>
          <w:tab w:leader="none" w:pos="1000" w:val="left"/>
        </w:tabs>
        <w:numPr>
          <w:ilvl w:val="0"/>
          <w:numId w:val="1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w:t>
      </w:r>
      <w:r>
        <w:rPr>
          <w:rFonts w:ascii="Times New Roman" w:cs="Times New Roman" w:eastAsia="Times New Roman" w:hAnsi="Times New Roman"/>
          <w:sz w:val="13"/>
          <w:szCs w:val="13"/>
          <w:b w:val="1"/>
          <w:bCs w:val="1"/>
          <w:color w:val="231F20"/>
        </w:rPr>
        <w:t>ligibility and</w:t>
      </w:r>
      <w:r>
        <w:rPr>
          <w:rFonts w:ascii="Times New Roman" w:cs="Times New Roman" w:eastAsia="Times New Roman" w:hAnsi="Times New Roman"/>
          <w:sz w:val="20"/>
          <w:szCs w:val="20"/>
          <w:b w:val="1"/>
          <w:bCs w:val="1"/>
          <w:color w:val="231F20"/>
        </w:rPr>
        <w:t xml:space="preserve"> L</w:t>
      </w:r>
      <w:r>
        <w:rPr>
          <w:rFonts w:ascii="Times New Roman" w:cs="Times New Roman" w:eastAsia="Times New Roman" w:hAnsi="Times New Roman"/>
          <w:sz w:val="13"/>
          <w:szCs w:val="13"/>
          <w:b w:val="1"/>
          <w:bCs w:val="1"/>
          <w:color w:val="231F20"/>
        </w:rPr>
        <w:t>imitations</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360" w:firstLine="751"/>
        <w:spacing w:after="0" w:line="247" w:lineRule="auto"/>
        <w:tabs>
          <w:tab w:leader="none" w:pos="1499" w:val="left"/>
        </w:tabs>
        <w:numPr>
          <w:ilvl w:val="1"/>
          <w:numId w:val="1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Eligible Award Recipients. </w:t>
      </w:r>
      <w:r>
        <w:rPr>
          <w:rFonts w:ascii="Times New Roman" w:cs="Times New Roman" w:eastAsia="Times New Roman" w:hAnsi="Times New Roman"/>
          <w:sz w:val="20"/>
          <w:szCs w:val="20"/>
          <w:color w:val="231F20"/>
        </w:rPr>
        <w:t>Awards may only be granted to persons who are Eligible Employees described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 xml:space="preserve">Section 1(a), where the Award is an inducement material to the individual’s entering into employment with the Company or an Affiliate within the meaning of the Inducement Award Rules. For clarity, Awards may not be granted to (i) Consultants or Directors, for service in such capacities, or (ii) any individual who was previously an Employee or Director, other than following a </w:t>
      </w:r>
      <w:r>
        <w:rPr>
          <w:rFonts w:ascii="Times New Roman" w:cs="Times New Roman" w:eastAsia="Times New Roman" w:hAnsi="Times New Roman"/>
          <w:sz w:val="20"/>
          <w:szCs w:val="20"/>
          <w:i w:val="1"/>
          <w:iCs w:val="1"/>
          <w:color w:val="231F20"/>
        </w:rPr>
        <w:t xml:space="preserve">bona fide </w:t>
      </w:r>
      <w:r>
        <w:rPr>
          <w:rFonts w:ascii="Times New Roman" w:cs="Times New Roman" w:eastAsia="Times New Roman" w:hAnsi="Times New Roman"/>
          <w:sz w:val="20"/>
          <w:szCs w:val="20"/>
          <w:color w:val="231F20"/>
        </w:rPr>
        <w:t>period of non-employment.</w:t>
      </w:r>
    </w:p>
    <w:p>
      <w:pPr>
        <w:spacing w:after="0" w:line="180" w:lineRule="exact"/>
        <w:rPr>
          <w:rFonts w:ascii="Times New Roman" w:cs="Times New Roman" w:eastAsia="Times New Roman" w:hAnsi="Times New Roman"/>
          <w:sz w:val="20"/>
          <w:szCs w:val="20"/>
          <w:b w:val="1"/>
          <w:bCs w:val="1"/>
          <w:color w:val="231F20"/>
        </w:rPr>
      </w:pPr>
    </w:p>
    <w:p>
      <w:pPr>
        <w:jc w:val="both"/>
        <w:ind w:left="400" w:right="20" w:firstLine="741"/>
        <w:spacing w:after="0" w:line="256" w:lineRule="auto"/>
        <w:tabs>
          <w:tab w:leader="none" w:pos="1510" w:val="left"/>
        </w:tabs>
        <w:numPr>
          <w:ilvl w:val="2"/>
          <w:numId w:val="1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Limitations on Nonstatutory Stock Options and SARs. </w:t>
      </w:r>
      <w:r>
        <w:rPr>
          <w:rFonts w:ascii="Times New Roman" w:cs="Times New Roman" w:eastAsia="Times New Roman" w:hAnsi="Times New Roman"/>
          <w:sz w:val="20"/>
          <w:szCs w:val="20"/>
          <w:color w:val="231F20"/>
        </w:rPr>
        <w:t>Nonstatutory Stock Options and SARs may not be granted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to Eligible Employees unless the stock underlying such Awards is treated as “service recipient stock” under Section 409A or unless such Awards otherwise comply with the requirements of Section 409A.</w:t>
      </w:r>
    </w:p>
    <w:p>
      <w:pPr>
        <w:spacing w:after="0" w:line="182" w:lineRule="exact"/>
        <w:rPr>
          <w:rFonts w:ascii="Times New Roman" w:cs="Times New Roman" w:eastAsia="Times New Roman" w:hAnsi="Times New Roman"/>
          <w:sz w:val="20"/>
          <w:szCs w:val="20"/>
          <w:b w:val="1"/>
          <w:bCs w:val="1"/>
          <w:color w:val="231F20"/>
        </w:rPr>
      </w:pPr>
    </w:p>
    <w:p>
      <w:pPr>
        <w:ind w:left="1000" w:hanging="638"/>
        <w:spacing w:after="0"/>
        <w:tabs>
          <w:tab w:leader="none" w:pos="1000" w:val="left"/>
        </w:tabs>
        <w:numPr>
          <w:ilvl w:val="0"/>
          <w:numId w:val="1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w:t>
      </w:r>
      <w:r>
        <w:rPr>
          <w:rFonts w:ascii="Times New Roman" w:cs="Times New Roman" w:eastAsia="Times New Roman" w:hAnsi="Times New Roman"/>
          <w:sz w:val="13"/>
          <w:szCs w:val="13"/>
          <w:b w:val="1"/>
          <w:bCs w:val="1"/>
          <w:color w:val="231F20"/>
        </w:rPr>
        <w:t>ptions and</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tock</w:t>
      </w:r>
      <w:r>
        <w:rPr>
          <w:rFonts w:ascii="Times New Roman" w:cs="Times New Roman" w:eastAsia="Times New Roman" w:hAnsi="Times New Roman"/>
          <w:sz w:val="20"/>
          <w:szCs w:val="20"/>
          <w:b w:val="1"/>
          <w:bCs w:val="1"/>
          <w:color w:val="231F20"/>
        </w:rPr>
        <w:t xml:space="preserve"> A</w:t>
      </w:r>
      <w:r>
        <w:rPr>
          <w:rFonts w:ascii="Times New Roman" w:cs="Times New Roman" w:eastAsia="Times New Roman" w:hAnsi="Times New Roman"/>
          <w:sz w:val="13"/>
          <w:szCs w:val="13"/>
          <w:b w:val="1"/>
          <w:bCs w:val="1"/>
          <w:color w:val="231F20"/>
        </w:rPr>
        <w:t>ppreciation</w:t>
      </w:r>
      <w:r>
        <w:rPr>
          <w:rFonts w:ascii="Times New Roman" w:cs="Times New Roman" w:eastAsia="Times New Roman" w:hAnsi="Times New Roman"/>
          <w:sz w:val="20"/>
          <w:szCs w:val="20"/>
          <w:b w:val="1"/>
          <w:bCs w:val="1"/>
          <w:color w:val="231F20"/>
        </w:rPr>
        <w:t xml:space="preserve"> R</w:t>
      </w:r>
      <w:r>
        <w:rPr>
          <w:rFonts w:ascii="Times New Roman" w:cs="Times New Roman" w:eastAsia="Times New Roman" w:hAnsi="Times New Roman"/>
          <w:sz w:val="13"/>
          <w:szCs w:val="13"/>
          <w:b w:val="1"/>
          <w:bCs w:val="1"/>
          <w:color w:val="231F20"/>
        </w:rPr>
        <w:t>ights</w:t>
      </w:r>
      <w:r>
        <w:rPr>
          <w:rFonts w:ascii="Times New Roman" w:cs="Times New Roman" w:eastAsia="Times New Roman" w:hAnsi="Times New Roman"/>
          <w:sz w:val="20"/>
          <w:szCs w:val="20"/>
          <w:b w:val="1"/>
          <w:bCs w:val="1"/>
          <w:color w:val="231F20"/>
        </w:rPr>
        <w:t>.</w:t>
      </w:r>
    </w:p>
    <w:p>
      <w:pPr>
        <w:spacing w:after="0" w:line="233" w:lineRule="exact"/>
        <w:rPr>
          <w:sz w:val="20"/>
          <w:szCs w:val="20"/>
          <w:color w:val="auto"/>
        </w:rPr>
      </w:pPr>
    </w:p>
    <w:p>
      <w:pPr>
        <w:jc w:val="both"/>
        <w:ind w:left="360" w:firstLine="747"/>
        <w:spacing w:after="0" w:line="246" w:lineRule="auto"/>
        <w:rPr>
          <w:sz w:val="20"/>
          <w:szCs w:val="20"/>
          <w:color w:val="auto"/>
        </w:rPr>
      </w:pPr>
      <w:r>
        <w:rPr>
          <w:rFonts w:ascii="Times New Roman" w:cs="Times New Roman" w:eastAsia="Times New Roman" w:hAnsi="Times New Roman"/>
          <w:sz w:val="20"/>
          <w:szCs w:val="20"/>
          <w:color w:val="231F20"/>
        </w:rPr>
        <w:t>Each Option and SAR will have such terms and conditions as determined by the Board. Each Option will be a Nonstatutory Stock Option.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1" w:lineRule="exact"/>
        <w:rPr>
          <w:sz w:val="20"/>
          <w:szCs w:val="20"/>
          <w:color w:val="auto"/>
        </w:rPr>
      </w:pPr>
    </w:p>
    <w:p>
      <w:pPr>
        <w:ind w:left="360" w:right="20" w:firstLine="725"/>
        <w:spacing w:after="0" w:line="273" w:lineRule="auto"/>
        <w:tabs>
          <w:tab w:leader="none" w:pos="1473" w:val="left"/>
        </w:tabs>
        <w:numPr>
          <w:ilvl w:val="0"/>
          <w:numId w:val="1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Term. </w:t>
      </w:r>
      <w:r>
        <w:rPr>
          <w:rFonts w:ascii="Times New Roman" w:cs="Times New Roman" w:eastAsia="Times New Roman" w:hAnsi="Times New Roman"/>
          <w:sz w:val="20"/>
          <w:szCs w:val="20"/>
          <w:color w:val="231F20"/>
        </w:rPr>
        <w:t>No Option or SAR will be exercisable after the expiration of ten years from the date of grant of such Award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such shorter period specified in the Award Agreement.</w:t>
      </w:r>
    </w:p>
    <w:p>
      <w:pPr>
        <w:spacing w:after="0" w:line="138" w:lineRule="exact"/>
        <w:rPr>
          <w:rFonts w:ascii="Times New Roman" w:cs="Times New Roman" w:eastAsia="Times New Roman" w:hAnsi="Times New Roman"/>
          <w:sz w:val="20"/>
          <w:szCs w:val="20"/>
          <w:b w:val="1"/>
          <w:bCs w:val="1"/>
          <w:color w:val="231F20"/>
        </w:rPr>
      </w:pPr>
    </w:p>
    <w:p>
      <w:pPr>
        <w:jc w:val="both"/>
        <w:ind w:left="360" w:firstLine="751"/>
        <w:spacing w:after="0" w:line="247" w:lineRule="auto"/>
        <w:tabs>
          <w:tab w:leader="none" w:pos="1499" w:val="left"/>
        </w:tabs>
        <w:numPr>
          <w:ilvl w:val="1"/>
          <w:numId w:val="1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Exercise or Strike Price. </w:t>
      </w:r>
      <w:r>
        <w:rPr>
          <w:rFonts w:ascii="Times New Roman" w:cs="Times New Roman" w:eastAsia="Times New Roman" w:hAnsi="Times New Roman"/>
          <w:sz w:val="20"/>
          <w:szCs w:val="20"/>
          <w:color w:val="231F20"/>
        </w:rPr>
        <w:t>The exercise or strike price of each Option or SAR will not be less than 100% of the Fair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of the Code.</w:t>
      </w:r>
    </w:p>
    <w:p>
      <w:pPr>
        <w:spacing w:after="0" w:line="180" w:lineRule="exact"/>
        <w:rPr>
          <w:rFonts w:ascii="Times New Roman" w:cs="Times New Roman" w:eastAsia="Times New Roman" w:hAnsi="Times New Roman"/>
          <w:sz w:val="20"/>
          <w:szCs w:val="20"/>
          <w:b w:val="1"/>
          <w:bCs w:val="1"/>
          <w:color w:val="231F20"/>
        </w:rPr>
      </w:pPr>
    </w:p>
    <w:p>
      <w:pPr>
        <w:jc w:val="both"/>
        <w:ind w:left="360" w:firstLine="751"/>
        <w:spacing w:after="0" w:line="256" w:lineRule="auto"/>
        <w:tabs>
          <w:tab w:leader="none" w:pos="1499" w:val="left"/>
        </w:tabs>
        <w:numPr>
          <w:ilvl w:val="1"/>
          <w:numId w:val="1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Exercise Procedure and Payment of Exercise Price for Options. </w:t>
      </w:r>
      <w:r>
        <w:rPr>
          <w:rFonts w:ascii="Times New Roman" w:cs="Times New Roman" w:eastAsia="Times New Roman" w:hAnsi="Times New Roman"/>
          <w:sz w:val="20"/>
          <w:szCs w:val="20"/>
          <w:color w:val="231F20"/>
        </w:rPr>
        <w:t>In order to exercise an Option, the Participant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must provide notice of exercise to the Plan Administrator in accordance with the procedures specified in the Option Agreement or otherwise provided by the Company. The Board has the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0" w:name="page11"/>
    <w:bookmarkEnd w:id="10"/>
    <w:p>
      <w:pPr>
        <w:spacing w:after="0" w:line="108" w:lineRule="exact"/>
        <w:rPr>
          <w:sz w:val="20"/>
          <w:szCs w:val="20"/>
          <w:color w:val="auto"/>
        </w:rPr>
      </w:pPr>
    </w:p>
    <w:p>
      <w:pPr>
        <w:jc w:val="both"/>
        <w:ind w:left="360"/>
        <w:spacing w:after="0" w:line="249" w:lineRule="auto"/>
        <w:rPr>
          <w:sz w:val="20"/>
          <w:szCs w:val="20"/>
          <w:color w:val="auto"/>
        </w:rPr>
      </w:pPr>
      <w:r>
        <w:rPr>
          <w:rFonts w:ascii="Times New Roman" w:cs="Times New Roman" w:eastAsia="Times New Roman" w:hAnsi="Times New Roman"/>
          <w:sz w:val="20"/>
          <w:szCs w:val="20"/>
          <w:color w:val="231F20"/>
        </w:rPr>
        <w:t>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231F20"/>
        </w:rPr>
        <w:t>(i)</w:t>
      </w:r>
      <w:r>
        <w:rPr>
          <w:rFonts w:ascii="Times New Roman" w:cs="Times New Roman" w:eastAsia="Times New Roman" w:hAnsi="Times New Roman"/>
          <w:sz w:val="20"/>
          <w:szCs w:val="20"/>
          <w:color w:val="231F20"/>
        </w:rPr>
        <w:t>by cash or check, bank draft or money order payable to the Company;</w:t>
      </w:r>
    </w:p>
    <w:p>
      <w:pPr>
        <w:spacing w:after="0" w:line="216" w:lineRule="exact"/>
        <w:rPr>
          <w:sz w:val="20"/>
          <w:szCs w:val="20"/>
          <w:color w:val="auto"/>
        </w:rPr>
      </w:pPr>
    </w:p>
    <w:p>
      <w:pPr>
        <w:jc w:val="both"/>
        <w:ind w:left="360" w:right="20" w:firstLine="1446"/>
        <w:spacing w:after="0" w:line="256" w:lineRule="auto"/>
        <w:rPr>
          <w:sz w:val="20"/>
          <w:szCs w:val="20"/>
          <w:color w:val="auto"/>
        </w:rPr>
      </w:pPr>
      <w:r>
        <w:rPr>
          <w:rFonts w:ascii="Times New Roman" w:cs="Times New Roman" w:eastAsia="Times New Roman" w:hAnsi="Times New Roman"/>
          <w:sz w:val="20"/>
          <w:szCs w:val="20"/>
          <w:b w:val="1"/>
          <w:bCs w:val="1"/>
          <w:color w:val="231F20"/>
        </w:rPr>
        <w:t>(ii)</w:t>
      </w:r>
      <w:r>
        <w:rPr>
          <w:rFonts w:ascii="Times New Roman" w:cs="Times New Roman" w:eastAsia="Times New Roman" w:hAnsi="Times New Roman"/>
          <w:sz w:val="20"/>
          <w:szCs w:val="20"/>
          <w:color w:val="231F20"/>
        </w:rPr>
        <w:t>pursuant to a “cashless exercise” program developed under Regulation T as promulgated by the Federal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69" w:lineRule="exact"/>
        <w:rPr>
          <w:sz w:val="20"/>
          <w:szCs w:val="20"/>
          <w:color w:val="auto"/>
        </w:rPr>
      </w:pPr>
    </w:p>
    <w:p>
      <w:pPr>
        <w:jc w:val="both"/>
        <w:ind w:left="360" w:firstLine="1497"/>
        <w:spacing w:after="0" w:line="256" w:lineRule="auto"/>
        <w:rPr>
          <w:sz w:val="20"/>
          <w:szCs w:val="20"/>
          <w:color w:val="auto"/>
        </w:rPr>
      </w:pPr>
      <w:r>
        <w:rPr>
          <w:rFonts w:ascii="Times New Roman" w:cs="Times New Roman" w:eastAsia="Times New Roman" w:hAnsi="Times New Roman"/>
          <w:sz w:val="19"/>
          <w:szCs w:val="19"/>
          <w:b w:val="1"/>
          <w:bCs w:val="1"/>
          <w:color w:val="231F20"/>
        </w:rPr>
        <w:t>(iii)</w:t>
      </w:r>
      <w:r>
        <w:rPr>
          <w:rFonts w:ascii="Times New Roman" w:cs="Times New Roman" w:eastAsia="Times New Roman" w:hAnsi="Times New Roman"/>
          <w:sz w:val="19"/>
          <w:szCs w:val="19"/>
          <w:color w:val="231F20"/>
        </w:rPr>
        <w:t>by delivery to the Company (either by actual delivery or attestation) of shares of Common Stock that are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w:t>
      </w:r>
    </w:p>
    <w:p>
      <w:pPr>
        <w:spacing w:after="0" w:line="5" w:lineRule="exact"/>
        <w:rPr>
          <w:sz w:val="20"/>
          <w:szCs w:val="20"/>
          <w:color w:val="auto"/>
        </w:rPr>
      </w:pPr>
    </w:p>
    <w:p>
      <w:pPr>
        <w:ind w:left="360" w:firstLine="2"/>
        <w:spacing w:after="0" w:line="246" w:lineRule="auto"/>
        <w:tabs>
          <w:tab w:leader="none" w:pos="66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such shares have been held by the Participant for any minimum period necessary to avoid adverse accounting treatment as a result of such delivery;</w:t>
      </w:r>
    </w:p>
    <w:p>
      <w:pPr>
        <w:spacing w:after="0" w:line="178" w:lineRule="exact"/>
        <w:rPr>
          <w:sz w:val="20"/>
          <w:szCs w:val="20"/>
          <w:color w:val="auto"/>
        </w:rPr>
      </w:pPr>
    </w:p>
    <w:p>
      <w:pPr>
        <w:jc w:val="both"/>
        <w:ind w:left="360" w:right="20" w:firstLine="1446"/>
        <w:spacing w:after="0" w:line="261" w:lineRule="auto"/>
        <w:rPr>
          <w:sz w:val="20"/>
          <w:szCs w:val="20"/>
          <w:color w:val="auto"/>
        </w:rPr>
      </w:pPr>
      <w:r>
        <w:rPr>
          <w:rFonts w:ascii="Times New Roman" w:cs="Times New Roman" w:eastAsia="Times New Roman" w:hAnsi="Times New Roman"/>
          <w:sz w:val="19"/>
          <w:szCs w:val="19"/>
          <w:b w:val="1"/>
          <w:bCs w:val="1"/>
          <w:color w:val="231F20"/>
        </w:rPr>
        <w:t>(iv)</w:t>
      </w:r>
      <w:r>
        <w:rPr>
          <w:rFonts w:ascii="Times New Roman" w:cs="Times New Roman" w:eastAsia="Times New Roman" w:hAnsi="Times New Roman"/>
          <w:sz w:val="19"/>
          <w:szCs w:val="19"/>
          <w:color w:val="231F20"/>
        </w:rPr>
        <w:t>by a “net exercise” arrangement pursuant to which the Company will reduce the number of shares of</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Common Stock issuable upon exercise by the largest whole number of shares with a Fair Market Value on the date of exercise that does not exceed the exercise price, provided that (1) such shares used to pay the exercise price will not be exercisable thereafter and</w:t>
      </w:r>
    </w:p>
    <w:p>
      <w:pPr>
        <w:spacing w:after="0" w:line="2" w:lineRule="exact"/>
        <w:rPr>
          <w:sz w:val="20"/>
          <w:szCs w:val="20"/>
          <w:color w:val="auto"/>
        </w:rPr>
      </w:pPr>
    </w:p>
    <w:p>
      <w:pPr>
        <w:ind w:left="360" w:right="20" w:firstLine="2"/>
        <w:spacing w:after="0" w:line="246" w:lineRule="auto"/>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remaining balance of the exercise price not satisfied by such net exercise is paid by the Participant in cash or other permitted form of payment; or</w:t>
      </w:r>
    </w:p>
    <w:p>
      <w:pPr>
        <w:spacing w:after="0" w:line="1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231F20"/>
        </w:rPr>
        <w:t>(v)</w:t>
      </w:r>
      <w:r>
        <w:rPr>
          <w:rFonts w:ascii="Times New Roman" w:cs="Times New Roman" w:eastAsia="Times New Roman" w:hAnsi="Times New Roman"/>
          <w:sz w:val="19"/>
          <w:szCs w:val="19"/>
          <w:color w:val="231F20"/>
        </w:rPr>
        <w:t>in any other form of consideration that may be acceptable to the Board and permissible under Applicable Law.</w:t>
      </w:r>
    </w:p>
    <w:p>
      <w:pPr>
        <w:spacing w:after="0" w:line="227" w:lineRule="exact"/>
        <w:rPr>
          <w:sz w:val="20"/>
          <w:szCs w:val="20"/>
          <w:color w:val="auto"/>
        </w:rPr>
      </w:pPr>
    </w:p>
    <w:p>
      <w:pPr>
        <w:jc w:val="both"/>
        <w:ind w:left="400" w:firstLine="741"/>
        <w:spacing w:after="0" w:line="245" w:lineRule="auto"/>
        <w:tabs>
          <w:tab w:leader="none" w:pos="1510" w:val="left"/>
        </w:tabs>
        <w:numPr>
          <w:ilvl w:val="0"/>
          <w:numId w:val="1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Exercise Procedure and Payment of Appreciation Distribution for SARs. </w:t>
      </w:r>
      <w:r>
        <w:rPr>
          <w:rFonts w:ascii="Times New Roman" w:cs="Times New Roman" w:eastAsia="Times New Roman" w:hAnsi="Times New Roman"/>
          <w:sz w:val="20"/>
          <w:szCs w:val="20"/>
          <w:color w:val="231F20"/>
        </w:rPr>
        <w:t>In order to exercise any SAR,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9" w:lineRule="exact"/>
        <w:rPr>
          <w:rFonts w:ascii="Times New Roman" w:cs="Times New Roman" w:eastAsia="Times New Roman" w:hAnsi="Times New Roman"/>
          <w:sz w:val="20"/>
          <w:szCs w:val="20"/>
          <w:b w:val="1"/>
          <w:bCs w:val="1"/>
          <w:color w:val="231F20"/>
        </w:rPr>
      </w:pPr>
    </w:p>
    <w:p>
      <w:pPr>
        <w:jc w:val="both"/>
        <w:ind w:left="400" w:right="20" w:firstLine="741"/>
        <w:spacing w:after="0" w:line="250" w:lineRule="auto"/>
        <w:tabs>
          <w:tab w:leader="none" w:pos="1510" w:val="left"/>
        </w:tabs>
        <w:numPr>
          <w:ilvl w:val="0"/>
          <w:numId w:val="1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Transferability. </w:t>
      </w:r>
      <w:r>
        <w:rPr>
          <w:rFonts w:ascii="Times New Roman" w:cs="Times New Roman" w:eastAsia="Times New Roman" w:hAnsi="Times New Roman"/>
          <w:sz w:val="20"/>
          <w:szCs w:val="20"/>
          <w:color w:val="231F20"/>
        </w:rPr>
        <w:t>Options and SARs may not be transferred to third party financial institutions for value. The Board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spacing w:after="0" w:line="176" w:lineRule="exact"/>
        <w:rPr>
          <w:sz w:val="20"/>
          <w:szCs w:val="20"/>
          <w:color w:val="auto"/>
        </w:rPr>
      </w:pPr>
    </w:p>
    <w:p>
      <w:pPr>
        <w:ind w:left="360" w:right="20" w:firstLine="1587"/>
        <w:spacing w:after="0" w:line="273" w:lineRule="auto"/>
        <w:rPr>
          <w:sz w:val="20"/>
          <w:szCs w:val="20"/>
          <w:color w:val="auto"/>
        </w:rPr>
      </w:pPr>
      <w:r>
        <w:rPr>
          <w:rFonts w:ascii="Times New Roman" w:cs="Times New Roman" w:eastAsia="Times New Roman" w:hAnsi="Times New Roman"/>
          <w:sz w:val="20"/>
          <w:szCs w:val="20"/>
          <w:b w:val="1"/>
          <w:bCs w:val="1"/>
          <w:color w:val="231F20"/>
        </w:rPr>
        <w:t xml:space="preserve">(i)Restrictions on Transfer. </w:t>
      </w:r>
      <w:r>
        <w:rPr>
          <w:rFonts w:ascii="Times New Roman" w:cs="Times New Roman" w:eastAsia="Times New Roman" w:hAnsi="Times New Roman"/>
          <w:sz w:val="20"/>
          <w:szCs w:val="20"/>
          <w:color w:val="231F20"/>
        </w:rPr>
        <w:t>An Option or SAR will not be transferable, except by will or by the laws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descent and distribution, and will be exercisable during the lifetime of the Participant only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1" w:name="page12"/>
    <w:bookmarkEnd w:id="11"/>
    <w:p>
      <w:pPr>
        <w:spacing w:after="0" w:line="108"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9"/>
          <w:szCs w:val="19"/>
          <w:color w:val="231F20"/>
        </w:rPr>
        <w:t>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61" w:lineRule="exact"/>
        <w:rPr>
          <w:sz w:val="20"/>
          <w:szCs w:val="20"/>
          <w:color w:val="auto"/>
        </w:rPr>
      </w:pPr>
    </w:p>
    <w:p>
      <w:pPr>
        <w:jc w:val="both"/>
        <w:ind w:left="360" w:firstLine="1590"/>
        <w:spacing w:after="0" w:line="256" w:lineRule="auto"/>
        <w:tabs>
          <w:tab w:leader="none" w:pos="2320" w:val="left"/>
        </w:tabs>
        <w:numPr>
          <w:ilvl w:val="1"/>
          <w:numId w:val="2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Domestic Relations Orders. </w:t>
      </w:r>
      <w:r>
        <w:rPr>
          <w:rFonts w:ascii="Times New Roman" w:cs="Times New Roman" w:eastAsia="Times New Roman" w:hAnsi="Times New Roman"/>
          <w:sz w:val="20"/>
          <w:szCs w:val="20"/>
          <w:color w:val="231F20"/>
        </w:rPr>
        <w:t>Notwithstanding the foregoing, subject to the execution of transfer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documentation in a format acceptable to the Company and subject to the approval of the Board or a duly authorized Officer, an Option or SAR may be transferred pursuant to a domestic relations order.</w:t>
      </w:r>
    </w:p>
    <w:p>
      <w:pPr>
        <w:spacing w:after="0" w:line="168" w:lineRule="exact"/>
        <w:rPr>
          <w:rFonts w:ascii="Times New Roman" w:cs="Times New Roman" w:eastAsia="Times New Roman" w:hAnsi="Times New Roman"/>
          <w:sz w:val="20"/>
          <w:szCs w:val="20"/>
          <w:b w:val="1"/>
          <w:bCs w:val="1"/>
          <w:color w:val="231F20"/>
        </w:rPr>
      </w:pPr>
    </w:p>
    <w:p>
      <w:pPr>
        <w:jc w:val="both"/>
        <w:ind w:left="400" w:right="20" w:firstLine="741"/>
        <w:spacing w:after="0" w:line="250" w:lineRule="auto"/>
        <w:tabs>
          <w:tab w:leader="none" w:pos="1510" w:val="left"/>
        </w:tabs>
        <w:numPr>
          <w:ilvl w:val="0"/>
          <w:numId w:val="2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Vesting. </w:t>
      </w:r>
      <w:r>
        <w:rPr>
          <w:rFonts w:ascii="Times New Roman" w:cs="Times New Roman" w:eastAsia="Times New Roman" w:hAnsi="Times New Roman"/>
          <w:sz w:val="20"/>
          <w:szCs w:val="20"/>
          <w:color w:val="231F20"/>
        </w:rPr>
        <w:t>The Board may impose such restrictions on or conditions to the vesting and/or exercisability of an Option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75" w:lineRule="exact"/>
        <w:rPr>
          <w:rFonts w:ascii="Times New Roman" w:cs="Times New Roman" w:eastAsia="Times New Roman" w:hAnsi="Times New Roman"/>
          <w:sz w:val="20"/>
          <w:szCs w:val="20"/>
          <w:b w:val="1"/>
          <w:bCs w:val="1"/>
          <w:color w:val="231F20"/>
        </w:rPr>
      </w:pPr>
    </w:p>
    <w:p>
      <w:pPr>
        <w:jc w:val="both"/>
        <w:ind w:left="400" w:right="20" w:firstLine="741"/>
        <w:spacing w:after="0" w:line="245" w:lineRule="auto"/>
        <w:tabs>
          <w:tab w:leader="none" w:pos="1510" w:val="left"/>
        </w:tabs>
        <w:numPr>
          <w:ilvl w:val="0"/>
          <w:numId w:val="2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Termination of Continuous Service for Cause. </w:t>
      </w:r>
      <w:r>
        <w:rPr>
          <w:rFonts w:ascii="Times New Roman" w:cs="Times New Roman" w:eastAsia="Times New Roman" w:hAnsi="Times New Roman"/>
          <w:sz w:val="20"/>
          <w:szCs w:val="20"/>
          <w:color w:val="231F20"/>
        </w:rPr>
        <w:t>Except as explicitly otherwise provided in the Award Agreement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9" w:lineRule="exact"/>
        <w:rPr>
          <w:rFonts w:ascii="Times New Roman" w:cs="Times New Roman" w:eastAsia="Times New Roman" w:hAnsi="Times New Roman"/>
          <w:sz w:val="20"/>
          <w:szCs w:val="20"/>
          <w:b w:val="1"/>
          <w:bCs w:val="1"/>
          <w:color w:val="231F20"/>
        </w:rPr>
      </w:pPr>
    </w:p>
    <w:p>
      <w:pPr>
        <w:jc w:val="both"/>
        <w:ind w:left="400" w:right="20" w:firstLine="741"/>
        <w:spacing w:after="0" w:line="246" w:lineRule="auto"/>
        <w:tabs>
          <w:tab w:leader="none" w:pos="1510" w:val="left"/>
        </w:tabs>
        <w:numPr>
          <w:ilvl w:val="0"/>
          <w:numId w:val="2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Post-Termination Exercise Period Following Termination of Continuous Service for Reasons Other than Cause. </w:t>
      </w:r>
      <w:r>
        <w:rPr>
          <w:rFonts w:ascii="Times New Roman" w:cs="Times New Roman" w:eastAsia="Times New Roman" w:hAnsi="Times New Roman"/>
          <w:sz w:val="20"/>
          <w:szCs w:val="20"/>
          <w:color w:val="231F20"/>
        </w:rPr>
        <w:t>Subject to Section 4(i), if a Participant’s Continuous Service terminates for any reason other than for Cause, the Participant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2" w:lineRule="exact"/>
        <w:rPr>
          <w:rFonts w:ascii="Times New Roman" w:cs="Times New Roman" w:eastAsia="Times New Roman" w:hAnsi="Times New Roman"/>
          <w:sz w:val="20"/>
          <w:szCs w:val="20"/>
          <w:b w:val="1"/>
          <w:bCs w:val="1"/>
          <w:color w:val="231F20"/>
        </w:rPr>
      </w:pPr>
    </w:p>
    <w:p>
      <w:pPr>
        <w:ind w:left="460" w:right="20" w:firstLine="1490"/>
        <w:spacing w:after="0" w:line="269" w:lineRule="auto"/>
        <w:tabs>
          <w:tab w:leader="none" w:pos="2606" w:val="left"/>
        </w:tabs>
        <w:numPr>
          <w:ilvl w:val="1"/>
          <w:numId w:val="2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three months following the date of such termination if such termination is a termination without Cause (other than any termination due to the Participant’s Disability or death);</w:t>
      </w:r>
    </w:p>
    <w:p>
      <w:pPr>
        <w:spacing w:after="0" w:line="159" w:lineRule="exact"/>
        <w:rPr>
          <w:sz w:val="20"/>
          <w:szCs w:val="20"/>
          <w:color w:val="auto"/>
        </w:rPr>
      </w:pPr>
    </w:p>
    <w:p>
      <w:pPr>
        <w:ind w:left="2940" w:hanging="990"/>
        <w:spacing w:after="0"/>
        <w:tabs>
          <w:tab w:leader="none" w:pos="2940" w:val="left"/>
        </w:tabs>
        <w:numPr>
          <w:ilvl w:val="0"/>
          <w:numId w:val="2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12 months following the date of such termination if such termination is due to the Participant’s</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Disability;</w:t>
      </w:r>
    </w:p>
    <w:p>
      <w:pPr>
        <w:spacing w:after="0" w:line="19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b w:val="1"/>
          <w:bCs w:val="1"/>
          <w:color w:val="231F20"/>
        </w:rPr>
        <w:t>(iii)</w:t>
      </w:r>
      <w:r>
        <w:rPr>
          <w:rFonts w:ascii="Times New Roman" w:cs="Times New Roman" w:eastAsia="Times New Roman" w:hAnsi="Times New Roman"/>
          <w:sz w:val="20"/>
          <w:szCs w:val="20"/>
          <w:color w:val="231F20"/>
        </w:rPr>
        <w:t>18 months following the date of such termination if such termination is due to the Participant’s death; or</w:t>
      </w:r>
    </w:p>
    <w:p>
      <w:pPr>
        <w:spacing w:after="0" w:line="216" w:lineRule="exact"/>
        <w:rPr>
          <w:sz w:val="20"/>
          <w:szCs w:val="20"/>
          <w:color w:val="auto"/>
        </w:rPr>
      </w:pPr>
    </w:p>
    <w:p>
      <w:pPr>
        <w:ind w:left="460" w:right="20" w:firstLine="1498"/>
        <w:spacing w:after="0" w:line="273" w:lineRule="auto"/>
        <w:rPr>
          <w:sz w:val="20"/>
          <w:szCs w:val="20"/>
          <w:color w:val="auto"/>
        </w:rPr>
      </w:pPr>
      <w:r>
        <w:rPr>
          <w:rFonts w:ascii="Times New Roman" w:cs="Times New Roman" w:eastAsia="Times New Roman" w:hAnsi="Times New Roman"/>
          <w:sz w:val="20"/>
          <w:szCs w:val="20"/>
          <w:b w:val="1"/>
          <w:bCs w:val="1"/>
          <w:color w:val="231F20"/>
        </w:rPr>
        <w:t xml:space="preserve">(iv) </w:t>
      </w:r>
      <w:r>
        <w:rPr>
          <w:rFonts w:ascii="Times New Roman" w:cs="Times New Roman" w:eastAsia="Times New Roman" w:hAnsi="Times New Roman"/>
          <w:sz w:val="20"/>
          <w:szCs w:val="20"/>
          <w:color w:val="231F20"/>
        </w:rPr>
        <w:t>18 months following the date of the Participant’s death if such death occurs following the date of such</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termination but during the period such Award is otherwise exercisable (as provided in (i) or (ii) above).</w:t>
      </w:r>
    </w:p>
    <w:p>
      <w:pPr>
        <w:spacing w:after="0" w:line="156" w:lineRule="exact"/>
        <w:rPr>
          <w:sz w:val="20"/>
          <w:szCs w:val="20"/>
          <w:color w:val="auto"/>
        </w:rPr>
      </w:pPr>
    </w:p>
    <w:p>
      <w:pPr>
        <w:jc w:val="both"/>
        <w:ind w:left="360"/>
        <w:spacing w:after="0" w:line="249" w:lineRule="auto"/>
        <w:rPr>
          <w:sz w:val="20"/>
          <w:szCs w:val="20"/>
          <w:color w:val="auto"/>
        </w:rPr>
      </w:pPr>
      <w:r>
        <w:rPr>
          <w:rFonts w:ascii="Times New Roman" w:cs="Times New Roman" w:eastAsia="Times New Roman" w:hAnsi="Times New Roman"/>
          <w:sz w:val="20"/>
          <w:szCs w:val="20"/>
          <w:color w:val="231F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7" w:lineRule="exact"/>
        <w:rPr>
          <w:sz w:val="20"/>
          <w:szCs w:val="20"/>
          <w:color w:val="auto"/>
        </w:rPr>
      </w:pPr>
    </w:p>
    <w:p>
      <w:pPr>
        <w:ind w:left="1480" w:hanging="395"/>
        <w:spacing w:after="0"/>
        <w:tabs>
          <w:tab w:leader="none" w:pos="1480" w:val="left"/>
        </w:tabs>
        <w:numPr>
          <w:ilvl w:val="0"/>
          <w:numId w:val="2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Restrictions on Exercise; Extension of Exercisability. </w:t>
      </w:r>
      <w:r>
        <w:rPr>
          <w:rFonts w:ascii="Times New Roman" w:cs="Times New Roman" w:eastAsia="Times New Roman" w:hAnsi="Times New Roman"/>
          <w:sz w:val="20"/>
          <w:szCs w:val="20"/>
          <w:color w:val="231F20"/>
        </w:rPr>
        <w:t>A Participant may not exercise 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2" w:name="page13"/>
    <w:bookmarkEnd w:id="12"/>
    <w:p>
      <w:pPr>
        <w:jc w:val="both"/>
        <w:ind w:left="360" w:right="20"/>
        <w:spacing w:after="0" w:line="242" w:lineRule="auto"/>
        <w:rPr>
          <w:sz w:val="20"/>
          <w:szCs w:val="20"/>
          <w:color w:val="auto"/>
        </w:rPr>
      </w:pPr>
      <w:r>
        <w:rPr>
          <w:rFonts w:ascii="Times New Roman" w:cs="Times New Roman" w:eastAsia="Times New Roman" w:hAnsi="Times New Roman"/>
          <w:sz w:val="20"/>
          <w:szCs w:val="20"/>
          <w:color w:val="231F20"/>
        </w:rPr>
        <w:t>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6" w:lineRule="exact"/>
        <w:rPr>
          <w:sz w:val="20"/>
          <w:szCs w:val="20"/>
          <w:color w:val="auto"/>
        </w:rPr>
      </w:pPr>
    </w:p>
    <w:p>
      <w:pPr>
        <w:jc w:val="both"/>
        <w:ind w:left="360" w:right="20" w:firstLine="725"/>
        <w:spacing w:after="0" w:line="244" w:lineRule="auto"/>
        <w:tabs>
          <w:tab w:leader="none" w:pos="1473" w:val="left"/>
        </w:tabs>
        <w:numPr>
          <w:ilvl w:val="1"/>
          <w:numId w:val="2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Non-Exempt Employees</w:t>
      </w:r>
      <w:r>
        <w:rPr>
          <w:rFonts w:ascii="Times New Roman" w:cs="Times New Roman" w:eastAsia="Times New Roman" w:hAnsi="Times New Roman"/>
          <w:sz w:val="20"/>
          <w:szCs w:val="20"/>
          <w:color w:val="231F20"/>
        </w:rPr>
        <w:t>. No Option or SAR, whether or not vested, granted to an Eligible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w:t>
      </w:r>
    </w:p>
    <w:p>
      <w:pPr>
        <w:spacing w:after="0" w:line="4" w:lineRule="exact"/>
        <w:rPr>
          <w:rFonts w:ascii="Times New Roman" w:cs="Times New Roman" w:eastAsia="Times New Roman" w:hAnsi="Times New Roman"/>
          <w:sz w:val="20"/>
          <w:szCs w:val="20"/>
          <w:b w:val="1"/>
          <w:bCs w:val="1"/>
          <w:color w:val="231F20"/>
        </w:rPr>
      </w:pPr>
    </w:p>
    <w:p>
      <w:pPr>
        <w:jc w:val="both"/>
        <w:ind w:left="360" w:firstLine="2"/>
        <w:spacing w:after="0" w:line="241" w:lineRule="auto"/>
        <w:tabs>
          <w:tab w:leader="none" w:pos="664"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2" w:lineRule="exact"/>
        <w:rPr>
          <w:rFonts w:ascii="Times New Roman" w:cs="Times New Roman" w:eastAsia="Times New Roman" w:hAnsi="Times New Roman"/>
          <w:sz w:val="20"/>
          <w:szCs w:val="20"/>
          <w:color w:val="231F20"/>
        </w:rPr>
      </w:pPr>
    </w:p>
    <w:p>
      <w:pPr>
        <w:ind w:left="1480" w:hanging="395"/>
        <w:spacing w:after="0"/>
        <w:tabs>
          <w:tab w:leader="none" w:pos="1480" w:val="left"/>
        </w:tabs>
        <w:numPr>
          <w:ilvl w:val="1"/>
          <w:numId w:val="2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Whole Shares</w:t>
      </w:r>
      <w:r>
        <w:rPr>
          <w:rFonts w:ascii="Times New Roman" w:cs="Times New Roman" w:eastAsia="Times New Roman" w:hAnsi="Times New Roman"/>
          <w:sz w:val="20"/>
          <w:szCs w:val="20"/>
          <w:color w:val="231F20"/>
        </w:rPr>
        <w:t>. Options and SARs may be exercised only with respect to whole shares of Common Stock or their</w:t>
      </w:r>
    </w:p>
    <w:p>
      <w:pPr>
        <w:spacing w:after="0" w:line="25" w:lineRule="exact"/>
        <w:rPr>
          <w:rFonts w:ascii="Times New Roman" w:cs="Times New Roman" w:eastAsia="Times New Roman" w:hAnsi="Times New Roman"/>
          <w:sz w:val="20"/>
          <w:szCs w:val="20"/>
          <w:b w:val="1"/>
          <w:bCs w:val="1"/>
          <w:color w:val="231F20"/>
        </w:rPr>
      </w:pPr>
    </w:p>
    <w:p>
      <w:pPr>
        <w:ind w:left="36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equivalents.</w:t>
      </w:r>
    </w:p>
    <w:p>
      <w:pPr>
        <w:spacing w:after="0" w:line="190" w:lineRule="exact"/>
        <w:rPr>
          <w:sz w:val="20"/>
          <w:szCs w:val="20"/>
          <w:color w:val="auto"/>
        </w:rPr>
      </w:pPr>
    </w:p>
    <w:p>
      <w:pPr>
        <w:ind w:left="1000" w:hanging="638"/>
        <w:spacing w:after="0"/>
        <w:tabs>
          <w:tab w:leader="none" w:pos="1000" w:val="left"/>
        </w:tabs>
        <w:numPr>
          <w:ilvl w:val="0"/>
          <w:numId w:val="2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w:t>
      </w:r>
      <w:r>
        <w:rPr>
          <w:rFonts w:ascii="Times New Roman" w:cs="Times New Roman" w:eastAsia="Times New Roman" w:hAnsi="Times New Roman"/>
          <w:sz w:val="13"/>
          <w:szCs w:val="13"/>
          <w:b w:val="1"/>
          <w:bCs w:val="1"/>
          <w:color w:val="231F20"/>
        </w:rPr>
        <w:t>wards</w:t>
      </w:r>
      <w:r>
        <w:rPr>
          <w:rFonts w:ascii="Times New Roman" w:cs="Times New Roman" w:eastAsia="Times New Roman" w:hAnsi="Times New Roman"/>
          <w:sz w:val="20"/>
          <w:szCs w:val="20"/>
          <w:b w:val="1"/>
          <w:bCs w:val="1"/>
          <w:color w:val="231F20"/>
        </w:rPr>
        <w:t xml:space="preserve"> O</w:t>
      </w:r>
      <w:r>
        <w:rPr>
          <w:rFonts w:ascii="Times New Roman" w:cs="Times New Roman" w:eastAsia="Times New Roman" w:hAnsi="Times New Roman"/>
          <w:sz w:val="13"/>
          <w:szCs w:val="13"/>
          <w:b w:val="1"/>
          <w:bCs w:val="1"/>
          <w:color w:val="231F20"/>
        </w:rPr>
        <w:t>ther</w:t>
      </w:r>
      <w:r>
        <w:rPr>
          <w:rFonts w:ascii="Times New Roman" w:cs="Times New Roman" w:eastAsia="Times New Roman" w:hAnsi="Times New Roman"/>
          <w:sz w:val="20"/>
          <w:szCs w:val="20"/>
          <w:b w:val="1"/>
          <w:bCs w:val="1"/>
          <w:color w:val="231F20"/>
        </w:rPr>
        <w:t xml:space="preserve"> T</w:t>
      </w:r>
      <w:r>
        <w:rPr>
          <w:rFonts w:ascii="Times New Roman" w:cs="Times New Roman" w:eastAsia="Times New Roman" w:hAnsi="Times New Roman"/>
          <w:sz w:val="13"/>
          <w:szCs w:val="13"/>
          <w:b w:val="1"/>
          <w:bCs w:val="1"/>
          <w:color w:val="231F20"/>
        </w:rPr>
        <w:t>han</w:t>
      </w:r>
      <w:r>
        <w:rPr>
          <w:rFonts w:ascii="Times New Roman" w:cs="Times New Roman" w:eastAsia="Times New Roman" w:hAnsi="Times New Roman"/>
          <w:sz w:val="20"/>
          <w:szCs w:val="20"/>
          <w:b w:val="1"/>
          <w:bCs w:val="1"/>
          <w:color w:val="231F20"/>
        </w:rPr>
        <w:t xml:space="preserve"> O</w:t>
      </w:r>
      <w:r>
        <w:rPr>
          <w:rFonts w:ascii="Times New Roman" w:cs="Times New Roman" w:eastAsia="Times New Roman" w:hAnsi="Times New Roman"/>
          <w:sz w:val="13"/>
          <w:szCs w:val="13"/>
          <w:b w:val="1"/>
          <w:bCs w:val="1"/>
          <w:color w:val="231F20"/>
        </w:rPr>
        <w:t>ptions and</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tock</w:t>
      </w:r>
      <w:r>
        <w:rPr>
          <w:rFonts w:ascii="Times New Roman" w:cs="Times New Roman" w:eastAsia="Times New Roman" w:hAnsi="Times New Roman"/>
          <w:sz w:val="20"/>
          <w:szCs w:val="20"/>
          <w:b w:val="1"/>
          <w:bCs w:val="1"/>
          <w:color w:val="231F20"/>
        </w:rPr>
        <w:t xml:space="preserve"> A</w:t>
      </w:r>
      <w:r>
        <w:rPr>
          <w:rFonts w:ascii="Times New Roman" w:cs="Times New Roman" w:eastAsia="Times New Roman" w:hAnsi="Times New Roman"/>
          <w:sz w:val="13"/>
          <w:szCs w:val="13"/>
          <w:b w:val="1"/>
          <w:bCs w:val="1"/>
          <w:color w:val="231F20"/>
        </w:rPr>
        <w:t>ppreciation</w:t>
      </w:r>
      <w:r>
        <w:rPr>
          <w:rFonts w:ascii="Times New Roman" w:cs="Times New Roman" w:eastAsia="Times New Roman" w:hAnsi="Times New Roman"/>
          <w:sz w:val="20"/>
          <w:szCs w:val="20"/>
          <w:b w:val="1"/>
          <w:bCs w:val="1"/>
          <w:color w:val="231F20"/>
        </w:rPr>
        <w:t xml:space="preserve"> R</w:t>
      </w:r>
      <w:r>
        <w:rPr>
          <w:rFonts w:ascii="Times New Roman" w:cs="Times New Roman" w:eastAsia="Times New Roman" w:hAnsi="Times New Roman"/>
          <w:sz w:val="13"/>
          <w:szCs w:val="13"/>
          <w:b w:val="1"/>
          <w:bCs w:val="1"/>
          <w:color w:val="231F20"/>
        </w:rPr>
        <w:t>ights</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360" w:right="20" w:firstLine="725"/>
        <w:spacing w:after="0" w:line="250" w:lineRule="auto"/>
        <w:tabs>
          <w:tab w:leader="none" w:pos="1473" w:val="left"/>
        </w:tabs>
        <w:numPr>
          <w:ilvl w:val="1"/>
          <w:numId w:val="2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Restricted Stock Awards and RSU Awards. </w:t>
      </w:r>
      <w:r>
        <w:rPr>
          <w:rFonts w:ascii="Times New Roman" w:cs="Times New Roman" w:eastAsia="Times New Roman" w:hAnsi="Times New Roman"/>
          <w:sz w:val="20"/>
          <w:szCs w:val="20"/>
          <w:color w:val="231F20"/>
        </w:rPr>
        <w:t>Each Restricted Stock Award and RSU Award will have such terms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89" w:lineRule="exact"/>
        <w:rPr>
          <w:rFonts w:ascii="Times New Roman" w:cs="Times New Roman" w:eastAsia="Times New Roman" w:hAnsi="Times New Roman"/>
          <w:sz w:val="20"/>
          <w:szCs w:val="20"/>
          <w:b w:val="1"/>
          <w:bCs w:val="1"/>
          <w:color w:val="231F20"/>
        </w:rPr>
      </w:pPr>
    </w:p>
    <w:p>
      <w:pPr>
        <w:ind w:left="2400" w:hanging="720"/>
        <w:spacing w:after="0"/>
        <w:tabs>
          <w:tab w:leader="none" w:pos="2400" w:val="left"/>
        </w:tabs>
        <w:numPr>
          <w:ilvl w:val="2"/>
          <w:numId w:val="2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auto"/>
        </w:rPr>
        <w:t>Form of Award</w:t>
      </w:r>
    </w:p>
    <w:p>
      <w:pPr>
        <w:spacing w:after="0" w:line="233" w:lineRule="exact"/>
        <w:rPr>
          <w:rFonts w:ascii="Times New Roman" w:cs="Times New Roman" w:eastAsia="Times New Roman" w:hAnsi="Times New Roman"/>
          <w:sz w:val="20"/>
          <w:szCs w:val="20"/>
          <w:b w:val="1"/>
          <w:bCs w:val="1"/>
          <w:color w:val="231F20"/>
        </w:rPr>
      </w:pPr>
    </w:p>
    <w:p>
      <w:pPr>
        <w:jc w:val="both"/>
        <w:ind w:left="360" w:firstLine="1874"/>
        <w:spacing w:after="0"/>
        <w:tabs>
          <w:tab w:leader="none" w:pos="2521" w:val="left"/>
        </w:tabs>
        <w:numPr>
          <w:ilvl w:val="4"/>
          <w:numId w:val="26"/>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0"/>
          <w:szCs w:val="20"/>
          <w:color w:val="231F20"/>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42" w:lineRule="exact"/>
        <w:rPr>
          <w:rFonts w:ascii="Times New Roman" w:cs="Times New Roman" w:eastAsia="Times New Roman" w:hAnsi="Times New Roman"/>
          <w:sz w:val="22"/>
          <w:szCs w:val="22"/>
          <w:b w:val="1"/>
          <w:bCs w:val="1"/>
          <w:color w:val="231F20"/>
        </w:rPr>
      </w:pPr>
    </w:p>
    <w:p>
      <w:pPr>
        <w:jc w:val="both"/>
        <w:ind w:left="360" w:right="20" w:firstLine="1810"/>
        <w:spacing w:after="0" w:line="241" w:lineRule="auto"/>
        <w:tabs>
          <w:tab w:leader="none" w:pos="2457" w:val="left"/>
        </w:tabs>
        <w:numPr>
          <w:ilvl w:val="3"/>
          <w:numId w:val="26"/>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0"/>
          <w:szCs w:val="20"/>
          <w:color w:val="231F20"/>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13" w:name="page14"/>
    <w:bookmarkEnd w:id="13"/>
    <w:p>
      <w:pPr>
        <w:jc w:val="both"/>
        <w:ind w:left="360" w:right="20"/>
        <w:spacing w:after="0" w:line="249" w:lineRule="auto"/>
        <w:rPr>
          <w:sz w:val="20"/>
          <w:szCs w:val="20"/>
          <w:color w:val="auto"/>
        </w:rPr>
      </w:pPr>
      <w:r>
        <w:rPr>
          <w:rFonts w:ascii="Times New Roman" w:cs="Times New Roman" w:eastAsia="Times New Roman" w:hAnsi="Times New Roman"/>
          <w:sz w:val="20"/>
          <w:szCs w:val="20"/>
          <w:color w:val="231F20"/>
        </w:rPr>
        <w:t>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43" w:lineRule="exact"/>
        <w:rPr>
          <w:sz w:val="20"/>
          <w:szCs w:val="20"/>
          <w:color w:val="auto"/>
        </w:rPr>
      </w:pPr>
    </w:p>
    <w:p>
      <w:pPr>
        <w:ind w:left="2400" w:hanging="720"/>
        <w:spacing w:after="0"/>
        <w:tabs>
          <w:tab w:leader="none" w:pos="2400" w:val="left"/>
        </w:tabs>
        <w:numPr>
          <w:ilvl w:val="2"/>
          <w:numId w:val="2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auto"/>
        </w:rPr>
        <w:t>Consideration.</w:t>
      </w:r>
    </w:p>
    <w:p>
      <w:pPr>
        <w:spacing w:after="0" w:line="233" w:lineRule="exact"/>
        <w:rPr>
          <w:rFonts w:ascii="Times New Roman" w:cs="Times New Roman" w:eastAsia="Times New Roman" w:hAnsi="Times New Roman"/>
          <w:sz w:val="20"/>
          <w:szCs w:val="20"/>
          <w:b w:val="1"/>
          <w:bCs w:val="1"/>
          <w:color w:val="231F20"/>
        </w:rPr>
      </w:pPr>
    </w:p>
    <w:p>
      <w:pPr>
        <w:jc w:val="both"/>
        <w:ind w:left="360" w:right="20" w:firstLine="2171"/>
        <w:spacing w:after="0" w:line="242" w:lineRule="auto"/>
        <w:tabs>
          <w:tab w:leader="none" w:pos="2948" w:val="left"/>
        </w:tabs>
        <w:numPr>
          <w:ilvl w:val="4"/>
          <w:numId w:val="27"/>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0"/>
          <w:szCs w:val="20"/>
          <w:color w:val="231F20"/>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99" w:lineRule="exact"/>
        <w:rPr>
          <w:rFonts w:ascii="Times New Roman" w:cs="Times New Roman" w:eastAsia="Times New Roman" w:hAnsi="Times New Roman"/>
          <w:sz w:val="22"/>
          <w:szCs w:val="22"/>
          <w:b w:val="1"/>
          <w:bCs w:val="1"/>
          <w:color w:val="231F20"/>
        </w:rPr>
      </w:pPr>
    </w:p>
    <w:p>
      <w:pPr>
        <w:jc w:val="both"/>
        <w:ind w:left="360" w:right="20" w:firstLine="2171"/>
        <w:spacing w:after="0"/>
        <w:tabs>
          <w:tab w:leader="none" w:pos="2948" w:val="left"/>
        </w:tabs>
        <w:numPr>
          <w:ilvl w:val="4"/>
          <w:numId w:val="27"/>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0"/>
          <w:szCs w:val="20"/>
          <w:color w:val="231F20"/>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2" w:lineRule="exact"/>
        <w:rPr>
          <w:rFonts w:ascii="Times New Roman" w:cs="Times New Roman" w:eastAsia="Times New Roman" w:hAnsi="Times New Roman"/>
          <w:sz w:val="22"/>
          <w:szCs w:val="22"/>
          <w:b w:val="1"/>
          <w:bCs w:val="1"/>
          <w:color w:val="231F20"/>
        </w:rPr>
      </w:pPr>
    </w:p>
    <w:p>
      <w:pPr>
        <w:jc w:val="both"/>
        <w:ind w:left="360" w:right="20" w:firstLine="1275"/>
        <w:spacing w:after="0" w:line="250" w:lineRule="auto"/>
        <w:tabs>
          <w:tab w:leader="none" w:pos="1965" w:val="left"/>
        </w:tabs>
        <w:numPr>
          <w:ilvl w:val="2"/>
          <w:numId w:val="2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231F20"/>
        </w:rPr>
        <w:t>The Board may impose such restrictions on or conditions to the vesting of a Restricted Stock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31F20"/>
        </w:rPr>
        <w:t>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5" w:lineRule="exact"/>
        <w:rPr>
          <w:rFonts w:ascii="Times New Roman" w:cs="Times New Roman" w:eastAsia="Times New Roman" w:hAnsi="Times New Roman"/>
          <w:sz w:val="20"/>
          <w:szCs w:val="20"/>
          <w:b w:val="1"/>
          <w:bCs w:val="1"/>
          <w:color w:val="231F20"/>
        </w:rPr>
      </w:pPr>
    </w:p>
    <w:p>
      <w:pPr>
        <w:jc w:val="both"/>
        <w:ind w:left="360" w:firstLine="1320"/>
        <w:spacing w:after="0" w:line="253" w:lineRule="auto"/>
        <w:tabs>
          <w:tab w:leader="none" w:pos="2011" w:val="left"/>
        </w:tabs>
        <w:numPr>
          <w:ilvl w:val="3"/>
          <w:numId w:val="2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Termination of Continuous Service. </w:t>
      </w:r>
      <w:r>
        <w:rPr>
          <w:rFonts w:ascii="Times New Roman" w:cs="Times New Roman" w:eastAsia="Times New Roman" w:hAnsi="Times New Roman"/>
          <w:sz w:val="20"/>
          <w:szCs w:val="20"/>
          <w:color w:val="231F20"/>
        </w:rPr>
        <w:t>Except as otherwise provided in the Award Agreement or other written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agreement between a Participant and the Company or an Affiliate, if a Participant’s Continuous Service terminates for any reason,</w:t>
      </w:r>
    </w:p>
    <w:p>
      <w:pPr>
        <w:jc w:val="both"/>
        <w:ind w:left="360" w:firstLine="2"/>
        <w:spacing w:after="0" w:line="252" w:lineRule="auto"/>
        <w:tabs>
          <w:tab w:leader="none" w:pos="644"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w:t>
      </w:r>
    </w:p>
    <w:p>
      <w:pPr>
        <w:jc w:val="both"/>
        <w:ind w:left="360" w:firstLine="2"/>
        <w:spacing w:after="0" w:line="242" w:lineRule="auto"/>
        <w:tabs>
          <w:tab w:leader="none" w:pos="642"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20"/>
          <w:szCs w:val="20"/>
          <w:color w:val="231F20"/>
        </w:rPr>
      </w:pPr>
    </w:p>
    <w:p>
      <w:pPr>
        <w:jc w:val="both"/>
        <w:ind w:left="360" w:right="20" w:firstLine="1275"/>
        <w:spacing w:after="0" w:line="256" w:lineRule="auto"/>
        <w:tabs>
          <w:tab w:leader="none" w:pos="1965" w:val="left"/>
        </w:tabs>
        <w:numPr>
          <w:ilvl w:val="1"/>
          <w:numId w:val="2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Dividends and Dividend Equivalents. </w:t>
      </w:r>
      <w:r>
        <w:rPr>
          <w:rFonts w:ascii="Times New Roman" w:cs="Times New Roman" w:eastAsia="Times New Roman" w:hAnsi="Times New Roman"/>
          <w:sz w:val="20"/>
          <w:szCs w:val="20"/>
          <w:color w:val="231F20"/>
        </w:rPr>
        <w:t>Dividends or dividend equivalents may be paid or credited, as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applicable, with respect to any shares of Common Stock subject to a Restricted Stock Award or RSU Award, as determined by the Board and specified in the Award Agreement).</w:t>
      </w:r>
    </w:p>
    <w:p>
      <w:pPr>
        <w:spacing w:after="0" w:line="168" w:lineRule="exact"/>
        <w:rPr>
          <w:rFonts w:ascii="Times New Roman" w:cs="Times New Roman" w:eastAsia="Times New Roman" w:hAnsi="Times New Roman"/>
          <w:sz w:val="20"/>
          <w:szCs w:val="20"/>
          <w:b w:val="1"/>
          <w:bCs w:val="1"/>
          <w:color w:val="231F20"/>
        </w:rPr>
      </w:pPr>
    </w:p>
    <w:p>
      <w:pPr>
        <w:jc w:val="both"/>
        <w:ind w:left="360" w:right="20" w:firstLine="1275"/>
        <w:spacing w:after="0" w:line="250" w:lineRule="auto"/>
        <w:tabs>
          <w:tab w:leader="none" w:pos="1965" w:val="left"/>
        </w:tabs>
        <w:numPr>
          <w:ilvl w:val="1"/>
          <w:numId w:val="2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Settlement of RSU Awards</w:t>
      </w:r>
      <w:r>
        <w:rPr>
          <w:rFonts w:ascii="Times New Roman" w:cs="Times New Roman" w:eastAsia="Times New Roman" w:hAnsi="Times New Roman"/>
          <w:sz w:val="20"/>
          <w:szCs w:val="20"/>
          <w:color w:val="231F20"/>
        </w:rPr>
        <w:t>. An RSU Award may be settled by the issuance of shares of Common Stock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86" w:right="699" w:bottom="1440" w:gutter="0" w:footer="0" w:header="0"/>
        </w:sectPr>
      </w:pPr>
    </w:p>
    <w:bookmarkStart w:id="14" w:name="page15"/>
    <w:bookmarkEnd w:id="14"/>
    <w:p>
      <w:pPr>
        <w:spacing w:after="0" w:line="104" w:lineRule="exact"/>
        <w:rPr>
          <w:sz w:val="20"/>
          <w:szCs w:val="20"/>
          <w:color w:val="auto"/>
        </w:rPr>
      </w:pPr>
    </w:p>
    <w:p>
      <w:pPr>
        <w:jc w:val="both"/>
        <w:ind w:left="400" w:right="20" w:firstLine="741"/>
        <w:spacing w:after="0" w:line="256" w:lineRule="auto"/>
        <w:tabs>
          <w:tab w:leader="none" w:pos="1510" w:val="left"/>
        </w:tabs>
        <w:numPr>
          <w:ilvl w:val="2"/>
          <w:numId w:val="2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Performance Awards</w:t>
      </w:r>
      <w:r>
        <w:rPr>
          <w:rFonts w:ascii="Times New Roman" w:cs="Times New Roman" w:eastAsia="Times New Roman" w:hAnsi="Times New Roman"/>
          <w:sz w:val="20"/>
          <w:szCs w:val="20"/>
          <w:color w:val="231F20"/>
        </w:rPr>
        <w:t>. With respect to any Performance Award, the length of any Performance Period,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Performance Goals to be achieved during the Performance Period, the other terms and conditions of such Award, and the measure of whether and to what degree such Performance Goals have been attained will be determined by the Board.</w:t>
      </w:r>
    </w:p>
    <w:p>
      <w:pPr>
        <w:spacing w:after="0" w:line="168" w:lineRule="exact"/>
        <w:rPr>
          <w:rFonts w:ascii="Times New Roman" w:cs="Times New Roman" w:eastAsia="Times New Roman" w:hAnsi="Times New Roman"/>
          <w:sz w:val="20"/>
          <w:szCs w:val="20"/>
          <w:b w:val="1"/>
          <w:bCs w:val="1"/>
          <w:color w:val="231F20"/>
        </w:rPr>
      </w:pPr>
    </w:p>
    <w:p>
      <w:pPr>
        <w:jc w:val="both"/>
        <w:ind w:left="400" w:right="20" w:firstLine="741"/>
        <w:spacing w:after="0" w:line="248" w:lineRule="auto"/>
        <w:tabs>
          <w:tab w:leader="none" w:pos="1510" w:val="left"/>
        </w:tabs>
        <w:numPr>
          <w:ilvl w:val="2"/>
          <w:numId w:val="2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Other Awards</w:t>
      </w:r>
      <w:r>
        <w:rPr>
          <w:rFonts w:ascii="Times New Roman" w:cs="Times New Roman" w:eastAsia="Times New Roman" w:hAnsi="Times New Roman"/>
          <w:sz w:val="20"/>
          <w:szCs w:val="20"/>
          <w:color w:val="231F20"/>
        </w:rPr>
        <w:t>. Other forms of Awards valued in whole or in part by reference to, or otherwise based on, Common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Stock, including the appreciation in value thereof may be granted either alone or in addition to Awards provided for under Section 4 and the preceding provisions of this Section</w:t>
      </w:r>
    </w:p>
    <w:p>
      <w:pPr>
        <w:spacing w:after="0" w:line="1" w:lineRule="exact"/>
        <w:rPr>
          <w:rFonts w:ascii="Times New Roman" w:cs="Times New Roman" w:eastAsia="Times New Roman" w:hAnsi="Times New Roman"/>
          <w:sz w:val="20"/>
          <w:szCs w:val="20"/>
          <w:b w:val="1"/>
          <w:bCs w:val="1"/>
          <w:color w:val="231F20"/>
        </w:rPr>
      </w:pPr>
    </w:p>
    <w:p>
      <w:pPr>
        <w:jc w:val="both"/>
        <w:ind w:left="360" w:firstLine="1"/>
        <w:spacing w:after="0" w:line="242" w:lineRule="auto"/>
        <w:tabs>
          <w:tab w:leader="none" w:pos="562"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2" w:lineRule="exact"/>
        <w:rPr>
          <w:rFonts w:ascii="Times New Roman" w:cs="Times New Roman" w:eastAsia="Times New Roman" w:hAnsi="Times New Roman"/>
          <w:sz w:val="20"/>
          <w:szCs w:val="20"/>
          <w:color w:val="231F20"/>
        </w:rPr>
      </w:pPr>
    </w:p>
    <w:p>
      <w:pPr>
        <w:ind w:left="1000" w:hanging="638"/>
        <w:spacing w:after="0"/>
        <w:tabs>
          <w:tab w:leader="none" w:pos="1000" w:val="left"/>
        </w:tabs>
        <w:numPr>
          <w:ilvl w:val="1"/>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w:t>
      </w:r>
      <w:r>
        <w:rPr>
          <w:rFonts w:ascii="Times New Roman" w:cs="Times New Roman" w:eastAsia="Times New Roman" w:hAnsi="Times New Roman"/>
          <w:sz w:val="13"/>
          <w:szCs w:val="13"/>
          <w:b w:val="1"/>
          <w:bCs w:val="1"/>
          <w:color w:val="231F20"/>
        </w:rPr>
        <w:t>djustments upon</w:t>
      </w:r>
      <w:r>
        <w:rPr>
          <w:rFonts w:ascii="Times New Roman" w:cs="Times New Roman" w:eastAsia="Times New Roman" w:hAnsi="Times New Roman"/>
          <w:sz w:val="20"/>
          <w:szCs w:val="20"/>
          <w:b w:val="1"/>
          <w:bCs w:val="1"/>
          <w:color w:val="231F20"/>
        </w:rPr>
        <w:t xml:space="preserve"> C</w:t>
      </w:r>
      <w:r>
        <w:rPr>
          <w:rFonts w:ascii="Times New Roman" w:cs="Times New Roman" w:eastAsia="Times New Roman" w:hAnsi="Times New Roman"/>
          <w:sz w:val="13"/>
          <w:szCs w:val="13"/>
          <w:b w:val="1"/>
          <w:bCs w:val="1"/>
          <w:color w:val="231F20"/>
        </w:rPr>
        <w:t>hanges in</w:t>
      </w:r>
      <w:r>
        <w:rPr>
          <w:rFonts w:ascii="Times New Roman" w:cs="Times New Roman" w:eastAsia="Times New Roman" w:hAnsi="Times New Roman"/>
          <w:sz w:val="20"/>
          <w:szCs w:val="20"/>
          <w:b w:val="1"/>
          <w:bCs w:val="1"/>
          <w:color w:val="231F20"/>
        </w:rPr>
        <w:t xml:space="preserve"> C</w:t>
      </w:r>
      <w:r>
        <w:rPr>
          <w:rFonts w:ascii="Times New Roman" w:cs="Times New Roman" w:eastAsia="Times New Roman" w:hAnsi="Times New Roman"/>
          <w:sz w:val="13"/>
          <w:szCs w:val="13"/>
          <w:b w:val="1"/>
          <w:bCs w:val="1"/>
          <w:color w:val="231F20"/>
        </w:rPr>
        <w:t>ommon</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tock</w:t>
      </w:r>
      <w:r>
        <w:rPr>
          <w:rFonts w:ascii="Times New Roman" w:cs="Times New Roman" w:eastAsia="Times New Roman" w:hAnsi="Times New Roman"/>
          <w:sz w:val="20"/>
          <w:szCs w:val="20"/>
          <w:b w:val="1"/>
          <w:bCs w:val="1"/>
          <w:color w:val="231F20"/>
        </w:rPr>
        <w:t>; O</w:t>
      </w:r>
      <w:r>
        <w:rPr>
          <w:rFonts w:ascii="Times New Roman" w:cs="Times New Roman" w:eastAsia="Times New Roman" w:hAnsi="Times New Roman"/>
          <w:sz w:val="13"/>
          <w:szCs w:val="13"/>
          <w:b w:val="1"/>
          <w:bCs w:val="1"/>
          <w:color w:val="231F20"/>
        </w:rPr>
        <w:t>ther</w:t>
      </w:r>
      <w:r>
        <w:rPr>
          <w:rFonts w:ascii="Times New Roman" w:cs="Times New Roman" w:eastAsia="Times New Roman" w:hAnsi="Times New Roman"/>
          <w:sz w:val="20"/>
          <w:szCs w:val="20"/>
          <w:b w:val="1"/>
          <w:bCs w:val="1"/>
          <w:color w:val="231F20"/>
        </w:rPr>
        <w:t xml:space="preserve"> C</w:t>
      </w:r>
      <w:r>
        <w:rPr>
          <w:rFonts w:ascii="Times New Roman" w:cs="Times New Roman" w:eastAsia="Times New Roman" w:hAnsi="Times New Roman"/>
          <w:sz w:val="13"/>
          <w:szCs w:val="13"/>
          <w:b w:val="1"/>
          <w:bCs w:val="1"/>
          <w:color w:val="231F20"/>
        </w:rPr>
        <w:t>orporate</w:t>
      </w:r>
      <w:r>
        <w:rPr>
          <w:rFonts w:ascii="Times New Roman" w:cs="Times New Roman" w:eastAsia="Times New Roman" w:hAnsi="Times New Roman"/>
          <w:sz w:val="20"/>
          <w:szCs w:val="20"/>
          <w:b w:val="1"/>
          <w:bCs w:val="1"/>
          <w:color w:val="231F20"/>
        </w:rPr>
        <w:t xml:space="preserve"> E</w:t>
      </w:r>
      <w:r>
        <w:rPr>
          <w:rFonts w:ascii="Times New Roman" w:cs="Times New Roman" w:eastAsia="Times New Roman" w:hAnsi="Times New Roman"/>
          <w:sz w:val="13"/>
          <w:szCs w:val="13"/>
          <w:b w:val="1"/>
          <w:bCs w:val="1"/>
          <w:color w:val="231F20"/>
        </w:rPr>
        <w:t>vents</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400" w:right="20" w:firstLine="741"/>
        <w:spacing w:after="0" w:line="245" w:lineRule="auto"/>
        <w:tabs>
          <w:tab w:leader="none" w:pos="1510" w:val="left"/>
        </w:tabs>
        <w:numPr>
          <w:ilvl w:val="2"/>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Capitalization Adjustments</w:t>
      </w:r>
      <w:r>
        <w:rPr>
          <w:rFonts w:ascii="Times New Roman" w:cs="Times New Roman" w:eastAsia="Times New Roman" w:hAnsi="Times New Roman"/>
          <w:sz w:val="20"/>
          <w:szCs w:val="20"/>
          <w:color w:val="231F20"/>
        </w:rPr>
        <w:t>. In the event of a Capitalization Adjustment, the Board shall appropriately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proportionately 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9" w:lineRule="exact"/>
        <w:rPr>
          <w:rFonts w:ascii="Times New Roman" w:cs="Times New Roman" w:eastAsia="Times New Roman" w:hAnsi="Times New Roman"/>
          <w:sz w:val="20"/>
          <w:szCs w:val="20"/>
          <w:b w:val="1"/>
          <w:bCs w:val="1"/>
          <w:color w:val="231F20"/>
        </w:rPr>
      </w:pPr>
    </w:p>
    <w:p>
      <w:pPr>
        <w:jc w:val="both"/>
        <w:ind w:left="400" w:firstLine="741"/>
        <w:spacing w:after="0" w:line="244" w:lineRule="auto"/>
        <w:tabs>
          <w:tab w:leader="none" w:pos="1510" w:val="left"/>
        </w:tabs>
        <w:numPr>
          <w:ilvl w:val="2"/>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Dissolution or Liquidation</w:t>
      </w:r>
      <w:r>
        <w:rPr>
          <w:rFonts w:ascii="Times New Roman" w:cs="Times New Roman" w:eastAsia="Times New Roman" w:hAnsi="Times New Roman"/>
          <w:sz w:val="20"/>
          <w:szCs w:val="20"/>
          <w:color w:val="231F20"/>
        </w:rPr>
        <w:t>. Except as otherwise provided in the Award Agreement, in the event of a dissolution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1" w:lineRule="exact"/>
        <w:rPr>
          <w:rFonts w:ascii="Times New Roman" w:cs="Times New Roman" w:eastAsia="Times New Roman" w:hAnsi="Times New Roman"/>
          <w:sz w:val="20"/>
          <w:szCs w:val="20"/>
          <w:b w:val="1"/>
          <w:bCs w:val="1"/>
          <w:color w:val="231F20"/>
        </w:rPr>
      </w:pPr>
    </w:p>
    <w:p>
      <w:pPr>
        <w:jc w:val="both"/>
        <w:ind w:left="400" w:right="20" w:firstLine="741"/>
        <w:spacing w:after="0" w:line="250" w:lineRule="auto"/>
        <w:tabs>
          <w:tab w:leader="none" w:pos="1510" w:val="left"/>
        </w:tabs>
        <w:numPr>
          <w:ilvl w:val="2"/>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Corporate Transaction. </w:t>
      </w:r>
      <w:r>
        <w:rPr>
          <w:rFonts w:ascii="Times New Roman" w:cs="Times New Roman" w:eastAsia="Times New Roman" w:hAnsi="Times New Roman"/>
          <w:sz w:val="20"/>
          <w:szCs w:val="20"/>
          <w:color w:val="231F20"/>
        </w:rPr>
        <w:t>The following provisions will apply to Awards in the event of a Corporate Transaction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except as set forth in 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76" w:lineRule="exact"/>
        <w:rPr>
          <w:sz w:val="20"/>
          <w:szCs w:val="20"/>
          <w:color w:val="auto"/>
        </w:rPr>
      </w:pPr>
    </w:p>
    <w:p>
      <w:pPr>
        <w:jc w:val="both"/>
        <w:ind w:left="360" w:firstLine="1587"/>
        <w:spacing w:after="0" w:line="243" w:lineRule="auto"/>
        <w:rPr>
          <w:sz w:val="20"/>
          <w:szCs w:val="20"/>
          <w:color w:val="auto"/>
        </w:rPr>
      </w:pPr>
      <w:r>
        <w:rPr>
          <w:rFonts w:ascii="Times New Roman" w:cs="Times New Roman" w:eastAsia="Times New Roman" w:hAnsi="Times New Roman"/>
          <w:sz w:val="20"/>
          <w:szCs w:val="20"/>
          <w:b w:val="1"/>
          <w:bCs w:val="1"/>
          <w:color w:val="231F20"/>
        </w:rPr>
        <w:t xml:space="preserve">(i)Awards May Be Assumed. </w:t>
      </w:r>
      <w:r>
        <w:rPr>
          <w:rFonts w:ascii="Times New Roman" w:cs="Times New Roman" w:eastAsia="Times New Roman" w:hAnsi="Times New Roman"/>
          <w:sz w:val="20"/>
          <w:szCs w:val="20"/>
          <w:color w:val="231F20"/>
        </w:rPr>
        <w:t>In the event of a Corporate Transaction, any surviving corporation or acquiring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5" w:name="page16"/>
    <w:bookmarkEnd w:id="15"/>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Participants. The terms of any assumption, continuation or substitution will be set by the Board.</w:t>
      </w:r>
    </w:p>
    <w:p>
      <w:pPr>
        <w:spacing w:after="0" w:line="212" w:lineRule="exact"/>
        <w:rPr>
          <w:sz w:val="20"/>
          <w:szCs w:val="20"/>
          <w:color w:val="auto"/>
        </w:rPr>
      </w:pPr>
    </w:p>
    <w:p>
      <w:pPr>
        <w:jc w:val="both"/>
        <w:ind w:left="360" w:firstLine="1587"/>
        <w:spacing w:after="0" w:line="241" w:lineRule="auto"/>
        <w:rPr>
          <w:sz w:val="20"/>
          <w:szCs w:val="20"/>
          <w:color w:val="auto"/>
        </w:rPr>
      </w:pPr>
      <w:r>
        <w:rPr>
          <w:rFonts w:ascii="Times New Roman" w:cs="Times New Roman" w:eastAsia="Times New Roman" w:hAnsi="Times New Roman"/>
          <w:sz w:val="20"/>
          <w:szCs w:val="20"/>
          <w:b w:val="1"/>
          <w:bCs w:val="1"/>
          <w:color w:val="231F20"/>
        </w:rPr>
        <w:t xml:space="preserve">(ii)Awards Held by Current Participants. </w:t>
      </w:r>
      <w:r>
        <w:rPr>
          <w:rFonts w:ascii="Times New Roman" w:cs="Times New Roman" w:eastAsia="Times New Roman" w:hAnsi="Times New Roman"/>
          <w:sz w:val="20"/>
          <w:szCs w:val="20"/>
          <w:color w:val="231F20"/>
        </w:rPr>
        <w:t>In the event of a Corporate Transaction in which the surviving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0"/>
          <w:szCs w:val="20"/>
          <w:b w:val="1"/>
          <w:bCs w:val="1"/>
          <w:color w:val="231F20"/>
        </w:rPr>
        <w:t>Current Participants</w:t>
      </w:r>
      <w:r>
        <w:rPr>
          <w:rFonts w:ascii="Times New Roman" w:cs="Times New Roman" w:eastAsia="Times New Roman" w:hAnsi="Times New Roman"/>
          <w:sz w:val="20"/>
          <w:szCs w:val="20"/>
          <w:color w:val="231F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90" w:lineRule="exact"/>
        <w:rPr>
          <w:sz w:val="20"/>
          <w:szCs w:val="20"/>
          <w:color w:val="auto"/>
        </w:rPr>
      </w:pPr>
    </w:p>
    <w:p>
      <w:pPr>
        <w:jc w:val="both"/>
        <w:ind w:left="360" w:firstLine="1587"/>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(iii)Awards Held by Persons other than Current Participants. </w:t>
      </w:r>
      <w:r>
        <w:rPr>
          <w:rFonts w:ascii="Times New Roman" w:cs="Times New Roman" w:eastAsia="Times New Roman" w:hAnsi="Times New Roman"/>
          <w:sz w:val="20"/>
          <w:szCs w:val="20"/>
          <w:color w:val="231F20"/>
        </w:rPr>
        <w:t>In the event of a Corporate Transaction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9" w:lineRule="exact"/>
        <w:rPr>
          <w:sz w:val="20"/>
          <w:szCs w:val="20"/>
          <w:color w:val="auto"/>
        </w:rPr>
      </w:pPr>
    </w:p>
    <w:p>
      <w:pPr>
        <w:jc w:val="both"/>
        <w:ind w:left="360" w:firstLine="1587"/>
        <w:spacing w:after="0" w:line="246" w:lineRule="auto"/>
        <w:rPr>
          <w:sz w:val="20"/>
          <w:szCs w:val="20"/>
          <w:color w:val="auto"/>
        </w:rPr>
      </w:pPr>
      <w:r>
        <w:rPr>
          <w:rFonts w:ascii="Times New Roman" w:cs="Times New Roman" w:eastAsia="Times New Roman" w:hAnsi="Times New Roman"/>
          <w:sz w:val="20"/>
          <w:szCs w:val="20"/>
          <w:b w:val="1"/>
          <w:bCs w:val="1"/>
          <w:color w:val="231F20"/>
        </w:rPr>
        <w:t xml:space="preserve">(iv)Payment for Awards in Lieu of Exercise. </w:t>
      </w:r>
      <w:r>
        <w:rPr>
          <w:rFonts w:ascii="Times New Roman" w:cs="Times New Roman" w:eastAsia="Times New Roman" w:hAnsi="Times New Roman"/>
          <w:sz w:val="20"/>
          <w:szCs w:val="20"/>
          <w:color w:val="231F20"/>
        </w:rPr>
        <w:t>Notwithstanding the foregoing, in the event an Award will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sz w:val="20"/>
          <w:szCs w:val="20"/>
          <w:color w:val="auto"/>
        </w:rPr>
      </w:pPr>
    </w:p>
    <w:p>
      <w:pPr>
        <w:jc w:val="both"/>
        <w:ind w:left="360" w:right="20" w:firstLine="725"/>
        <w:spacing w:after="0" w:line="250" w:lineRule="auto"/>
        <w:tabs>
          <w:tab w:leader="none" w:pos="1473" w:val="left"/>
        </w:tabs>
        <w:numPr>
          <w:ilvl w:val="0"/>
          <w:numId w:val="3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Appointment of Stockholder Representative. </w:t>
      </w:r>
      <w:r>
        <w:rPr>
          <w:rFonts w:ascii="Times New Roman" w:cs="Times New Roman" w:eastAsia="Times New Roman" w:hAnsi="Times New Roman"/>
          <w:sz w:val="20"/>
          <w:szCs w:val="20"/>
          <w:color w:val="231F20"/>
        </w:rPr>
        <w:t>As a condition to the receipt of an Award under this Plan,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20"/>
          <w:szCs w:val="20"/>
          <w:b w:val="1"/>
          <w:bCs w:val="1"/>
          <w:color w:val="231F20"/>
        </w:rPr>
      </w:pPr>
    </w:p>
    <w:p>
      <w:pPr>
        <w:jc w:val="both"/>
        <w:ind w:left="400" w:firstLine="741"/>
        <w:spacing w:after="0" w:line="256" w:lineRule="auto"/>
        <w:tabs>
          <w:tab w:leader="none" w:pos="1510" w:val="left"/>
        </w:tabs>
        <w:numPr>
          <w:ilvl w:val="1"/>
          <w:numId w:val="3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 Restriction on Right to Undertake Transactions</w:t>
      </w:r>
      <w:r>
        <w:rPr>
          <w:rFonts w:ascii="Times New Roman" w:cs="Times New Roman" w:eastAsia="Times New Roman" w:hAnsi="Times New Roman"/>
          <w:sz w:val="20"/>
          <w:szCs w:val="20"/>
          <w:color w:val="231F20"/>
        </w:rPr>
        <w:t>. The grant of any Award under the Plan and the issuance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shares pursuant to any Award does not affect or restrict in any way the right or power of the Company or the stockholders of the Company to make or authorize any adjustment, recapitalization,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6" w:name="page17"/>
    <w:bookmarkEnd w:id="16"/>
    <w:p>
      <w:pPr>
        <w:spacing w:after="0" w:line="108" w:lineRule="exact"/>
        <w:rPr>
          <w:sz w:val="20"/>
          <w:szCs w:val="20"/>
          <w:color w:val="auto"/>
        </w:rPr>
      </w:pPr>
    </w:p>
    <w:p>
      <w:pPr>
        <w:jc w:val="both"/>
        <w:ind w:left="400"/>
        <w:spacing w:after="0" w:line="246" w:lineRule="auto"/>
        <w:rPr>
          <w:sz w:val="20"/>
          <w:szCs w:val="20"/>
          <w:color w:val="auto"/>
        </w:rPr>
      </w:pPr>
      <w:r>
        <w:rPr>
          <w:rFonts w:ascii="Times New Roman" w:cs="Times New Roman" w:eastAsia="Times New Roman" w:hAnsi="Times New Roman"/>
          <w:sz w:val="20"/>
          <w:szCs w:val="20"/>
          <w:color w:val="231F20"/>
        </w:rPr>
        <w:t>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1" w:lineRule="exact"/>
        <w:rPr>
          <w:sz w:val="20"/>
          <w:szCs w:val="20"/>
          <w:color w:val="auto"/>
        </w:rPr>
      </w:pPr>
    </w:p>
    <w:p>
      <w:pPr>
        <w:ind w:left="1120" w:hanging="758"/>
        <w:spacing w:after="0"/>
        <w:tabs>
          <w:tab w:leader="none" w:pos="1120" w:val="left"/>
        </w:tabs>
        <w:numPr>
          <w:ilvl w:val="0"/>
          <w:numId w:val="3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w:t>
      </w:r>
      <w:r>
        <w:rPr>
          <w:rFonts w:ascii="Times New Roman" w:cs="Times New Roman" w:eastAsia="Times New Roman" w:hAnsi="Times New Roman"/>
          <w:sz w:val="13"/>
          <w:szCs w:val="13"/>
          <w:b w:val="1"/>
          <w:bCs w:val="1"/>
          <w:color w:val="231F20"/>
        </w:rPr>
        <w:t>dministration</w:t>
      </w:r>
      <w:r>
        <w:rPr>
          <w:rFonts w:ascii="Times New Roman" w:cs="Times New Roman" w:eastAsia="Times New Roman" w:hAnsi="Times New Roman"/>
          <w:sz w:val="20"/>
          <w:szCs w:val="20"/>
          <w:b w:val="1"/>
          <w:bCs w:val="1"/>
          <w:color w:val="231F20"/>
        </w:rPr>
        <w:t>.</w:t>
      </w:r>
    </w:p>
    <w:p>
      <w:pPr>
        <w:spacing w:after="0" w:line="229" w:lineRule="exact"/>
        <w:rPr>
          <w:rFonts w:ascii="Times New Roman" w:cs="Times New Roman" w:eastAsia="Times New Roman" w:hAnsi="Times New Roman"/>
          <w:sz w:val="20"/>
          <w:szCs w:val="20"/>
          <w:b w:val="1"/>
          <w:bCs w:val="1"/>
          <w:color w:val="231F20"/>
        </w:rPr>
      </w:pPr>
    </w:p>
    <w:p>
      <w:pPr>
        <w:jc w:val="both"/>
        <w:ind w:left="360" w:firstLine="751"/>
        <w:spacing w:after="0" w:line="261" w:lineRule="auto"/>
        <w:tabs>
          <w:tab w:leader="none" w:pos="1499" w:val="left"/>
        </w:tabs>
        <w:numPr>
          <w:ilvl w:val="2"/>
          <w:numId w:val="32"/>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Administration by Board. </w:t>
      </w:r>
      <w:r>
        <w:rPr>
          <w:rFonts w:ascii="Times New Roman" w:cs="Times New Roman" w:eastAsia="Times New Roman" w:hAnsi="Times New Roman"/>
          <w:sz w:val="19"/>
          <w:szCs w:val="19"/>
          <w:color w:val="231F20"/>
        </w:rPr>
        <w:t>The Board will administer the Plan; provided, however, that Awards may only be granted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by either (i) a majority of the Independent Directors or (ii) the Independent Compensation Committee. Subject to that constraint and the other constraints of the Plan or the Inducement Award Rules, the Board may delegate some of its power of administration of the Plan to a Committee or Committees, as provided in subsection (c) below. Notwithstanding anything in the Plan to the contrary, references to the “Board” or the “Committee” herein shall be construed to mean either a majority of the Independent Directors or the Independent Compensation Committee to the extent necessary to comply with the Inducement Award Rules.</w:t>
      </w:r>
    </w:p>
    <w:p>
      <w:pPr>
        <w:spacing w:after="0" w:line="167" w:lineRule="exact"/>
        <w:rPr>
          <w:rFonts w:ascii="Times New Roman" w:cs="Times New Roman" w:eastAsia="Times New Roman" w:hAnsi="Times New Roman"/>
          <w:sz w:val="19"/>
          <w:szCs w:val="19"/>
          <w:b w:val="1"/>
          <w:bCs w:val="1"/>
          <w:color w:val="231F20"/>
        </w:rPr>
      </w:pPr>
    </w:p>
    <w:p>
      <w:pPr>
        <w:ind w:left="360" w:right="20" w:firstLine="725"/>
        <w:spacing w:after="0" w:line="273" w:lineRule="auto"/>
        <w:tabs>
          <w:tab w:leader="none" w:pos="1473" w:val="left"/>
        </w:tabs>
        <w:numPr>
          <w:ilvl w:val="1"/>
          <w:numId w:val="3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Powers of Board. </w:t>
      </w:r>
      <w:r>
        <w:rPr>
          <w:rFonts w:ascii="Times New Roman" w:cs="Times New Roman" w:eastAsia="Times New Roman" w:hAnsi="Times New Roman"/>
          <w:sz w:val="20"/>
          <w:szCs w:val="20"/>
          <w:color w:val="231F20"/>
        </w:rPr>
        <w:t>The Board will have the power, subject to, and within the limitations of, the express provisions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Plan and the Inducement Award Rules:</w:t>
      </w:r>
    </w:p>
    <w:p>
      <w:pPr>
        <w:spacing w:after="0" w:line="152" w:lineRule="exact"/>
        <w:rPr>
          <w:sz w:val="20"/>
          <w:szCs w:val="20"/>
          <w:color w:val="auto"/>
        </w:rPr>
      </w:pPr>
    </w:p>
    <w:p>
      <w:pPr>
        <w:jc w:val="both"/>
        <w:ind w:left="360" w:firstLine="1587"/>
        <w:spacing w:after="0" w:line="258" w:lineRule="auto"/>
        <w:rPr>
          <w:sz w:val="20"/>
          <w:szCs w:val="20"/>
          <w:color w:val="auto"/>
        </w:rPr>
      </w:pPr>
      <w:r>
        <w:rPr>
          <w:rFonts w:ascii="Times New Roman" w:cs="Times New Roman" w:eastAsia="Times New Roman" w:hAnsi="Times New Roman"/>
          <w:sz w:val="19"/>
          <w:szCs w:val="19"/>
          <w:b w:val="1"/>
          <w:bCs w:val="1"/>
          <w:color w:val="231F20"/>
        </w:rPr>
        <w:t>(i)</w:t>
      </w:r>
      <w:r>
        <w:rPr>
          <w:rFonts w:ascii="Times New Roman" w:cs="Times New Roman" w:eastAsia="Times New Roman" w:hAnsi="Times New Roman"/>
          <w:sz w:val="19"/>
          <w:szCs w:val="19"/>
          <w:color w:val="231F20"/>
        </w:rPr>
        <w:t>To determine from time to time: (1) which of the persons eligible under the Plan will be granted Awards; (2)</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provided however, that Awards may only be granted by either (1) a majority of the Independent Directors or (2) the Independent Compensation Committee.</w:t>
      </w:r>
    </w:p>
    <w:p>
      <w:pPr>
        <w:spacing w:after="0" w:line="173" w:lineRule="exact"/>
        <w:rPr>
          <w:sz w:val="20"/>
          <w:szCs w:val="20"/>
          <w:color w:val="auto"/>
        </w:rPr>
      </w:pPr>
    </w:p>
    <w:p>
      <w:pPr>
        <w:jc w:val="both"/>
        <w:ind w:left="360" w:firstLine="1587"/>
        <w:spacing w:after="0" w:line="250" w:lineRule="auto"/>
        <w:rPr>
          <w:sz w:val="20"/>
          <w:szCs w:val="20"/>
          <w:color w:val="auto"/>
        </w:rPr>
      </w:pPr>
      <w:r>
        <w:rPr>
          <w:rFonts w:ascii="Times New Roman" w:cs="Times New Roman" w:eastAsia="Times New Roman" w:hAnsi="Times New Roman"/>
          <w:sz w:val="20"/>
          <w:szCs w:val="20"/>
          <w:b w:val="1"/>
          <w:bCs w:val="1"/>
          <w:color w:val="231F20"/>
        </w:rPr>
        <w:t>(ii)</w:t>
      </w:r>
      <w:r>
        <w:rPr>
          <w:rFonts w:ascii="Times New Roman" w:cs="Times New Roman" w:eastAsia="Times New Roman" w:hAnsi="Times New Roman"/>
          <w:sz w:val="20"/>
          <w:szCs w:val="20"/>
          <w:color w:val="231F20"/>
        </w:rPr>
        <w:t>To construe and interpret the Plan and Awards granted under it, and to establish, amend and revoke rules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b w:val="1"/>
          <w:bCs w:val="1"/>
          <w:color w:val="231F20"/>
        </w:rPr>
        <w:t>(iii)</w:t>
      </w:r>
      <w:r>
        <w:rPr>
          <w:rFonts w:ascii="Times New Roman" w:cs="Times New Roman" w:eastAsia="Times New Roman" w:hAnsi="Times New Roman"/>
          <w:sz w:val="20"/>
          <w:szCs w:val="20"/>
          <w:color w:val="231F20"/>
        </w:rPr>
        <w:t>To settle all controversies regarding the Plan and Awards granted under it.</w:t>
      </w:r>
    </w:p>
    <w:p>
      <w:pPr>
        <w:spacing w:after="0" w:line="202" w:lineRule="exact"/>
        <w:rPr>
          <w:sz w:val="20"/>
          <w:szCs w:val="20"/>
          <w:color w:val="auto"/>
        </w:rPr>
      </w:pPr>
    </w:p>
    <w:p>
      <w:pPr>
        <w:jc w:val="both"/>
        <w:ind w:left="360" w:right="20" w:firstLine="1533"/>
        <w:spacing w:after="0" w:line="256" w:lineRule="auto"/>
        <w:rPr>
          <w:sz w:val="20"/>
          <w:szCs w:val="20"/>
          <w:color w:val="auto"/>
        </w:rPr>
      </w:pPr>
      <w:r>
        <w:rPr>
          <w:rFonts w:ascii="Times New Roman" w:cs="Times New Roman" w:eastAsia="Times New Roman" w:hAnsi="Times New Roman"/>
          <w:sz w:val="20"/>
          <w:szCs w:val="20"/>
          <w:b w:val="1"/>
          <w:bCs w:val="1"/>
          <w:color w:val="231F20"/>
        </w:rPr>
        <w:t>(iv)</w:t>
      </w:r>
      <w:r>
        <w:rPr>
          <w:rFonts w:ascii="Times New Roman" w:cs="Times New Roman" w:eastAsia="Times New Roman" w:hAnsi="Times New Roman"/>
          <w:sz w:val="20"/>
          <w:szCs w:val="20"/>
          <w:color w:val="231F20"/>
        </w:rPr>
        <w:t>To accelerate the time at which an Award may first be exercised or the time during which an Award or 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part thereof will vest, notwithstanding the provisions in the Award Agreement stating the time at which it may first be exercised or the time during which it will vest.</w:t>
      </w:r>
    </w:p>
    <w:p>
      <w:pPr>
        <w:spacing w:after="0" w:line="34" w:lineRule="exact"/>
        <w:rPr>
          <w:sz w:val="20"/>
          <w:szCs w:val="20"/>
          <w:color w:val="auto"/>
        </w:rPr>
      </w:pPr>
    </w:p>
    <w:p>
      <w:pPr>
        <w:jc w:val="both"/>
        <w:ind w:left="360" w:right="20" w:firstLine="1533"/>
        <w:spacing w:after="0" w:line="247" w:lineRule="auto"/>
        <w:rPr>
          <w:sz w:val="20"/>
          <w:szCs w:val="20"/>
          <w:color w:val="auto"/>
        </w:rPr>
      </w:pPr>
      <w:r>
        <w:rPr>
          <w:rFonts w:ascii="Times New Roman" w:cs="Times New Roman" w:eastAsia="Times New Roman" w:hAnsi="Times New Roman"/>
          <w:sz w:val="20"/>
          <w:szCs w:val="20"/>
          <w:b w:val="1"/>
          <w:bCs w:val="1"/>
          <w:color w:val="231F20"/>
        </w:rPr>
        <w:t>(v)</w:t>
      </w:r>
      <w:r>
        <w:rPr>
          <w:rFonts w:ascii="Times New Roman" w:cs="Times New Roman" w:eastAsia="Times New Roman" w:hAnsi="Times New Roman"/>
          <w:sz w:val="20"/>
          <w:szCs w:val="20"/>
          <w:color w:val="231F20"/>
        </w:rPr>
        <w:t>To prohibit the exercise of any Option, SAR or other exercisable Award during a period of up to 30 days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231F20"/>
        </w:rPr>
        <w:t>(vi)</w:t>
      </w:r>
      <w:r>
        <w:rPr>
          <w:rFonts w:ascii="Times New Roman" w:cs="Times New Roman" w:eastAsia="Times New Roman" w:hAnsi="Times New Roman"/>
          <w:sz w:val="20"/>
          <w:szCs w:val="20"/>
          <w:color w:val="231F20"/>
        </w:rPr>
        <w:t>To suspend or terminate the Plan at any time. Suspension or termination of the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7" w:name="page18"/>
    <w:bookmarkEnd w:id="17"/>
    <w:p>
      <w:pPr>
        <w:spacing w:after="0" w:line="108" w:lineRule="exact"/>
        <w:rPr>
          <w:sz w:val="20"/>
          <w:szCs w:val="20"/>
          <w:color w:val="auto"/>
        </w:rPr>
      </w:pPr>
    </w:p>
    <w:p>
      <w:pPr>
        <w:jc w:val="both"/>
        <w:ind w:left="360" w:right="20"/>
        <w:spacing w:after="0" w:line="269" w:lineRule="auto"/>
        <w:rPr>
          <w:sz w:val="20"/>
          <w:szCs w:val="20"/>
          <w:color w:val="auto"/>
        </w:rPr>
      </w:pPr>
      <w:r>
        <w:rPr>
          <w:rFonts w:ascii="Times New Roman" w:cs="Times New Roman" w:eastAsia="Times New Roman" w:hAnsi="Times New Roman"/>
          <w:sz w:val="20"/>
          <w:szCs w:val="20"/>
          <w:color w:val="231F20"/>
        </w:rPr>
        <w:t>Plan will not Materially Impair rights and obligations under any Award granted while the Plan is in effect except with the written consent of the affected Participant.</w:t>
      </w:r>
    </w:p>
    <w:p>
      <w:pPr>
        <w:spacing w:after="0" w:line="155" w:lineRule="exact"/>
        <w:rPr>
          <w:sz w:val="20"/>
          <w:szCs w:val="20"/>
          <w:color w:val="auto"/>
        </w:rPr>
      </w:pPr>
    </w:p>
    <w:p>
      <w:pPr>
        <w:jc w:val="both"/>
        <w:ind w:left="360" w:right="20" w:firstLine="1533"/>
        <w:spacing w:after="0" w:line="250" w:lineRule="auto"/>
        <w:rPr>
          <w:sz w:val="20"/>
          <w:szCs w:val="20"/>
          <w:color w:val="auto"/>
        </w:rPr>
      </w:pPr>
      <w:r>
        <w:rPr>
          <w:rFonts w:ascii="Times New Roman" w:cs="Times New Roman" w:eastAsia="Times New Roman" w:hAnsi="Times New Roman"/>
          <w:sz w:val="20"/>
          <w:szCs w:val="20"/>
          <w:b w:val="1"/>
          <w:bCs w:val="1"/>
          <w:color w:val="231F20"/>
        </w:rPr>
        <w:t>(vii)</w:t>
      </w:r>
      <w:r>
        <w:rPr>
          <w:rFonts w:ascii="Times New Roman" w:cs="Times New Roman" w:eastAsia="Times New Roman" w:hAnsi="Times New Roman"/>
          <w:sz w:val="20"/>
          <w:szCs w:val="20"/>
          <w:color w:val="231F20"/>
        </w:rPr>
        <w:t>To amend the Plan in any respect the Board deems necessary or advisable; provided, however, that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b w:val="1"/>
          <w:bCs w:val="1"/>
          <w:color w:val="231F20"/>
        </w:rPr>
        <w:t>(viii)</w:t>
      </w:r>
      <w:r>
        <w:rPr>
          <w:rFonts w:ascii="Times New Roman" w:cs="Times New Roman" w:eastAsia="Times New Roman" w:hAnsi="Times New Roman"/>
          <w:sz w:val="20"/>
          <w:szCs w:val="20"/>
          <w:color w:val="231F20"/>
        </w:rPr>
        <w:t>To submit any amendment to the Plan for stockholder approval.</w:t>
      </w:r>
    </w:p>
    <w:p>
      <w:pPr>
        <w:spacing w:after="0" w:line="216" w:lineRule="exact"/>
        <w:rPr>
          <w:sz w:val="20"/>
          <w:szCs w:val="20"/>
          <w:color w:val="auto"/>
        </w:rPr>
      </w:pPr>
    </w:p>
    <w:p>
      <w:pPr>
        <w:jc w:val="both"/>
        <w:ind w:left="360" w:firstLine="1587"/>
        <w:spacing w:after="0" w:line="247" w:lineRule="auto"/>
        <w:rPr>
          <w:sz w:val="20"/>
          <w:szCs w:val="20"/>
          <w:color w:val="auto"/>
        </w:rPr>
      </w:pPr>
      <w:r>
        <w:rPr>
          <w:rFonts w:ascii="Times New Roman" w:cs="Times New Roman" w:eastAsia="Times New Roman" w:hAnsi="Times New Roman"/>
          <w:sz w:val="20"/>
          <w:szCs w:val="20"/>
          <w:b w:val="1"/>
          <w:bCs w:val="1"/>
          <w:color w:val="231F20"/>
        </w:rPr>
        <w:t xml:space="preserve">(ix) </w:t>
      </w:r>
      <w:r>
        <w:rPr>
          <w:rFonts w:ascii="Times New Roman" w:cs="Times New Roman" w:eastAsia="Times New Roman" w:hAnsi="Times New Roman"/>
          <w:sz w:val="20"/>
          <w:szCs w:val="20"/>
          <w:color w:val="231F20"/>
        </w:rPr>
        <w:t>To approve forms of Award Agreements for use under the Plan and to amend the terms of any one or more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80" w:lineRule="exact"/>
        <w:rPr>
          <w:sz w:val="20"/>
          <w:szCs w:val="20"/>
          <w:color w:val="auto"/>
        </w:rPr>
      </w:pPr>
    </w:p>
    <w:p>
      <w:pPr>
        <w:jc w:val="both"/>
        <w:ind w:left="360" w:right="20" w:firstLine="1533"/>
        <w:spacing w:after="0" w:line="273" w:lineRule="auto"/>
        <w:rPr>
          <w:sz w:val="20"/>
          <w:szCs w:val="20"/>
          <w:color w:val="auto"/>
        </w:rPr>
      </w:pPr>
      <w:r>
        <w:rPr>
          <w:rFonts w:ascii="Times New Roman" w:cs="Times New Roman" w:eastAsia="Times New Roman" w:hAnsi="Times New Roman"/>
          <w:sz w:val="20"/>
          <w:szCs w:val="20"/>
          <w:b w:val="1"/>
          <w:bCs w:val="1"/>
          <w:color w:val="231F20"/>
        </w:rPr>
        <w:t>(x)</w:t>
      </w:r>
      <w:r>
        <w:rPr>
          <w:rFonts w:ascii="Times New Roman" w:cs="Times New Roman" w:eastAsia="Times New Roman" w:hAnsi="Times New Roman"/>
          <w:sz w:val="20"/>
          <w:szCs w:val="20"/>
          <w:color w:val="231F20"/>
        </w:rPr>
        <w:t>Generally, to exercise such powers and to perform such acts as the Board deems necessary or expedient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promote the best interests of the Company and that are not in conflict with the provisions of the Plan or Awards.</w:t>
      </w:r>
    </w:p>
    <w:p>
      <w:pPr>
        <w:spacing w:after="0" w:line="152" w:lineRule="exact"/>
        <w:rPr>
          <w:sz w:val="20"/>
          <w:szCs w:val="20"/>
          <w:color w:val="auto"/>
        </w:rPr>
      </w:pPr>
    </w:p>
    <w:p>
      <w:pPr>
        <w:jc w:val="both"/>
        <w:ind w:left="360" w:right="20" w:firstLine="1533"/>
        <w:spacing w:after="0" w:line="250" w:lineRule="auto"/>
        <w:rPr>
          <w:sz w:val="20"/>
          <w:szCs w:val="20"/>
          <w:color w:val="auto"/>
        </w:rPr>
      </w:pPr>
      <w:r>
        <w:rPr>
          <w:rFonts w:ascii="Times New Roman" w:cs="Times New Roman" w:eastAsia="Times New Roman" w:hAnsi="Times New Roman"/>
          <w:sz w:val="20"/>
          <w:szCs w:val="20"/>
          <w:b w:val="1"/>
          <w:bCs w:val="1"/>
          <w:color w:val="231F20"/>
        </w:rPr>
        <w:t>(xi)</w:t>
      </w:r>
      <w:r>
        <w:rPr>
          <w:rFonts w:ascii="Times New Roman" w:cs="Times New Roman" w:eastAsia="Times New Roman" w:hAnsi="Times New Roman"/>
          <w:sz w:val="20"/>
          <w:szCs w:val="20"/>
          <w:color w:val="231F20"/>
        </w:rPr>
        <w:t>To adopt such procedures and sub-plans as are necessary or appropriate to permit and facilitate participation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 the Plan by, or take advantage of specific tax treatment for Awards granted to Eligible Employees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6" w:lineRule="exact"/>
        <w:rPr>
          <w:sz w:val="20"/>
          <w:szCs w:val="20"/>
          <w:color w:val="auto"/>
        </w:rPr>
      </w:pPr>
    </w:p>
    <w:p>
      <w:pPr>
        <w:ind w:left="2200" w:hanging="625"/>
        <w:spacing w:after="0"/>
        <w:tabs>
          <w:tab w:leader="none" w:pos="2200" w:val="left"/>
        </w:tabs>
        <w:numPr>
          <w:ilvl w:val="0"/>
          <w:numId w:val="3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Delegation to Committee.</w:t>
      </w:r>
    </w:p>
    <w:p>
      <w:pPr>
        <w:spacing w:after="0" w:line="216" w:lineRule="exact"/>
        <w:rPr>
          <w:sz w:val="20"/>
          <w:szCs w:val="20"/>
          <w:color w:val="auto"/>
        </w:rPr>
      </w:pPr>
    </w:p>
    <w:p>
      <w:pPr>
        <w:jc w:val="both"/>
        <w:ind w:left="360" w:firstLine="1587"/>
        <w:spacing w:after="0" w:line="242" w:lineRule="auto"/>
        <w:rPr>
          <w:sz w:val="20"/>
          <w:szCs w:val="20"/>
          <w:color w:val="auto"/>
        </w:rPr>
      </w:pPr>
      <w:r>
        <w:rPr>
          <w:rFonts w:ascii="Times New Roman" w:cs="Times New Roman" w:eastAsia="Times New Roman" w:hAnsi="Times New Roman"/>
          <w:sz w:val="20"/>
          <w:szCs w:val="20"/>
          <w:b w:val="1"/>
          <w:bCs w:val="1"/>
          <w:color w:val="231F20"/>
        </w:rPr>
        <w:t xml:space="preserve">(i)General. </w:t>
      </w:r>
      <w:r>
        <w:rPr>
          <w:rFonts w:ascii="Times New Roman" w:cs="Times New Roman" w:eastAsia="Times New Roman" w:hAnsi="Times New Roman"/>
          <w:sz w:val="20"/>
          <w:szCs w:val="20"/>
          <w:color w:val="231F20"/>
        </w:rPr>
        <w:t>Subject to the terms and conditions of the Plan (including Sections 7(a) and 7(b)) and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Inducement Award Rules,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41" w:lineRule="exact"/>
        <w:rPr>
          <w:sz w:val="20"/>
          <w:szCs w:val="20"/>
          <w:color w:val="auto"/>
        </w:rPr>
      </w:pPr>
    </w:p>
    <w:p>
      <w:pPr>
        <w:jc w:val="both"/>
        <w:ind w:left="360" w:right="20" w:firstLine="1535"/>
        <w:spacing w:after="0" w:line="247" w:lineRule="auto"/>
        <w:tabs>
          <w:tab w:leader="none" w:pos="2207" w:val="left"/>
        </w:tabs>
        <w:numPr>
          <w:ilvl w:val="0"/>
          <w:numId w:val="3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Rule 16b-3 Compliance. </w:t>
      </w:r>
      <w:r>
        <w:rPr>
          <w:rFonts w:ascii="Times New Roman" w:cs="Times New Roman" w:eastAsia="Times New Roman" w:hAnsi="Times New Roman"/>
          <w:sz w:val="20"/>
          <w:szCs w:val="20"/>
          <w:color w:val="231F20"/>
        </w:rPr>
        <w:t>To the extent an Award is intended to qualify for the exemption from Section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8" w:name="page19"/>
    <w:bookmarkEnd w:id="18"/>
    <w:p>
      <w:pPr>
        <w:spacing w:after="0" w:line="104" w:lineRule="exact"/>
        <w:rPr>
          <w:sz w:val="20"/>
          <w:szCs w:val="20"/>
          <w:color w:val="auto"/>
        </w:rPr>
      </w:pPr>
    </w:p>
    <w:p>
      <w:pPr>
        <w:ind w:left="360" w:right="20" w:firstLine="1275"/>
        <w:spacing w:after="0" w:line="273" w:lineRule="auto"/>
        <w:tabs>
          <w:tab w:leader="none" w:pos="1965" w:val="left"/>
        </w:tabs>
        <w:numPr>
          <w:ilvl w:val="3"/>
          <w:numId w:val="3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Effect of Board’s Decision. </w:t>
      </w:r>
      <w:r>
        <w:rPr>
          <w:rFonts w:ascii="Times New Roman" w:cs="Times New Roman" w:eastAsia="Times New Roman" w:hAnsi="Times New Roman"/>
          <w:sz w:val="20"/>
          <w:szCs w:val="20"/>
          <w:color w:val="231F20"/>
        </w:rPr>
        <w:t>All determinations, interpretations and constructions made by the Board or 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Committee in good faith will not be subject to review by any person and will be final, binding and conclusive on all persons.</w:t>
      </w:r>
    </w:p>
    <w:p>
      <w:pPr>
        <w:spacing w:after="0" w:line="151" w:lineRule="exact"/>
        <w:rPr>
          <w:rFonts w:ascii="Times New Roman" w:cs="Times New Roman" w:eastAsia="Times New Roman" w:hAnsi="Times New Roman"/>
          <w:sz w:val="20"/>
          <w:szCs w:val="20"/>
          <w:b w:val="1"/>
          <w:bCs w:val="1"/>
          <w:color w:val="231F20"/>
        </w:rPr>
      </w:pPr>
    </w:p>
    <w:p>
      <w:pPr>
        <w:ind w:left="760" w:hanging="742"/>
        <w:spacing w:after="0"/>
        <w:tabs>
          <w:tab w:leader="none" w:pos="760" w:val="left"/>
        </w:tabs>
        <w:numPr>
          <w:ilvl w:val="0"/>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w:t>
      </w:r>
      <w:r>
        <w:rPr>
          <w:rFonts w:ascii="Times New Roman" w:cs="Times New Roman" w:eastAsia="Times New Roman" w:hAnsi="Times New Roman"/>
          <w:sz w:val="13"/>
          <w:szCs w:val="13"/>
          <w:b w:val="1"/>
          <w:bCs w:val="1"/>
          <w:color w:val="231F20"/>
        </w:rPr>
        <w:t>ax</w:t>
      </w:r>
      <w:r>
        <w:rPr>
          <w:rFonts w:ascii="Times New Roman" w:cs="Times New Roman" w:eastAsia="Times New Roman" w:hAnsi="Times New Roman"/>
          <w:sz w:val="20"/>
          <w:szCs w:val="20"/>
          <w:b w:val="1"/>
          <w:bCs w:val="1"/>
          <w:color w:val="231F20"/>
        </w:rPr>
        <w:t xml:space="preserve"> W</w:t>
      </w:r>
      <w:r>
        <w:rPr>
          <w:rFonts w:ascii="Times New Roman" w:cs="Times New Roman" w:eastAsia="Times New Roman" w:hAnsi="Times New Roman"/>
          <w:sz w:val="13"/>
          <w:szCs w:val="13"/>
          <w:b w:val="1"/>
          <w:bCs w:val="1"/>
          <w:color w:val="231F20"/>
        </w:rPr>
        <w:t>ithholding</w:t>
      </w:r>
    </w:p>
    <w:p>
      <w:pPr>
        <w:spacing w:after="0" w:line="229" w:lineRule="exact"/>
        <w:rPr>
          <w:rFonts w:ascii="Times New Roman" w:cs="Times New Roman" w:eastAsia="Times New Roman" w:hAnsi="Times New Roman"/>
          <w:sz w:val="20"/>
          <w:szCs w:val="20"/>
          <w:b w:val="1"/>
          <w:bCs w:val="1"/>
          <w:color w:val="231F20"/>
        </w:rPr>
      </w:pPr>
    </w:p>
    <w:p>
      <w:pPr>
        <w:jc w:val="both"/>
        <w:ind w:left="400" w:right="20" w:firstLine="741"/>
        <w:spacing w:after="0" w:line="245" w:lineRule="auto"/>
        <w:tabs>
          <w:tab w:leader="none" w:pos="1510" w:val="left"/>
        </w:tabs>
        <w:numPr>
          <w:ilvl w:val="2"/>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Withholding Authorization. </w:t>
      </w:r>
      <w:r>
        <w:rPr>
          <w:rFonts w:ascii="Times New Roman" w:cs="Times New Roman" w:eastAsia="Times New Roman" w:hAnsi="Times New Roman"/>
          <w:sz w:val="20"/>
          <w:szCs w:val="20"/>
          <w:color w:val="231F20"/>
        </w:rPr>
        <w:t>As a condition to acceptance of any Award under the Plan, a Participant authorizes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9" w:lineRule="exact"/>
        <w:rPr>
          <w:rFonts w:ascii="Times New Roman" w:cs="Times New Roman" w:eastAsia="Times New Roman" w:hAnsi="Times New Roman"/>
          <w:sz w:val="20"/>
          <w:szCs w:val="20"/>
          <w:b w:val="1"/>
          <w:bCs w:val="1"/>
          <w:color w:val="231F20"/>
        </w:rPr>
      </w:pPr>
    </w:p>
    <w:p>
      <w:pPr>
        <w:jc w:val="both"/>
        <w:ind w:left="400" w:firstLine="741"/>
        <w:spacing w:after="0" w:line="244" w:lineRule="auto"/>
        <w:tabs>
          <w:tab w:leader="none" w:pos="1510" w:val="left"/>
        </w:tabs>
        <w:numPr>
          <w:ilvl w:val="2"/>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Satisfaction of Withholding Obligation. </w:t>
      </w:r>
      <w:r>
        <w:rPr>
          <w:rFonts w:ascii="Times New Roman" w:cs="Times New Roman" w:eastAsia="Times New Roman" w:hAnsi="Times New Roman"/>
          <w:sz w:val="20"/>
          <w:szCs w:val="20"/>
          <w:color w:val="231F20"/>
        </w:rPr>
        <w:t>To the extent permitted by the terms of an Award Agreement,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1" w:lineRule="exact"/>
        <w:rPr>
          <w:rFonts w:ascii="Times New Roman" w:cs="Times New Roman" w:eastAsia="Times New Roman" w:hAnsi="Times New Roman"/>
          <w:sz w:val="20"/>
          <w:szCs w:val="20"/>
          <w:b w:val="1"/>
          <w:bCs w:val="1"/>
          <w:color w:val="231F20"/>
        </w:rPr>
      </w:pPr>
    </w:p>
    <w:p>
      <w:pPr>
        <w:jc w:val="both"/>
        <w:ind w:left="360" w:firstLine="751"/>
        <w:spacing w:after="0" w:line="241" w:lineRule="auto"/>
        <w:tabs>
          <w:tab w:leader="none" w:pos="1499" w:val="left"/>
        </w:tabs>
        <w:numPr>
          <w:ilvl w:val="1"/>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No Obligation to Notify or Minimize Taxes; No Liability to Claims. </w:t>
      </w:r>
      <w:r>
        <w:rPr>
          <w:rFonts w:ascii="Times New Roman" w:cs="Times New Roman" w:eastAsia="Times New Roman" w:hAnsi="Times New Roman"/>
          <w:sz w:val="20"/>
          <w:szCs w:val="20"/>
          <w:color w:val="231F20"/>
        </w:rPr>
        <w:t>Except as required by Applicable Law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93" w:lineRule="exact"/>
        <w:rPr>
          <w:rFonts w:ascii="Times New Roman" w:cs="Times New Roman" w:eastAsia="Times New Roman" w:hAnsi="Times New Roman"/>
          <w:sz w:val="20"/>
          <w:szCs w:val="20"/>
          <w:b w:val="1"/>
          <w:bCs w:val="1"/>
          <w:color w:val="231F20"/>
        </w:rPr>
      </w:pPr>
    </w:p>
    <w:p>
      <w:pPr>
        <w:jc w:val="both"/>
        <w:ind w:left="360" w:firstLine="751"/>
        <w:spacing w:after="0" w:line="250" w:lineRule="auto"/>
        <w:tabs>
          <w:tab w:leader="none" w:pos="1499" w:val="left"/>
        </w:tabs>
        <w:numPr>
          <w:ilvl w:val="1"/>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Withholding Indemnification. </w:t>
      </w:r>
      <w:r>
        <w:rPr>
          <w:rFonts w:ascii="Times New Roman" w:cs="Times New Roman" w:eastAsia="Times New Roman" w:hAnsi="Times New Roman"/>
          <w:sz w:val="20"/>
          <w:szCs w:val="20"/>
          <w:color w:val="231F20"/>
        </w:rPr>
        <w:t>As a condition to accepting an Award under the Plan, in the event that the amount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19" w:name="page20"/>
    <w:bookmarkEnd w:id="19"/>
    <w:p>
      <w:pPr>
        <w:spacing w:after="0" w:line="104" w:lineRule="exact"/>
        <w:rPr>
          <w:sz w:val="20"/>
          <w:szCs w:val="20"/>
          <w:color w:val="auto"/>
        </w:rPr>
      </w:pPr>
    </w:p>
    <w:p>
      <w:pPr>
        <w:ind w:left="1100" w:hanging="738"/>
        <w:spacing w:after="0"/>
        <w:tabs>
          <w:tab w:leader="none" w:pos="1100" w:val="left"/>
        </w:tabs>
        <w:numPr>
          <w:ilvl w:val="0"/>
          <w:numId w:val="3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M</w:t>
      </w:r>
      <w:r>
        <w:rPr>
          <w:rFonts w:ascii="Times New Roman" w:cs="Times New Roman" w:eastAsia="Times New Roman" w:hAnsi="Times New Roman"/>
          <w:sz w:val="13"/>
          <w:szCs w:val="13"/>
          <w:b w:val="1"/>
          <w:bCs w:val="1"/>
          <w:color w:val="231F20"/>
        </w:rPr>
        <w:t>iscellaneous</w:t>
      </w:r>
      <w:r>
        <w:rPr>
          <w:rFonts w:ascii="Times New Roman" w:cs="Times New Roman" w:eastAsia="Times New Roman" w:hAnsi="Times New Roman"/>
          <w:sz w:val="20"/>
          <w:szCs w:val="20"/>
          <w:b w:val="1"/>
          <w:bCs w:val="1"/>
          <w:color w:val="231F20"/>
        </w:rPr>
        <w:t>.</w:t>
      </w:r>
    </w:p>
    <w:p>
      <w:pPr>
        <w:spacing w:after="0" w:line="200" w:lineRule="exact"/>
        <w:rPr>
          <w:sz w:val="20"/>
          <w:szCs w:val="20"/>
          <w:color w:val="auto"/>
        </w:rPr>
      </w:pPr>
    </w:p>
    <w:p>
      <w:pPr>
        <w:spacing w:after="0" w:line="245" w:lineRule="exact"/>
        <w:rPr>
          <w:sz w:val="20"/>
          <w:szCs w:val="20"/>
          <w:color w:val="auto"/>
        </w:rPr>
      </w:pPr>
    </w:p>
    <w:p>
      <w:pPr>
        <w:jc w:val="both"/>
        <w:ind w:left="360" w:right="20" w:firstLine="998"/>
        <w:spacing w:after="0" w:line="273" w:lineRule="auto"/>
        <w:rPr>
          <w:sz w:val="20"/>
          <w:szCs w:val="20"/>
          <w:color w:val="auto"/>
        </w:rPr>
      </w:pPr>
      <w:r>
        <w:rPr>
          <w:rFonts w:ascii="Times New Roman" w:cs="Times New Roman" w:eastAsia="Times New Roman" w:hAnsi="Times New Roman"/>
          <w:sz w:val="20"/>
          <w:szCs w:val="20"/>
          <w:b w:val="1"/>
          <w:bCs w:val="1"/>
          <w:color w:val="231F20"/>
        </w:rPr>
        <w:t xml:space="preserve">(a)Source of Shares. </w:t>
      </w:r>
      <w:r>
        <w:rPr>
          <w:rFonts w:ascii="Times New Roman" w:cs="Times New Roman" w:eastAsia="Times New Roman" w:hAnsi="Times New Roman"/>
          <w:sz w:val="20"/>
          <w:szCs w:val="20"/>
          <w:color w:val="231F20"/>
        </w:rPr>
        <w:t>The stock issuable under the Plan will be shares of authorized but unissued or reacquired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Common Stock, including shares repurchased by the Company on the open market or otherwise.</w:t>
      </w:r>
    </w:p>
    <w:p>
      <w:pPr>
        <w:spacing w:after="0" w:line="152" w:lineRule="exact"/>
        <w:rPr>
          <w:sz w:val="20"/>
          <w:szCs w:val="20"/>
          <w:color w:val="auto"/>
        </w:rPr>
      </w:pPr>
    </w:p>
    <w:p>
      <w:pPr>
        <w:jc w:val="both"/>
        <w:ind w:left="360" w:right="20" w:firstLine="998"/>
        <w:spacing w:after="0" w:line="273" w:lineRule="auto"/>
        <w:rPr>
          <w:sz w:val="20"/>
          <w:szCs w:val="20"/>
          <w:color w:val="auto"/>
        </w:rPr>
      </w:pPr>
      <w:r>
        <w:rPr>
          <w:rFonts w:ascii="Times New Roman" w:cs="Times New Roman" w:eastAsia="Times New Roman" w:hAnsi="Times New Roman"/>
          <w:sz w:val="20"/>
          <w:szCs w:val="20"/>
          <w:b w:val="1"/>
          <w:bCs w:val="1"/>
          <w:color w:val="231F20"/>
        </w:rPr>
        <w:t xml:space="preserve">(b)Use of Proceeds from Sales of Common Stock. </w:t>
      </w:r>
      <w:r>
        <w:rPr>
          <w:rFonts w:ascii="Times New Roman" w:cs="Times New Roman" w:eastAsia="Times New Roman" w:hAnsi="Times New Roman"/>
          <w:sz w:val="20"/>
          <w:szCs w:val="20"/>
          <w:color w:val="231F20"/>
        </w:rPr>
        <w:t>Proceeds from the sale of shares of Common Stock pursuant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Awards will constitute general funds of the Company.</w:t>
      </w:r>
    </w:p>
    <w:p>
      <w:pPr>
        <w:spacing w:after="0" w:line="152" w:lineRule="exact"/>
        <w:rPr>
          <w:sz w:val="20"/>
          <w:szCs w:val="20"/>
          <w:color w:val="auto"/>
        </w:rPr>
      </w:pPr>
    </w:p>
    <w:p>
      <w:pPr>
        <w:jc w:val="both"/>
        <w:ind w:left="360" w:firstLine="1033"/>
        <w:spacing w:after="0" w:line="244" w:lineRule="auto"/>
        <w:rPr>
          <w:sz w:val="20"/>
          <w:szCs w:val="20"/>
          <w:color w:val="auto"/>
        </w:rPr>
      </w:pPr>
      <w:r>
        <w:rPr>
          <w:rFonts w:ascii="Times New Roman" w:cs="Times New Roman" w:eastAsia="Times New Roman" w:hAnsi="Times New Roman"/>
          <w:sz w:val="20"/>
          <w:szCs w:val="20"/>
          <w:b w:val="1"/>
          <w:bCs w:val="1"/>
          <w:color w:val="231F20"/>
        </w:rPr>
        <w:t xml:space="preserve">(c)Corporate Action Constituting Grant of Awards. </w:t>
      </w:r>
      <w:r>
        <w:rPr>
          <w:rFonts w:ascii="Times New Roman" w:cs="Times New Roman" w:eastAsia="Times New Roman" w:hAnsi="Times New Roman"/>
          <w:sz w:val="20"/>
          <w:szCs w:val="20"/>
          <w:color w:val="231F20"/>
        </w:rPr>
        <w:t>Corporate action constituting a grant by the Company of an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sz w:val="20"/>
          <w:szCs w:val="20"/>
          <w:color w:val="auto"/>
        </w:rPr>
      </w:pPr>
    </w:p>
    <w:p>
      <w:pPr>
        <w:jc w:val="both"/>
        <w:ind w:left="360" w:firstLine="1033"/>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(d)Stockholder Rights. </w:t>
      </w:r>
      <w:r>
        <w:rPr>
          <w:rFonts w:ascii="Times New Roman" w:cs="Times New Roman" w:eastAsia="Times New Roman" w:hAnsi="Times New Roman"/>
          <w:sz w:val="20"/>
          <w:szCs w:val="20"/>
          <w:color w:val="231F20"/>
        </w:rPr>
        <w:t>No Participant will be deemed to be the holder of, or to have any of the rights of a holder with</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6" w:lineRule="exact"/>
        <w:rPr>
          <w:sz w:val="20"/>
          <w:szCs w:val="20"/>
          <w:color w:val="auto"/>
        </w:rPr>
      </w:pPr>
    </w:p>
    <w:p>
      <w:pPr>
        <w:jc w:val="both"/>
        <w:ind w:left="360" w:firstLine="1033"/>
        <w:spacing w:after="0" w:line="242" w:lineRule="auto"/>
        <w:rPr>
          <w:sz w:val="20"/>
          <w:szCs w:val="20"/>
          <w:color w:val="auto"/>
        </w:rPr>
      </w:pPr>
      <w:r>
        <w:rPr>
          <w:rFonts w:ascii="Times New Roman" w:cs="Times New Roman" w:eastAsia="Times New Roman" w:hAnsi="Times New Roman"/>
          <w:sz w:val="20"/>
          <w:szCs w:val="20"/>
          <w:b w:val="1"/>
          <w:bCs w:val="1"/>
          <w:color w:val="231F20"/>
        </w:rPr>
        <w:t xml:space="preserve">(e)No Employment or Other Service Rights. </w:t>
      </w:r>
      <w:r>
        <w:rPr>
          <w:rFonts w:ascii="Times New Roman" w:cs="Times New Roman" w:eastAsia="Times New Roman" w:hAnsi="Times New Roman"/>
          <w:sz w:val="20"/>
          <w:szCs w:val="20"/>
          <w:color w:val="231F20"/>
        </w:rPr>
        <w:t>Nothing in the Plan, any Award Agreement or any other instrument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7" w:lineRule="exact"/>
        <w:rPr>
          <w:sz w:val="20"/>
          <w:szCs w:val="20"/>
          <w:color w:val="auto"/>
        </w:rPr>
      </w:pPr>
    </w:p>
    <w:p>
      <w:pPr>
        <w:jc w:val="both"/>
        <w:ind w:left="360" w:right="20" w:firstLine="998"/>
        <w:spacing w:after="0" w:line="245" w:lineRule="auto"/>
        <w:rPr>
          <w:sz w:val="20"/>
          <w:szCs w:val="20"/>
          <w:color w:val="auto"/>
        </w:rPr>
      </w:pPr>
      <w:r>
        <w:rPr>
          <w:rFonts w:ascii="Times New Roman" w:cs="Times New Roman" w:eastAsia="Times New Roman" w:hAnsi="Times New Roman"/>
          <w:sz w:val="20"/>
          <w:szCs w:val="20"/>
          <w:b w:val="1"/>
          <w:bCs w:val="1"/>
          <w:color w:val="231F20"/>
        </w:rPr>
        <w:t>(f)Change in Time Commitment</w:t>
      </w:r>
      <w:r>
        <w:rPr>
          <w:rFonts w:ascii="Times New Roman" w:cs="Times New Roman" w:eastAsia="Times New Roman" w:hAnsi="Times New Roman"/>
          <w:sz w:val="20"/>
          <w:szCs w:val="20"/>
          <w:color w:val="231F20"/>
        </w:rPr>
        <w:t>. In the event a Participant’s regular level of time commitment in the performance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0" w:name="page21"/>
    <w:bookmarkEnd w:id="20"/>
    <w:p>
      <w:pPr>
        <w:spacing w:after="0" w:line="108" w:lineRule="exact"/>
        <w:rPr>
          <w:sz w:val="20"/>
          <w:szCs w:val="20"/>
          <w:color w:val="auto"/>
        </w:rPr>
      </w:pPr>
    </w:p>
    <w:p>
      <w:pPr>
        <w:jc w:val="both"/>
        <w:ind w:left="360" w:right="20"/>
        <w:spacing w:after="0" w:line="269" w:lineRule="auto"/>
        <w:rPr>
          <w:sz w:val="20"/>
          <w:szCs w:val="20"/>
          <w:color w:val="auto"/>
        </w:rPr>
      </w:pPr>
      <w:r>
        <w:rPr>
          <w:rFonts w:ascii="Times New Roman" w:cs="Times New Roman" w:eastAsia="Times New Roman" w:hAnsi="Times New Roman"/>
          <w:sz w:val="20"/>
          <w:szCs w:val="20"/>
          <w:color w:val="231F20"/>
        </w:rPr>
        <w:t>schedule applicable to such Award. In the event of any such reduction, the Participant will have no right with respect to any portion of the Award that is so reduced or extended.</w:t>
      </w:r>
    </w:p>
    <w:p>
      <w:pPr>
        <w:spacing w:after="0" w:line="155" w:lineRule="exact"/>
        <w:rPr>
          <w:sz w:val="20"/>
          <w:szCs w:val="20"/>
          <w:color w:val="auto"/>
        </w:rPr>
      </w:pPr>
    </w:p>
    <w:p>
      <w:pPr>
        <w:jc w:val="both"/>
        <w:ind w:left="360" w:right="20" w:firstLine="998"/>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(g)Execution of Additional Documents. </w:t>
      </w:r>
      <w:r>
        <w:rPr>
          <w:rFonts w:ascii="Times New Roman" w:cs="Times New Roman" w:eastAsia="Times New Roman" w:hAnsi="Times New Roman"/>
          <w:sz w:val="20"/>
          <w:szCs w:val="20"/>
          <w:color w:val="231F20"/>
        </w:rPr>
        <w:t>As a condition to accepting an Award under the Plan, the Participant agrees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6" w:lineRule="exact"/>
        <w:rPr>
          <w:sz w:val="20"/>
          <w:szCs w:val="20"/>
          <w:color w:val="auto"/>
        </w:rPr>
      </w:pPr>
    </w:p>
    <w:p>
      <w:pPr>
        <w:jc w:val="both"/>
        <w:ind w:left="360" w:firstLine="1033"/>
        <w:spacing w:after="0" w:line="245" w:lineRule="auto"/>
        <w:rPr>
          <w:sz w:val="20"/>
          <w:szCs w:val="20"/>
          <w:color w:val="auto"/>
        </w:rPr>
      </w:pPr>
      <w:r>
        <w:rPr>
          <w:rFonts w:ascii="Times New Roman" w:cs="Times New Roman" w:eastAsia="Times New Roman" w:hAnsi="Times New Roman"/>
          <w:sz w:val="20"/>
          <w:szCs w:val="20"/>
          <w:b w:val="1"/>
          <w:bCs w:val="1"/>
          <w:color w:val="231F20"/>
        </w:rPr>
        <w:t>(h)Electronic Delivery and Participation</w:t>
      </w:r>
      <w:r>
        <w:rPr>
          <w:rFonts w:ascii="Times New Roman" w:cs="Times New Roman" w:eastAsia="Times New Roman" w:hAnsi="Times New Roman"/>
          <w:sz w:val="20"/>
          <w:szCs w:val="20"/>
          <w:color w:val="231F20"/>
        </w:rPr>
        <w:t>. Any reference herein or in an Award Agreement to a “written” agreement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9" w:lineRule="exact"/>
        <w:rPr>
          <w:sz w:val="20"/>
          <w:szCs w:val="20"/>
          <w:color w:val="auto"/>
        </w:rPr>
      </w:pPr>
    </w:p>
    <w:p>
      <w:pPr>
        <w:jc w:val="both"/>
        <w:ind w:left="360" w:firstLine="1033"/>
        <w:spacing w:after="0" w:line="243" w:lineRule="auto"/>
        <w:rPr>
          <w:sz w:val="20"/>
          <w:szCs w:val="20"/>
          <w:color w:val="auto"/>
        </w:rPr>
      </w:pPr>
      <w:r>
        <w:rPr>
          <w:rFonts w:ascii="Times New Roman" w:cs="Times New Roman" w:eastAsia="Times New Roman" w:hAnsi="Times New Roman"/>
          <w:sz w:val="20"/>
          <w:szCs w:val="20"/>
          <w:b w:val="1"/>
          <w:bCs w:val="1"/>
          <w:color w:val="231F20"/>
        </w:rPr>
        <w:t>(i)Clawback/Recovery</w:t>
      </w:r>
      <w:r>
        <w:rPr>
          <w:rFonts w:ascii="Times New Roman" w:cs="Times New Roman" w:eastAsia="Times New Roman" w:hAnsi="Times New Roman"/>
          <w:sz w:val="20"/>
          <w:szCs w:val="20"/>
          <w:color w:val="231F20"/>
        </w:rPr>
        <w:t>. All Awards granted under the Plan will be subject to recoupment in accordance with 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2" w:lineRule="exact"/>
        <w:rPr>
          <w:sz w:val="20"/>
          <w:szCs w:val="20"/>
          <w:color w:val="auto"/>
        </w:rPr>
      </w:pPr>
    </w:p>
    <w:p>
      <w:pPr>
        <w:jc w:val="both"/>
        <w:ind w:left="360" w:firstLine="1033"/>
        <w:spacing w:after="0" w:line="247" w:lineRule="auto"/>
        <w:rPr>
          <w:sz w:val="20"/>
          <w:szCs w:val="20"/>
          <w:color w:val="auto"/>
        </w:rPr>
      </w:pPr>
      <w:r>
        <w:rPr>
          <w:rFonts w:ascii="Times New Roman" w:cs="Times New Roman" w:eastAsia="Times New Roman" w:hAnsi="Times New Roman"/>
          <w:sz w:val="20"/>
          <w:szCs w:val="20"/>
          <w:b w:val="1"/>
          <w:bCs w:val="1"/>
          <w:color w:val="231F20"/>
        </w:rPr>
        <w:t xml:space="preserve">(j)Securities Law Compliance. </w:t>
      </w:r>
      <w:r>
        <w:rPr>
          <w:rFonts w:ascii="Times New Roman" w:cs="Times New Roman" w:eastAsia="Times New Roman" w:hAnsi="Times New Roman"/>
          <w:sz w:val="20"/>
          <w:szCs w:val="20"/>
          <w:color w:val="231F20"/>
        </w:rPr>
        <w:t>A Participant will not be issued any shares in respect of an Award unless either (i)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0" w:lineRule="exact"/>
        <w:rPr>
          <w:sz w:val="20"/>
          <w:szCs w:val="20"/>
          <w:color w:val="auto"/>
        </w:rPr>
      </w:pPr>
    </w:p>
    <w:p>
      <w:pPr>
        <w:jc w:val="both"/>
        <w:ind w:left="360" w:right="20" w:firstLine="998"/>
        <w:spacing w:after="0" w:line="247" w:lineRule="auto"/>
        <w:rPr>
          <w:sz w:val="20"/>
          <w:szCs w:val="20"/>
          <w:color w:val="auto"/>
        </w:rPr>
      </w:pPr>
      <w:r>
        <w:rPr>
          <w:rFonts w:ascii="Times New Roman" w:cs="Times New Roman" w:eastAsia="Times New Roman" w:hAnsi="Times New Roman"/>
          <w:sz w:val="20"/>
          <w:szCs w:val="20"/>
          <w:b w:val="1"/>
          <w:bCs w:val="1"/>
          <w:color w:val="231F20"/>
        </w:rPr>
        <w:t xml:space="preserve">(k)Transfer or Assignment of Awards; Issued Shares. </w:t>
      </w:r>
      <w:r>
        <w:rPr>
          <w:rFonts w:ascii="Times New Roman" w:cs="Times New Roman" w:eastAsia="Times New Roman" w:hAnsi="Times New Roman"/>
          <w:sz w:val="20"/>
          <w:szCs w:val="20"/>
          <w:color w:val="231F20"/>
        </w:rPr>
        <w:t>Except as expressly provided in the Plan or the form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0" w:lineRule="exact"/>
        <w:rPr>
          <w:sz w:val="20"/>
          <w:szCs w:val="20"/>
          <w:color w:val="auto"/>
        </w:rPr>
      </w:pPr>
    </w:p>
    <w:p>
      <w:pPr>
        <w:jc w:val="both"/>
        <w:ind w:left="360" w:right="20" w:firstLine="998"/>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(l)Effect on Other Employee Benefit Plans. </w:t>
      </w:r>
      <w:r>
        <w:rPr>
          <w:rFonts w:ascii="Times New Roman" w:cs="Times New Roman" w:eastAsia="Times New Roman" w:hAnsi="Times New Roman"/>
          <w:sz w:val="20"/>
          <w:szCs w:val="20"/>
          <w:color w:val="231F20"/>
        </w:rPr>
        <w:t>The value of any Award granted under the Plan, as determined upon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1" w:name="page22"/>
    <w:bookmarkEnd w:id="21"/>
    <w:p>
      <w:pPr>
        <w:spacing w:after="0" w:line="108" w:lineRule="exact"/>
        <w:rPr>
          <w:sz w:val="20"/>
          <w:szCs w:val="20"/>
          <w:color w:val="auto"/>
        </w:rPr>
      </w:pPr>
    </w:p>
    <w:p>
      <w:pPr>
        <w:jc w:val="both"/>
        <w:ind w:left="360" w:right="20"/>
        <w:spacing w:after="0" w:line="269" w:lineRule="auto"/>
        <w:rPr>
          <w:sz w:val="20"/>
          <w:szCs w:val="20"/>
          <w:color w:val="auto"/>
        </w:rPr>
      </w:pPr>
      <w:r>
        <w:rPr>
          <w:rFonts w:ascii="Times New Roman" w:cs="Times New Roman" w:eastAsia="Times New Roman" w:hAnsi="Times New Roman"/>
          <w:sz w:val="20"/>
          <w:szCs w:val="20"/>
          <w:color w:val="231F20"/>
        </w:rPr>
        <w:t>Company expressly reserves its rights to amend, modify, or terminate any of the Company's or any Affiliate's employee benefit plans.</w:t>
      </w:r>
    </w:p>
    <w:p>
      <w:pPr>
        <w:spacing w:after="0" w:line="155" w:lineRule="exact"/>
        <w:rPr>
          <w:sz w:val="20"/>
          <w:szCs w:val="20"/>
          <w:color w:val="auto"/>
        </w:rPr>
      </w:pPr>
    </w:p>
    <w:p>
      <w:pPr>
        <w:jc w:val="both"/>
        <w:ind w:left="360" w:right="20" w:firstLine="998"/>
        <w:spacing w:after="0" w:line="250" w:lineRule="auto"/>
        <w:rPr>
          <w:sz w:val="20"/>
          <w:szCs w:val="20"/>
          <w:color w:val="auto"/>
        </w:rPr>
      </w:pPr>
      <w:r>
        <w:rPr>
          <w:rFonts w:ascii="Times New Roman" w:cs="Times New Roman" w:eastAsia="Times New Roman" w:hAnsi="Times New Roman"/>
          <w:sz w:val="20"/>
          <w:szCs w:val="20"/>
          <w:b w:val="1"/>
          <w:bCs w:val="1"/>
          <w:color w:val="231F20"/>
        </w:rPr>
        <w:t xml:space="preserve">(m)Deferrals. </w:t>
      </w:r>
      <w:r>
        <w:rPr>
          <w:rFonts w:ascii="Times New Roman" w:cs="Times New Roman" w:eastAsia="Times New Roman" w:hAnsi="Times New Roman"/>
          <w:sz w:val="20"/>
          <w:szCs w:val="20"/>
          <w:color w:val="231F20"/>
        </w:rPr>
        <w:t>To the extent permitted by Applicable Law, the Board, in its sole discretion, may determine that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6" w:lineRule="exact"/>
        <w:rPr>
          <w:sz w:val="20"/>
          <w:szCs w:val="20"/>
          <w:color w:val="auto"/>
        </w:rPr>
      </w:pPr>
    </w:p>
    <w:p>
      <w:pPr>
        <w:jc w:val="both"/>
        <w:ind w:left="360" w:right="20" w:firstLine="998"/>
        <w:spacing w:after="0" w:line="242" w:lineRule="auto"/>
        <w:rPr>
          <w:sz w:val="20"/>
          <w:szCs w:val="20"/>
          <w:color w:val="auto"/>
        </w:rPr>
      </w:pPr>
      <w:r>
        <w:rPr>
          <w:rFonts w:ascii="Times New Roman" w:cs="Times New Roman" w:eastAsia="Times New Roman" w:hAnsi="Times New Roman"/>
          <w:sz w:val="20"/>
          <w:szCs w:val="20"/>
          <w:b w:val="1"/>
          <w:bCs w:val="1"/>
          <w:color w:val="231F20"/>
        </w:rPr>
        <w:t xml:space="preserve">(n)Section 409A. </w:t>
      </w:r>
      <w:r>
        <w:rPr>
          <w:rFonts w:ascii="Times New Roman" w:cs="Times New Roman" w:eastAsia="Times New Roman" w:hAnsi="Times New Roman"/>
          <w:sz w:val="20"/>
          <w:szCs w:val="20"/>
          <w:color w:val="231F20"/>
        </w:rPr>
        <w:t>Unless otherwise expressly provided for in an Award Agreement, the Plan and Award Agreements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2" w:lineRule="exact"/>
        <w:rPr>
          <w:sz w:val="20"/>
          <w:szCs w:val="20"/>
          <w:color w:val="auto"/>
        </w:rPr>
      </w:pPr>
    </w:p>
    <w:p>
      <w:pPr>
        <w:jc w:val="both"/>
        <w:ind w:left="360" w:right="20" w:firstLine="998"/>
        <w:spacing w:after="0" w:line="256" w:lineRule="auto"/>
        <w:rPr>
          <w:sz w:val="20"/>
          <w:szCs w:val="20"/>
          <w:color w:val="auto"/>
        </w:rPr>
      </w:pPr>
      <w:r>
        <w:rPr>
          <w:rFonts w:ascii="Times New Roman" w:cs="Times New Roman" w:eastAsia="Times New Roman" w:hAnsi="Times New Roman"/>
          <w:sz w:val="20"/>
          <w:szCs w:val="20"/>
          <w:b w:val="1"/>
          <w:bCs w:val="1"/>
          <w:color w:val="231F20"/>
        </w:rPr>
        <w:t xml:space="preserve">(o)Choice of Law. </w:t>
      </w:r>
      <w:r>
        <w:rPr>
          <w:rFonts w:ascii="Times New Roman" w:cs="Times New Roman" w:eastAsia="Times New Roman" w:hAnsi="Times New Roman"/>
          <w:sz w:val="20"/>
          <w:szCs w:val="20"/>
          <w:color w:val="231F20"/>
        </w:rPr>
        <w:t>This Plan and any controversy arising out of or relating to this Plan shall be governed by,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construed in accordance with, the internal laws of the State of Delaware, without regard to conflict of law principles that would result in any application of any law other than the law of the State of Delaware.</w:t>
      </w:r>
    </w:p>
    <w:p>
      <w:pPr>
        <w:spacing w:after="0" w:line="169" w:lineRule="exact"/>
        <w:rPr>
          <w:sz w:val="20"/>
          <w:szCs w:val="20"/>
          <w:color w:val="auto"/>
        </w:rPr>
      </w:pPr>
    </w:p>
    <w:p>
      <w:pPr>
        <w:ind w:left="1080" w:hanging="719"/>
        <w:spacing w:after="0"/>
        <w:tabs>
          <w:tab w:leader="none" w:pos="1080"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w:t>
      </w:r>
      <w:r>
        <w:rPr>
          <w:rFonts w:ascii="Times New Roman" w:cs="Times New Roman" w:eastAsia="Times New Roman" w:hAnsi="Times New Roman"/>
          <w:sz w:val="13"/>
          <w:szCs w:val="13"/>
          <w:b w:val="1"/>
          <w:bCs w:val="1"/>
          <w:color w:val="231F20"/>
        </w:rPr>
        <w:t>ovenants of the</w:t>
      </w:r>
      <w:r>
        <w:rPr>
          <w:rFonts w:ascii="Times New Roman" w:cs="Times New Roman" w:eastAsia="Times New Roman" w:hAnsi="Times New Roman"/>
          <w:sz w:val="20"/>
          <w:szCs w:val="20"/>
          <w:b w:val="1"/>
          <w:bCs w:val="1"/>
          <w:color w:val="231F20"/>
        </w:rPr>
        <w:t xml:space="preserve"> C</w:t>
      </w:r>
      <w:r>
        <w:rPr>
          <w:rFonts w:ascii="Times New Roman" w:cs="Times New Roman" w:eastAsia="Times New Roman" w:hAnsi="Times New Roman"/>
          <w:sz w:val="13"/>
          <w:szCs w:val="13"/>
          <w:b w:val="1"/>
          <w:bCs w:val="1"/>
          <w:color w:val="231F20"/>
        </w:rPr>
        <w:t>ompany</w:t>
      </w:r>
      <w:r>
        <w:rPr>
          <w:rFonts w:ascii="Times New Roman" w:cs="Times New Roman" w:eastAsia="Times New Roman" w:hAnsi="Times New Roman"/>
          <w:sz w:val="20"/>
          <w:szCs w:val="20"/>
          <w:b w:val="1"/>
          <w:bCs w:val="1"/>
          <w:color w:val="231F20"/>
        </w:rPr>
        <w:t>.</w:t>
      </w:r>
    </w:p>
    <w:p>
      <w:pPr>
        <w:spacing w:after="0" w:line="233" w:lineRule="exact"/>
        <w:rPr>
          <w:sz w:val="20"/>
          <w:szCs w:val="20"/>
          <w:color w:val="auto"/>
        </w:rPr>
      </w:pPr>
    </w:p>
    <w:p>
      <w:pPr>
        <w:jc w:val="both"/>
        <w:ind w:left="360" w:firstLine="749"/>
        <w:spacing w:after="0" w:line="243" w:lineRule="auto"/>
        <w:rPr>
          <w:sz w:val="20"/>
          <w:szCs w:val="20"/>
          <w:color w:val="auto"/>
        </w:rPr>
      </w:pPr>
      <w:r>
        <w:rPr>
          <w:rFonts w:ascii="Times New Roman" w:cs="Times New Roman" w:eastAsia="Times New Roman" w:hAnsi="Times New Roman"/>
          <w:sz w:val="20"/>
          <w:szCs w:val="20"/>
          <w:color w:val="231F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95" w:lineRule="exact"/>
        <w:rPr>
          <w:sz w:val="20"/>
          <w:szCs w:val="20"/>
          <w:color w:val="auto"/>
        </w:rPr>
      </w:pPr>
    </w:p>
    <w:p>
      <w:pPr>
        <w:ind w:left="1080" w:hanging="718"/>
        <w:spacing w:after="0"/>
        <w:tabs>
          <w:tab w:leader="none" w:pos="1080" w:val="left"/>
        </w:tabs>
        <w:numPr>
          <w:ilvl w:val="0"/>
          <w:numId w:val="3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A</w:t>
      </w:r>
      <w:r>
        <w:rPr>
          <w:rFonts w:ascii="Times New Roman" w:cs="Times New Roman" w:eastAsia="Times New Roman" w:hAnsi="Times New Roman"/>
          <w:sz w:val="13"/>
          <w:szCs w:val="13"/>
          <w:b w:val="1"/>
          <w:bCs w:val="1"/>
          <w:color w:val="231F20"/>
        </w:rPr>
        <w:t>dditional</w:t>
      </w:r>
      <w:r>
        <w:rPr>
          <w:rFonts w:ascii="Times New Roman" w:cs="Times New Roman" w:eastAsia="Times New Roman" w:hAnsi="Times New Roman"/>
          <w:sz w:val="20"/>
          <w:szCs w:val="20"/>
          <w:b w:val="1"/>
          <w:bCs w:val="1"/>
          <w:color w:val="231F20"/>
        </w:rPr>
        <w:t xml:space="preserve"> R</w:t>
      </w:r>
      <w:r>
        <w:rPr>
          <w:rFonts w:ascii="Times New Roman" w:cs="Times New Roman" w:eastAsia="Times New Roman" w:hAnsi="Times New Roman"/>
          <w:sz w:val="13"/>
          <w:szCs w:val="13"/>
          <w:b w:val="1"/>
          <w:bCs w:val="1"/>
          <w:color w:val="231F20"/>
        </w:rPr>
        <w:t>ules for</w:t>
      </w:r>
      <w:r>
        <w:rPr>
          <w:rFonts w:ascii="Times New Roman" w:cs="Times New Roman" w:eastAsia="Times New Roman" w:hAnsi="Times New Roman"/>
          <w:sz w:val="20"/>
          <w:szCs w:val="20"/>
          <w:b w:val="1"/>
          <w:bCs w:val="1"/>
          <w:color w:val="231F20"/>
        </w:rPr>
        <w:t xml:space="preserve"> A</w:t>
      </w:r>
      <w:r>
        <w:rPr>
          <w:rFonts w:ascii="Times New Roman" w:cs="Times New Roman" w:eastAsia="Times New Roman" w:hAnsi="Times New Roman"/>
          <w:sz w:val="13"/>
          <w:szCs w:val="13"/>
          <w:b w:val="1"/>
          <w:bCs w:val="1"/>
          <w:color w:val="231F20"/>
        </w:rPr>
        <w:t>wards</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ubject to</w:t>
      </w:r>
      <w:r>
        <w:rPr>
          <w:rFonts w:ascii="Times New Roman" w:cs="Times New Roman" w:eastAsia="Times New Roman" w:hAnsi="Times New Roman"/>
          <w:sz w:val="20"/>
          <w:szCs w:val="20"/>
          <w:b w:val="1"/>
          <w:bCs w:val="1"/>
          <w:color w:val="231F20"/>
        </w:rPr>
        <w:t xml:space="preserve"> S</w:t>
      </w:r>
      <w:r>
        <w:rPr>
          <w:rFonts w:ascii="Times New Roman" w:cs="Times New Roman" w:eastAsia="Times New Roman" w:hAnsi="Times New Roman"/>
          <w:sz w:val="13"/>
          <w:szCs w:val="13"/>
          <w:b w:val="1"/>
          <w:bCs w:val="1"/>
          <w:color w:val="231F20"/>
        </w:rPr>
        <w:t>ection</w:t>
      </w:r>
      <w:r>
        <w:rPr>
          <w:rFonts w:ascii="Times New Roman" w:cs="Times New Roman" w:eastAsia="Times New Roman" w:hAnsi="Times New Roman"/>
          <w:sz w:val="20"/>
          <w:szCs w:val="20"/>
          <w:b w:val="1"/>
          <w:bCs w:val="1"/>
          <w:color w:val="231F20"/>
        </w:rPr>
        <w:t xml:space="preserve"> 409A.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2" w:name="page23"/>
    <w:bookmarkEnd w:id="22"/>
    <w:p>
      <w:pPr>
        <w:spacing w:after="0" w:line="104" w:lineRule="exact"/>
        <w:rPr>
          <w:sz w:val="20"/>
          <w:szCs w:val="20"/>
          <w:color w:val="auto"/>
        </w:rPr>
      </w:pPr>
    </w:p>
    <w:p>
      <w:pPr>
        <w:jc w:val="both"/>
        <w:ind w:left="360" w:right="20" w:firstLine="911"/>
        <w:spacing w:after="0" w:line="256" w:lineRule="auto"/>
        <w:rPr>
          <w:sz w:val="20"/>
          <w:szCs w:val="20"/>
          <w:color w:val="auto"/>
        </w:rPr>
      </w:pPr>
      <w:r>
        <w:rPr>
          <w:rFonts w:ascii="Times New Roman" w:cs="Times New Roman" w:eastAsia="Times New Roman" w:hAnsi="Times New Roman"/>
          <w:sz w:val="20"/>
          <w:szCs w:val="20"/>
          <w:b w:val="1"/>
          <w:bCs w:val="1"/>
          <w:color w:val="231F20"/>
        </w:rPr>
        <w:t xml:space="preserve">(a)Application. </w:t>
      </w:r>
      <w:r>
        <w:rPr>
          <w:rFonts w:ascii="Times New Roman" w:cs="Times New Roman" w:eastAsia="Times New Roman" w:hAnsi="Times New Roman"/>
          <w:sz w:val="20"/>
          <w:szCs w:val="20"/>
          <w:color w:val="231F20"/>
        </w:rPr>
        <w:t>Unless the provisions of this Section of the Plan are expressly superseded by the provisions in the form</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of Award Agreement, the provisions of this Section shall apply and shall supersede anything to the contrary set forth in the Award Agreement for a Non-Exempt Award.</w:t>
      </w:r>
    </w:p>
    <w:p>
      <w:pPr>
        <w:spacing w:after="0" w:line="169" w:lineRule="exact"/>
        <w:rPr>
          <w:sz w:val="20"/>
          <w:szCs w:val="20"/>
          <w:color w:val="auto"/>
        </w:rPr>
      </w:pPr>
    </w:p>
    <w:p>
      <w:pPr>
        <w:jc w:val="both"/>
        <w:ind w:left="360" w:right="20" w:firstLine="911"/>
        <w:spacing w:after="0" w:line="256" w:lineRule="auto"/>
        <w:rPr>
          <w:sz w:val="20"/>
          <w:szCs w:val="20"/>
          <w:color w:val="auto"/>
        </w:rPr>
      </w:pPr>
      <w:r>
        <w:rPr>
          <w:rFonts w:ascii="Times New Roman" w:cs="Times New Roman" w:eastAsia="Times New Roman" w:hAnsi="Times New Roman"/>
          <w:sz w:val="20"/>
          <w:szCs w:val="20"/>
          <w:b w:val="1"/>
          <w:bCs w:val="1"/>
          <w:color w:val="231F20"/>
        </w:rPr>
        <w:t xml:space="preserve">(b)Non-Exempt Awards Subject to Non-Exempt Severance Arrangements. </w:t>
      </w:r>
      <w:r>
        <w:rPr>
          <w:rFonts w:ascii="Times New Roman" w:cs="Times New Roman" w:eastAsia="Times New Roman" w:hAnsi="Times New Roman"/>
          <w:sz w:val="20"/>
          <w:szCs w:val="20"/>
          <w:color w:val="231F20"/>
        </w:rPr>
        <w:t>To the extent a Non-Exempt Award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subject to Section 409A due to application of a Non-Exempt Severance Arrangement, the following provisions of this subsection (b) apply.</w:t>
      </w:r>
    </w:p>
    <w:p>
      <w:pPr>
        <w:spacing w:after="0" w:line="173" w:lineRule="exact"/>
        <w:rPr>
          <w:sz w:val="20"/>
          <w:szCs w:val="20"/>
          <w:color w:val="auto"/>
        </w:rPr>
      </w:pPr>
    </w:p>
    <w:p>
      <w:pPr>
        <w:jc w:val="both"/>
        <w:ind w:left="360" w:right="20" w:firstLine="1636"/>
        <w:spacing w:after="0" w:line="246" w:lineRule="auto"/>
        <w:tabs>
          <w:tab w:leader="none" w:pos="245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3"/>
          <w:szCs w:val="13"/>
          <w:color w:val="231F20"/>
        </w:rPr>
        <w:t>st</w:t>
      </w:r>
      <w:r>
        <w:rPr>
          <w:rFonts w:ascii="Times New Roman" w:cs="Times New Roman" w:eastAsia="Times New Roman" w:hAnsi="Times New Roman"/>
          <w:sz w:val="20"/>
          <w:szCs w:val="20"/>
          <w:color w:val="231F20"/>
        </w:rPr>
        <w:t xml:space="preserve"> of the calendar year that includes the applicable vesting date, or (ii) the 60</w:t>
      </w:r>
      <w:r>
        <w:rPr>
          <w:rFonts w:ascii="Times New Roman" w:cs="Times New Roman" w:eastAsia="Times New Roman" w:hAnsi="Times New Roman"/>
          <w:sz w:val="13"/>
          <w:szCs w:val="13"/>
          <w:color w:val="231F20"/>
        </w:rPr>
        <w:t>th</w:t>
      </w:r>
      <w:r>
        <w:rPr>
          <w:rFonts w:ascii="Times New Roman" w:cs="Times New Roman" w:eastAsia="Times New Roman" w:hAnsi="Times New Roman"/>
          <w:sz w:val="20"/>
          <w:szCs w:val="20"/>
          <w:color w:val="231F20"/>
        </w:rPr>
        <w:t xml:space="preserve"> day that follows the applicable vesting date.</w:t>
      </w:r>
    </w:p>
    <w:p>
      <w:pPr>
        <w:spacing w:after="0" w:line="184" w:lineRule="exact"/>
        <w:rPr>
          <w:rFonts w:ascii="Times New Roman" w:cs="Times New Roman" w:eastAsia="Times New Roman" w:hAnsi="Times New Roman"/>
          <w:sz w:val="20"/>
          <w:szCs w:val="20"/>
          <w:color w:val="auto"/>
        </w:rPr>
      </w:pPr>
    </w:p>
    <w:p>
      <w:pPr>
        <w:jc w:val="both"/>
        <w:ind w:left="360" w:firstLine="1694"/>
        <w:spacing w:after="0" w:line="255" w:lineRule="auto"/>
        <w:tabs>
          <w:tab w:leader="none" w:pos="251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9"/>
          <w:szCs w:val="19"/>
          <w:color w:val="231F20"/>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w:t>
      </w:r>
    </w:p>
    <w:p>
      <w:pPr>
        <w:spacing w:after="0" w:line="3" w:lineRule="exact"/>
        <w:rPr>
          <w:rFonts w:ascii="Times New Roman" w:cs="Times New Roman" w:eastAsia="Times New Roman" w:hAnsi="Times New Roman"/>
          <w:sz w:val="19"/>
          <w:szCs w:val="19"/>
          <w:color w:val="auto"/>
        </w:rPr>
      </w:pPr>
    </w:p>
    <w:p>
      <w:pPr>
        <w:ind w:left="36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231F20"/>
        </w:rPr>
        <w:t>(2)(B)(i) of the Code, such shares shall not be issued before the date that is six months following the date of such Participant’s Separation from Service, or, if earlier, the date of the Participant’s death that occurs within such six month period.</w:t>
      </w:r>
    </w:p>
    <w:p>
      <w:pPr>
        <w:spacing w:after="0" w:line="181" w:lineRule="exact"/>
        <w:rPr>
          <w:rFonts w:ascii="Times New Roman" w:cs="Times New Roman" w:eastAsia="Times New Roman" w:hAnsi="Times New Roman"/>
          <w:sz w:val="19"/>
          <w:szCs w:val="19"/>
          <w:color w:val="auto"/>
        </w:rPr>
      </w:pPr>
    </w:p>
    <w:p>
      <w:pPr>
        <w:jc w:val="both"/>
        <w:ind w:left="360" w:right="20" w:firstLine="1636"/>
        <w:spacing w:after="0" w:line="243" w:lineRule="auto"/>
        <w:tabs>
          <w:tab w:leader="none" w:pos="245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5" w:lineRule="exact"/>
        <w:rPr>
          <w:sz w:val="20"/>
          <w:szCs w:val="20"/>
          <w:color w:val="auto"/>
        </w:rPr>
      </w:pPr>
    </w:p>
    <w:p>
      <w:pPr>
        <w:jc w:val="both"/>
        <w:ind w:left="360" w:right="20" w:firstLine="911"/>
        <w:spacing w:after="0" w:line="256" w:lineRule="auto"/>
        <w:rPr>
          <w:sz w:val="20"/>
          <w:szCs w:val="20"/>
          <w:color w:val="auto"/>
        </w:rPr>
      </w:pPr>
      <w:r>
        <w:rPr>
          <w:rFonts w:ascii="Times New Roman" w:cs="Times New Roman" w:eastAsia="Times New Roman" w:hAnsi="Times New Roman"/>
          <w:sz w:val="20"/>
          <w:szCs w:val="20"/>
          <w:b w:val="1"/>
          <w:bCs w:val="1"/>
          <w:color w:val="231F20"/>
        </w:rPr>
        <w:t xml:space="preserve">(c)Treatment of Non-Exempt Awards Upon a Corporate Transaction. </w:t>
      </w:r>
      <w:r>
        <w:rPr>
          <w:rFonts w:ascii="Times New Roman" w:cs="Times New Roman" w:eastAsia="Times New Roman" w:hAnsi="Times New Roman"/>
          <w:sz w:val="20"/>
          <w:szCs w:val="20"/>
          <w:color w:val="231F20"/>
        </w:rPr>
        <w:t>The provisions of this subsection (c) shall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apply and shall supersede anything to the contrary set forth in the Plan with respect to the permitted treatment of any Non-Exempt Award in connection with a Corporate Transaction.</w:t>
      </w:r>
    </w:p>
    <w:p>
      <w:pPr>
        <w:spacing w:after="0" w:line="169" w:lineRule="exact"/>
        <w:rPr>
          <w:sz w:val="20"/>
          <w:szCs w:val="20"/>
          <w:color w:val="auto"/>
        </w:rPr>
      </w:pPr>
    </w:p>
    <w:p>
      <w:pPr>
        <w:ind w:left="360" w:right="20" w:firstLine="1636"/>
        <w:spacing w:after="0" w:line="273" w:lineRule="auto"/>
        <w:tabs>
          <w:tab w:leader="none" w:pos="2457" w:val="left"/>
        </w:tabs>
        <w:numPr>
          <w:ilvl w:val="0"/>
          <w:numId w:val="4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Vested Non-Exempt Awards. </w:t>
      </w:r>
      <w:r>
        <w:rPr>
          <w:rFonts w:ascii="Times New Roman" w:cs="Times New Roman" w:eastAsia="Times New Roman" w:hAnsi="Times New Roman"/>
          <w:sz w:val="20"/>
          <w:szCs w:val="20"/>
          <w:color w:val="231F20"/>
        </w:rPr>
        <w:t>The following provisions shall apply to any Vested Non-Exempt Award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 connection with a Corporate Transaction:</w:t>
      </w:r>
    </w:p>
    <w:p>
      <w:pPr>
        <w:spacing w:after="0" w:line="152" w:lineRule="exact"/>
        <w:rPr>
          <w:sz w:val="20"/>
          <w:szCs w:val="20"/>
          <w:color w:val="auto"/>
        </w:rPr>
      </w:pPr>
    </w:p>
    <w:p>
      <w:pPr>
        <w:jc w:val="both"/>
        <w:ind w:left="360" w:right="20" w:firstLine="2444"/>
        <w:spacing w:after="0" w:line="264" w:lineRule="auto"/>
        <w:rPr>
          <w:sz w:val="20"/>
          <w:szCs w:val="20"/>
          <w:color w:val="auto"/>
        </w:rPr>
      </w:pPr>
      <w:r>
        <w:rPr>
          <w:rFonts w:ascii="Times New Roman" w:cs="Times New Roman" w:eastAsia="Times New Roman" w:hAnsi="Times New Roman"/>
          <w:sz w:val="19"/>
          <w:szCs w:val="19"/>
          <w:b w:val="1"/>
          <w:bCs w:val="1"/>
          <w:color w:val="231F20"/>
        </w:rPr>
        <w:t>(1)</w:t>
      </w:r>
      <w:r>
        <w:rPr>
          <w:rFonts w:ascii="Times New Roman" w:cs="Times New Roman" w:eastAsia="Times New Roman" w:hAnsi="Times New Roman"/>
          <w:sz w:val="19"/>
          <w:szCs w:val="19"/>
          <w:color w:val="231F20"/>
        </w:rPr>
        <w:t>If the Corporate Transaction is also a Section 409A Change in Control then the Acquiring Entity</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3" w:name="page24"/>
    <w:bookmarkEnd w:id="23"/>
    <w:p>
      <w:pPr>
        <w:spacing w:after="0" w:line="104" w:lineRule="exact"/>
        <w:rPr>
          <w:sz w:val="20"/>
          <w:szCs w:val="20"/>
          <w:color w:val="auto"/>
        </w:rPr>
      </w:pPr>
    </w:p>
    <w:p>
      <w:pPr>
        <w:jc w:val="both"/>
        <w:ind w:left="360" w:right="20" w:firstLine="2444"/>
        <w:spacing w:after="0" w:line="245" w:lineRule="auto"/>
        <w:rPr>
          <w:sz w:val="20"/>
          <w:szCs w:val="20"/>
          <w:color w:val="auto"/>
        </w:rPr>
      </w:pPr>
      <w:r>
        <w:rPr>
          <w:rFonts w:ascii="Times New Roman" w:cs="Times New Roman" w:eastAsia="Times New Roman" w:hAnsi="Times New Roman"/>
          <w:sz w:val="20"/>
          <w:szCs w:val="20"/>
          <w:b w:val="1"/>
          <w:bCs w:val="1"/>
          <w:color w:val="231F20"/>
        </w:rPr>
        <w:t>(2)</w:t>
      </w:r>
      <w:r>
        <w:rPr>
          <w:rFonts w:ascii="Times New Roman" w:cs="Times New Roman" w:eastAsia="Times New Roman" w:hAnsi="Times New Roman"/>
          <w:sz w:val="20"/>
          <w:szCs w:val="20"/>
          <w:color w:val="231F20"/>
        </w:rPr>
        <w:t>If the Corporate Transaction is not also a Section 409A Change in Control, then the Acquiring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9" w:lineRule="exact"/>
        <w:rPr>
          <w:sz w:val="20"/>
          <w:szCs w:val="20"/>
          <w:color w:val="auto"/>
        </w:rPr>
      </w:pPr>
    </w:p>
    <w:p>
      <w:pPr>
        <w:ind w:left="360" w:right="20" w:firstLine="1636"/>
        <w:spacing w:after="0" w:line="273" w:lineRule="auto"/>
        <w:tabs>
          <w:tab w:leader="none" w:pos="2457" w:val="left"/>
        </w:tabs>
        <w:numPr>
          <w:ilvl w:val="0"/>
          <w:numId w:val="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Unvested Non-Exempt Awards. </w:t>
      </w:r>
      <w:r>
        <w:rPr>
          <w:rFonts w:ascii="Times New Roman" w:cs="Times New Roman" w:eastAsia="Times New Roman" w:hAnsi="Times New Roman"/>
          <w:sz w:val="20"/>
          <w:szCs w:val="20"/>
          <w:color w:val="231F20"/>
        </w:rPr>
        <w:t>The following provisions shall apply to any Unvested Non-Exempt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Award unless otherwise determined by the Board pursuant to subsection (d) of this Section.</w:t>
      </w:r>
    </w:p>
    <w:p>
      <w:pPr>
        <w:spacing w:after="0" w:line="152" w:lineRule="exact"/>
        <w:rPr>
          <w:sz w:val="20"/>
          <w:szCs w:val="20"/>
          <w:color w:val="auto"/>
        </w:rPr>
      </w:pPr>
    </w:p>
    <w:p>
      <w:pPr>
        <w:jc w:val="both"/>
        <w:ind w:left="360" w:right="20" w:firstLine="2444"/>
        <w:spacing w:after="0" w:line="244" w:lineRule="auto"/>
        <w:rPr>
          <w:sz w:val="20"/>
          <w:szCs w:val="20"/>
          <w:color w:val="auto"/>
        </w:rPr>
      </w:pPr>
      <w:r>
        <w:rPr>
          <w:rFonts w:ascii="Times New Roman" w:cs="Times New Roman" w:eastAsia="Times New Roman" w:hAnsi="Times New Roman"/>
          <w:sz w:val="20"/>
          <w:szCs w:val="20"/>
          <w:b w:val="1"/>
          <w:bCs w:val="1"/>
          <w:color w:val="231F20"/>
        </w:rPr>
        <w:t>(1)</w:t>
      </w:r>
      <w:r>
        <w:rPr>
          <w:rFonts w:ascii="Times New Roman" w:cs="Times New Roman" w:eastAsia="Times New Roman" w:hAnsi="Times New Roman"/>
          <w:sz w:val="20"/>
          <w:szCs w:val="20"/>
          <w:color w:val="231F20"/>
        </w:rPr>
        <w:t>In the event of a Corporate Transaction, the Acquiring Entity shall assume, continue or substitute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2" w:lineRule="exact"/>
        <w:rPr>
          <w:sz w:val="20"/>
          <w:szCs w:val="20"/>
          <w:color w:val="auto"/>
        </w:rPr>
      </w:pPr>
    </w:p>
    <w:p>
      <w:pPr>
        <w:jc w:val="both"/>
        <w:ind w:left="360" w:right="20" w:firstLine="2444"/>
        <w:spacing w:after="0" w:line="243" w:lineRule="auto"/>
        <w:rPr>
          <w:sz w:val="20"/>
          <w:szCs w:val="20"/>
          <w:color w:val="auto"/>
        </w:rPr>
      </w:pPr>
      <w:r>
        <w:rPr>
          <w:rFonts w:ascii="Times New Roman" w:cs="Times New Roman" w:eastAsia="Times New Roman" w:hAnsi="Times New Roman"/>
          <w:sz w:val="20"/>
          <w:szCs w:val="20"/>
          <w:b w:val="1"/>
          <w:bCs w:val="1"/>
          <w:color w:val="231F20"/>
        </w:rPr>
        <w:t>(2)</w:t>
      </w:r>
      <w:r>
        <w:rPr>
          <w:rFonts w:ascii="Times New Roman" w:cs="Times New Roman" w:eastAsia="Times New Roman" w:hAnsi="Times New Roman"/>
          <w:sz w:val="20"/>
          <w:szCs w:val="20"/>
          <w:color w:val="231F20"/>
        </w:rPr>
        <w:t>If the Acquiring Entity will not assume, substitute or continue any Unvested Non-Exempt Award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6" w:lineRule="exact"/>
        <w:rPr>
          <w:sz w:val="20"/>
          <w:szCs w:val="20"/>
          <w:color w:val="auto"/>
        </w:rPr>
      </w:pPr>
    </w:p>
    <w:p>
      <w:pPr>
        <w:jc w:val="both"/>
        <w:ind w:left="360" w:right="20" w:firstLine="2444"/>
        <w:spacing w:after="0" w:line="273" w:lineRule="auto"/>
        <w:rPr>
          <w:sz w:val="20"/>
          <w:szCs w:val="20"/>
          <w:color w:val="auto"/>
        </w:rPr>
      </w:pPr>
      <w:r>
        <w:rPr>
          <w:rFonts w:ascii="Times New Roman" w:cs="Times New Roman" w:eastAsia="Times New Roman" w:hAnsi="Times New Roman"/>
          <w:sz w:val="20"/>
          <w:szCs w:val="20"/>
          <w:b w:val="1"/>
          <w:bCs w:val="1"/>
          <w:color w:val="231F20"/>
        </w:rPr>
        <w:t>(3)</w:t>
      </w:r>
      <w:r>
        <w:rPr>
          <w:rFonts w:ascii="Times New Roman" w:cs="Times New Roman" w:eastAsia="Times New Roman" w:hAnsi="Times New Roman"/>
          <w:sz w:val="20"/>
          <w:szCs w:val="20"/>
          <w:color w:val="231F20"/>
        </w:rPr>
        <w:t>The foregoing treatment shall apply with respect to all Unvested Non-Exempt Awards upon 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Corporate Transaction, and regardless of whether or not such Corporate Transaction is also a Section 409A Change in Control.</w:t>
      </w:r>
    </w:p>
    <w:p>
      <w:pPr>
        <w:spacing w:after="0" w:line="200" w:lineRule="exact"/>
        <w:rPr>
          <w:sz w:val="20"/>
          <w:szCs w:val="20"/>
          <w:color w:val="auto"/>
        </w:rPr>
      </w:pPr>
    </w:p>
    <w:p>
      <w:pPr>
        <w:spacing w:after="0" w:line="397" w:lineRule="exact"/>
        <w:rPr>
          <w:sz w:val="20"/>
          <w:szCs w:val="20"/>
          <w:color w:val="auto"/>
        </w:rPr>
      </w:pPr>
    </w:p>
    <w:p>
      <w:pPr>
        <w:ind w:left="1080" w:hanging="719"/>
        <w:spacing w:after="0"/>
        <w:tabs>
          <w:tab w:leader="none" w:pos="1080" w:val="left"/>
        </w:tabs>
        <w:numPr>
          <w:ilvl w:val="0"/>
          <w:numId w:val="4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w:t>
      </w:r>
      <w:r>
        <w:rPr>
          <w:rFonts w:ascii="Times New Roman" w:cs="Times New Roman" w:eastAsia="Times New Roman" w:hAnsi="Times New Roman"/>
          <w:sz w:val="13"/>
          <w:szCs w:val="13"/>
          <w:b w:val="1"/>
          <w:bCs w:val="1"/>
          <w:color w:val="231F20"/>
        </w:rPr>
        <w:t>everability</w:t>
      </w:r>
      <w:r>
        <w:rPr>
          <w:rFonts w:ascii="Times New Roman" w:cs="Times New Roman" w:eastAsia="Times New Roman" w:hAnsi="Times New Roman"/>
          <w:sz w:val="20"/>
          <w:szCs w:val="20"/>
          <w:b w:val="1"/>
          <w:bCs w:val="1"/>
          <w:color w:val="231F20"/>
        </w:rPr>
        <w:t>.</w:t>
      </w:r>
    </w:p>
    <w:p>
      <w:pPr>
        <w:spacing w:after="0" w:line="71" w:lineRule="exact"/>
        <w:rPr>
          <w:sz w:val="20"/>
          <w:szCs w:val="20"/>
          <w:color w:val="auto"/>
        </w:rPr>
      </w:pPr>
    </w:p>
    <w:p>
      <w:pPr>
        <w:jc w:val="both"/>
        <w:ind w:left="360" w:firstLine="749"/>
        <w:spacing w:after="0" w:line="246" w:lineRule="auto"/>
        <w:rPr>
          <w:sz w:val="20"/>
          <w:szCs w:val="20"/>
          <w:color w:val="auto"/>
        </w:rPr>
      </w:pPr>
      <w:r>
        <w:rPr>
          <w:rFonts w:ascii="Times New Roman" w:cs="Times New Roman" w:eastAsia="Times New Roman" w:hAnsi="Times New Roman"/>
          <w:sz w:val="20"/>
          <w:szCs w:val="20"/>
          <w:color w:val="231F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4" w:name="page25"/>
    <w:bookmarkEnd w:id="24"/>
    <w:p>
      <w:pPr>
        <w:spacing w:after="0" w:line="104" w:lineRule="exact"/>
        <w:rPr>
          <w:sz w:val="20"/>
          <w:szCs w:val="20"/>
          <w:color w:val="auto"/>
        </w:rPr>
      </w:pPr>
    </w:p>
    <w:p>
      <w:pPr>
        <w:ind w:left="1080" w:hanging="719"/>
        <w:spacing w:after="0"/>
        <w:tabs>
          <w:tab w:leader="none" w:pos="1080" w:val="left"/>
        </w:tabs>
        <w:numPr>
          <w:ilvl w:val="0"/>
          <w:numId w:val="4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T</w:t>
      </w:r>
      <w:r>
        <w:rPr>
          <w:rFonts w:ascii="Times New Roman" w:cs="Times New Roman" w:eastAsia="Times New Roman" w:hAnsi="Times New Roman"/>
          <w:sz w:val="13"/>
          <w:szCs w:val="13"/>
          <w:b w:val="1"/>
          <w:bCs w:val="1"/>
          <w:color w:val="231F20"/>
        </w:rPr>
        <w:t>ermination of the</w:t>
      </w:r>
      <w:r>
        <w:rPr>
          <w:rFonts w:ascii="Times New Roman" w:cs="Times New Roman" w:eastAsia="Times New Roman" w:hAnsi="Times New Roman"/>
          <w:sz w:val="20"/>
          <w:szCs w:val="20"/>
          <w:b w:val="1"/>
          <w:bCs w:val="1"/>
          <w:color w:val="231F20"/>
        </w:rPr>
        <w:t xml:space="preserve"> P</w:t>
      </w:r>
      <w:r>
        <w:rPr>
          <w:rFonts w:ascii="Times New Roman" w:cs="Times New Roman" w:eastAsia="Times New Roman" w:hAnsi="Times New Roman"/>
          <w:sz w:val="13"/>
          <w:szCs w:val="13"/>
          <w:b w:val="1"/>
          <w:bCs w:val="1"/>
          <w:color w:val="231F20"/>
        </w:rPr>
        <w:t>lan</w:t>
      </w:r>
      <w:r>
        <w:rPr>
          <w:rFonts w:ascii="Times New Roman" w:cs="Times New Roman" w:eastAsia="Times New Roman" w:hAnsi="Times New Roman"/>
          <w:sz w:val="20"/>
          <w:szCs w:val="20"/>
          <w:b w:val="1"/>
          <w:bCs w:val="1"/>
          <w:color w:val="231F20"/>
        </w:rPr>
        <w:t>.</w:t>
      </w:r>
    </w:p>
    <w:p>
      <w:pPr>
        <w:spacing w:after="0" w:line="233" w:lineRule="exact"/>
        <w:rPr>
          <w:sz w:val="20"/>
          <w:szCs w:val="20"/>
          <w:color w:val="auto"/>
        </w:rPr>
      </w:pPr>
    </w:p>
    <w:p>
      <w:pPr>
        <w:ind w:left="360" w:firstLine="749"/>
        <w:spacing w:after="0" w:line="269" w:lineRule="auto"/>
        <w:rPr>
          <w:sz w:val="20"/>
          <w:szCs w:val="20"/>
          <w:color w:val="auto"/>
        </w:rPr>
      </w:pPr>
      <w:r>
        <w:rPr>
          <w:rFonts w:ascii="Times New Roman" w:cs="Times New Roman" w:eastAsia="Times New Roman" w:hAnsi="Times New Roman"/>
          <w:sz w:val="20"/>
          <w:szCs w:val="20"/>
          <w:color w:val="231F20"/>
        </w:rPr>
        <w:t>The Board may suspend or terminate the Plan at any time. No Awards may be granted under the Plan while the Plan is suspended or after it is terminated.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440" w:right="719" w:bottom="1440" w:gutter="0" w:footer="0" w:header="0"/>
        </w:sectPr>
      </w:pPr>
    </w:p>
    <w:bookmarkStart w:id="25" w:name="page26"/>
    <w:bookmarkEnd w:id="25"/>
    <w:p>
      <w:pPr>
        <w:ind w:left="1080" w:hanging="718"/>
        <w:spacing w:after="0"/>
        <w:tabs>
          <w:tab w:leader="none" w:pos="1080" w:val="left"/>
        </w:tabs>
        <w:numPr>
          <w:ilvl w:val="0"/>
          <w:numId w:val="4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w:t>
      </w:r>
      <w:r>
        <w:rPr>
          <w:rFonts w:ascii="Times New Roman" w:cs="Times New Roman" w:eastAsia="Times New Roman" w:hAnsi="Times New Roman"/>
          <w:sz w:val="13"/>
          <w:szCs w:val="13"/>
          <w:b w:val="1"/>
          <w:bCs w:val="1"/>
          <w:color w:val="231F20"/>
        </w:rPr>
        <w:t>efinitions</w:t>
      </w:r>
      <w:r>
        <w:rPr>
          <w:rFonts w:ascii="Times New Roman" w:cs="Times New Roman" w:eastAsia="Times New Roman" w:hAnsi="Times New Roman"/>
          <w:sz w:val="20"/>
          <w:szCs w:val="20"/>
          <w:b w:val="1"/>
          <w:bCs w:val="1"/>
          <w:color w:val="231F20"/>
        </w:rPr>
        <w:t>.</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231F20"/>
        </w:rPr>
        <w:t>As used in the Plan, the following definitions apply to the capitalized terms indicated below:</w:t>
      </w:r>
    </w:p>
    <w:p>
      <w:pPr>
        <w:spacing w:after="0" w:line="212"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(a)</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Acquiring Entity</w:t>
      </w:r>
      <w:r>
        <w:rPr>
          <w:rFonts w:ascii="Times New Roman" w:cs="Times New Roman" w:eastAsia="Times New Roman" w:hAnsi="Times New Roman"/>
          <w:sz w:val="20"/>
          <w:szCs w:val="20"/>
          <w:color w:val="231F20"/>
        </w:rPr>
        <w:t>” means the surviving or acquiring corporation (or its parent company) in connection with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Corporate Transaction.</w:t>
      </w:r>
    </w:p>
    <w:p>
      <w:pPr>
        <w:spacing w:after="0" w:line="152" w:lineRule="exact"/>
        <w:rPr>
          <w:sz w:val="20"/>
          <w:szCs w:val="20"/>
          <w:color w:val="auto"/>
        </w:rPr>
      </w:pPr>
    </w:p>
    <w:p>
      <w:pPr>
        <w:jc w:val="both"/>
        <w:ind w:left="460" w:right="20" w:firstLine="943"/>
        <w:spacing w:after="0" w:line="256" w:lineRule="auto"/>
        <w:rPr>
          <w:sz w:val="20"/>
          <w:szCs w:val="20"/>
          <w:color w:val="auto"/>
        </w:rPr>
      </w:pPr>
      <w:r>
        <w:rPr>
          <w:rFonts w:ascii="Times New Roman" w:cs="Times New Roman" w:eastAsia="Times New Roman" w:hAnsi="Times New Roman"/>
          <w:sz w:val="20"/>
          <w:szCs w:val="20"/>
          <w:b w:val="1"/>
          <w:bCs w:val="1"/>
          <w:color w:val="231F20"/>
        </w:rPr>
        <w:t>(b)</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Affiliate</w:t>
      </w:r>
      <w:r>
        <w:rPr>
          <w:rFonts w:ascii="Times New Roman" w:cs="Times New Roman" w:eastAsia="Times New Roman" w:hAnsi="Times New Roman"/>
          <w:sz w:val="20"/>
          <w:szCs w:val="20"/>
          <w:color w:val="231F20"/>
        </w:rPr>
        <w:t>” means, at the time of determination, any “parent” or “subsidiary” of the Company as such terms are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defined in Rule 405 promulgated under the Securities Act. The Board may determine the time or times at which “parent” or “subsidiary” status is determined within the foregoing definition.</w:t>
      </w:r>
    </w:p>
    <w:p>
      <w:pPr>
        <w:spacing w:after="0" w:line="169" w:lineRule="exact"/>
        <w:rPr>
          <w:sz w:val="20"/>
          <w:szCs w:val="20"/>
          <w:color w:val="auto"/>
        </w:rPr>
      </w:pPr>
    </w:p>
    <w:p>
      <w:pPr>
        <w:jc w:val="both"/>
        <w:ind w:left="460" w:right="20" w:firstLine="943"/>
        <w:spacing w:after="0" w:line="247" w:lineRule="auto"/>
        <w:rPr>
          <w:sz w:val="20"/>
          <w:szCs w:val="20"/>
          <w:color w:val="auto"/>
        </w:rPr>
      </w:pPr>
      <w:r>
        <w:rPr>
          <w:rFonts w:ascii="Times New Roman" w:cs="Times New Roman" w:eastAsia="Times New Roman" w:hAnsi="Times New Roman"/>
          <w:sz w:val="20"/>
          <w:szCs w:val="20"/>
          <w:b w:val="1"/>
          <w:bCs w:val="1"/>
          <w:color w:val="231F20"/>
        </w:rPr>
        <w:t>(c)</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Applicable Law</w:t>
      </w:r>
      <w:r>
        <w:rPr>
          <w:rFonts w:ascii="Times New Roman" w:cs="Times New Roman" w:eastAsia="Times New Roman" w:hAnsi="Times New Roman"/>
          <w:sz w:val="20"/>
          <w:szCs w:val="20"/>
          <w:color w:val="231F20"/>
        </w:rPr>
        <w:t>” means any applicable securities, federal, state, foreign, material local or municipal or other law,</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0" w:lineRule="exact"/>
        <w:rPr>
          <w:sz w:val="20"/>
          <w:szCs w:val="20"/>
          <w:color w:val="auto"/>
        </w:rPr>
      </w:pPr>
    </w:p>
    <w:p>
      <w:pPr>
        <w:jc w:val="both"/>
        <w:ind w:left="46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(d)</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Award</w:t>
      </w:r>
      <w:r>
        <w:rPr>
          <w:rFonts w:ascii="Times New Roman" w:cs="Times New Roman" w:eastAsia="Times New Roman" w:hAnsi="Times New Roman"/>
          <w:sz w:val="20"/>
          <w:szCs w:val="20"/>
          <w:color w:val="231F20"/>
        </w:rPr>
        <w:t>” means any right to receive Common Stock, cash or other property granted under the Plan (including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Nonstatutory Stock Option, a Restricted Stock Award, an RSU Award, a SAR, a Performance Award or any Other Award).</w:t>
      </w:r>
    </w:p>
    <w:p>
      <w:pPr>
        <w:spacing w:after="0" w:line="152" w:lineRule="exact"/>
        <w:rPr>
          <w:sz w:val="20"/>
          <w:szCs w:val="20"/>
          <w:color w:val="auto"/>
        </w:rPr>
      </w:pPr>
    </w:p>
    <w:p>
      <w:pPr>
        <w:jc w:val="both"/>
        <w:ind w:left="460" w:right="20" w:firstLine="943"/>
        <w:spacing w:after="0" w:line="250" w:lineRule="auto"/>
        <w:rPr>
          <w:sz w:val="20"/>
          <w:szCs w:val="20"/>
          <w:color w:val="auto"/>
        </w:rPr>
      </w:pPr>
      <w:r>
        <w:rPr>
          <w:rFonts w:ascii="Times New Roman" w:cs="Times New Roman" w:eastAsia="Times New Roman" w:hAnsi="Times New Roman"/>
          <w:sz w:val="20"/>
          <w:szCs w:val="20"/>
          <w:b w:val="1"/>
          <w:bCs w:val="1"/>
          <w:color w:val="231F20"/>
        </w:rPr>
        <w:t>(e)</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Award Agreement</w:t>
      </w:r>
      <w:r>
        <w:rPr>
          <w:rFonts w:ascii="Times New Roman" w:cs="Times New Roman" w:eastAsia="Times New Roman" w:hAnsi="Times New Roman"/>
          <w:sz w:val="20"/>
          <w:szCs w:val="20"/>
          <w:color w:val="231F20"/>
        </w:rPr>
        <w:t>” means a written or electronic agreement between the Company and a Participant evidencing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76" w:lineRule="exact"/>
        <w:rPr>
          <w:sz w:val="20"/>
          <w:szCs w:val="20"/>
          <w:color w:val="auto"/>
        </w:rPr>
      </w:pPr>
    </w:p>
    <w:p>
      <w:pPr>
        <w:jc w:val="both"/>
        <w:ind w:left="460" w:right="20" w:firstLine="943"/>
        <w:spacing w:after="0" w:line="256" w:lineRule="auto"/>
        <w:rPr>
          <w:sz w:val="20"/>
          <w:szCs w:val="20"/>
          <w:color w:val="auto"/>
        </w:rPr>
      </w:pPr>
      <w:r>
        <w:rPr>
          <w:rFonts w:ascii="Times New Roman" w:cs="Times New Roman" w:eastAsia="Times New Roman" w:hAnsi="Times New Roman"/>
          <w:sz w:val="20"/>
          <w:szCs w:val="20"/>
          <w:b w:val="1"/>
          <w:bCs w:val="1"/>
          <w:color w:val="231F20"/>
        </w:rPr>
        <w:t>(f)</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Board</w:t>
      </w:r>
      <w:r>
        <w:rPr>
          <w:rFonts w:ascii="Times New Roman" w:cs="Times New Roman" w:eastAsia="Times New Roman" w:hAnsi="Times New Roman"/>
          <w:sz w:val="20"/>
          <w:szCs w:val="20"/>
          <w:color w:val="231F20"/>
        </w:rPr>
        <w:t>” means the Board of Directors of the Company (or its designee). Any decision or determination made by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Board shall be a decision or determination that is made in the sole discretion of the Board (or its designee), and such decision or determination shall be final and binding on all Participants.</w:t>
      </w:r>
    </w:p>
    <w:p>
      <w:pPr>
        <w:spacing w:after="0" w:line="169" w:lineRule="exact"/>
        <w:rPr>
          <w:sz w:val="20"/>
          <w:szCs w:val="20"/>
          <w:color w:val="auto"/>
        </w:rPr>
      </w:pPr>
    </w:p>
    <w:p>
      <w:pPr>
        <w:jc w:val="both"/>
        <w:ind w:left="460" w:firstLine="943"/>
        <w:spacing w:after="0" w:line="244" w:lineRule="auto"/>
        <w:rPr>
          <w:sz w:val="20"/>
          <w:szCs w:val="20"/>
          <w:color w:val="auto"/>
        </w:rPr>
      </w:pPr>
      <w:r>
        <w:rPr>
          <w:rFonts w:ascii="Times New Roman" w:cs="Times New Roman" w:eastAsia="Times New Roman" w:hAnsi="Times New Roman"/>
          <w:sz w:val="20"/>
          <w:szCs w:val="20"/>
          <w:b w:val="1"/>
          <w:bCs w:val="1"/>
          <w:color w:val="231F20"/>
        </w:rPr>
        <w:t>(g)</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b w:val="1"/>
          <w:bCs w:val="1"/>
          <w:i w:val="1"/>
          <w:iCs w:val="1"/>
          <w:color w:val="231F20"/>
        </w:rPr>
        <w:t>Capitalization Adjustment</w:t>
      </w:r>
      <w:r>
        <w:rPr>
          <w:rFonts w:ascii="Times New Roman" w:cs="Times New Roman" w:eastAsia="Times New Roman" w:hAnsi="Times New Roman"/>
          <w:sz w:val="20"/>
          <w:szCs w:val="20"/>
          <w:color w:val="231F20"/>
        </w:rPr>
        <w:t>” means any change that is made in, or other events that occur with respect to,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sz w:val="20"/>
          <w:szCs w:val="20"/>
          <w:color w:val="auto"/>
        </w:rPr>
      </w:pPr>
    </w:p>
    <w:p>
      <w:pPr>
        <w:jc w:val="both"/>
        <w:ind w:left="460" w:right="20" w:firstLine="943"/>
        <w:spacing w:after="0" w:line="246" w:lineRule="auto"/>
        <w:rPr>
          <w:sz w:val="20"/>
          <w:szCs w:val="20"/>
          <w:color w:val="auto"/>
        </w:rPr>
      </w:pPr>
      <w:r>
        <w:rPr>
          <w:rFonts w:ascii="Times New Roman" w:cs="Times New Roman" w:eastAsia="Times New Roman" w:hAnsi="Times New Roman"/>
          <w:sz w:val="20"/>
          <w:szCs w:val="20"/>
          <w:b w:val="1"/>
          <w:bCs w:val="1"/>
          <w:color w:val="231F20"/>
        </w:rPr>
        <w:t>(h)</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Cause</w:t>
      </w:r>
      <w:r>
        <w:rPr>
          <w:rFonts w:ascii="Times New Roman" w:cs="Times New Roman" w:eastAsia="Times New Roman" w:hAnsi="Times New Roman"/>
          <w:sz w:val="20"/>
          <w:szCs w:val="20"/>
          <w:color w:val="231F20"/>
        </w:rPr>
        <w:t>” has the meaning ascribed to such term in any written agreement between a Participant and the Company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ind w:left="760" w:hanging="308"/>
        <w:spacing w:after="0"/>
        <w:tabs>
          <w:tab w:leader="none" w:pos="76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Participant’s commission of (A) a felony or (B) any misdemeanor involving moral turpitude, deceit, dishonesty or fraud;</w:t>
      </w:r>
    </w:p>
    <w:p>
      <w:pPr>
        <w:ind w:left="800" w:hanging="348"/>
        <w:spacing w:after="0"/>
        <w:tabs>
          <w:tab w:leader="none" w:pos="80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Participant’s failure to perform the Participant’s assigned duties 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09" w:right="699" w:bottom="1440" w:gutter="0" w:footer="0" w:header="0"/>
        </w:sectPr>
      </w:pPr>
    </w:p>
    <w:bookmarkStart w:id="26" w:name="page27"/>
    <w:bookmarkEnd w:id="26"/>
    <w:p>
      <w:pPr>
        <w:spacing w:after="0" w:line="108" w:lineRule="exact"/>
        <w:rPr>
          <w:sz w:val="20"/>
          <w:szCs w:val="20"/>
          <w:color w:val="auto"/>
        </w:rPr>
      </w:pPr>
    </w:p>
    <w:p>
      <w:pPr>
        <w:jc w:val="both"/>
        <w:ind w:left="460" w:right="20"/>
        <w:spacing w:after="0" w:line="242" w:lineRule="auto"/>
        <w:rPr>
          <w:sz w:val="20"/>
          <w:szCs w:val="20"/>
          <w:color w:val="auto"/>
        </w:rPr>
      </w:pPr>
      <w:r>
        <w:rPr>
          <w:rFonts w:ascii="Times New Roman" w:cs="Times New Roman" w:eastAsia="Times New Roman" w:hAnsi="Times New Roman"/>
          <w:sz w:val="20"/>
          <w:szCs w:val="20"/>
          <w:color w:val="231F20"/>
        </w:rPr>
        <w:t>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(i)</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i w:val="1"/>
          <w:iCs w:val="1"/>
          <w:color w:val="231F20"/>
        </w:rPr>
        <w:t>Change in Control</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b w:val="1"/>
          <w:bCs w:val="1"/>
          <w:i w:val="1"/>
          <w:iCs w:val="1"/>
          <w:color w:val="231F20"/>
        </w:rPr>
        <w:t>Change of Control</w:t>
      </w:r>
      <w:r>
        <w:rPr>
          <w:rFonts w:ascii="Times New Roman" w:cs="Times New Roman" w:eastAsia="Times New Roman" w:hAnsi="Times New Roman"/>
          <w:sz w:val="20"/>
          <w:szCs w:val="20"/>
          <w:color w:val="231F20"/>
        </w:rPr>
        <w:t>” means the occurrence, in a single transaction or in a series of related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transactions, of any one or more of the following events:</w:t>
      </w:r>
    </w:p>
    <w:p>
      <w:pPr>
        <w:spacing w:after="0" w:line="264" w:lineRule="exact"/>
        <w:rPr>
          <w:sz w:val="20"/>
          <w:szCs w:val="20"/>
          <w:color w:val="auto"/>
        </w:rPr>
      </w:pPr>
    </w:p>
    <w:p>
      <w:pPr>
        <w:jc w:val="both"/>
        <w:ind w:left="920" w:hanging="138"/>
        <w:spacing w:after="0" w:line="241"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color w:val="231F20"/>
        </w:rPr>
        <w:t>any Exchange Act Person becomes the Owner, directly or indirectly, of securities of the Company representing more than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9" w:lineRule="exact"/>
        <w:rPr>
          <w:sz w:val="20"/>
          <w:szCs w:val="20"/>
          <w:color w:val="auto"/>
        </w:rPr>
      </w:pPr>
    </w:p>
    <w:p>
      <w:pPr>
        <w:jc w:val="both"/>
        <w:ind w:left="920" w:hanging="166"/>
        <w:spacing w:after="0" w:line="24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color w:val="231F20"/>
        </w:rPr>
        <w:t>there is consummated a merger, consolidation or similar transaction involving (directly or indirectly) the Company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86" w:lineRule="exact"/>
        <w:rPr>
          <w:sz w:val="20"/>
          <w:szCs w:val="20"/>
          <w:color w:val="auto"/>
        </w:rPr>
      </w:pPr>
    </w:p>
    <w:p>
      <w:pPr>
        <w:jc w:val="both"/>
        <w:ind w:left="920" w:hanging="189"/>
        <w:spacing w:after="0" w:line="246" w:lineRule="auto"/>
        <w:tabs>
          <w:tab w:leader="none" w:pos="106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7" w:name="page28"/>
    <w:bookmarkEnd w:id="27"/>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231F20"/>
        </w:rPr>
        <w:t>license or other disposition; or</w:t>
      </w:r>
    </w:p>
    <w:p>
      <w:pPr>
        <w:spacing w:after="0" w:line="297" w:lineRule="exact"/>
        <w:rPr>
          <w:sz w:val="20"/>
          <w:szCs w:val="20"/>
          <w:color w:val="auto"/>
        </w:rPr>
      </w:pPr>
    </w:p>
    <w:p>
      <w:pPr>
        <w:jc w:val="both"/>
        <w:ind w:left="920" w:hanging="184"/>
        <w:spacing w:after="0" w:line="246" w:lineRule="auto"/>
        <w:tabs>
          <w:tab w:leader="none" w:pos="10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individuals who, on the date the Plan is adopted by the Board,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5" w:lineRule="exact"/>
        <w:rPr>
          <w:sz w:val="20"/>
          <w:szCs w:val="20"/>
          <w:color w:val="auto"/>
        </w:rPr>
      </w:pPr>
    </w:p>
    <w:p>
      <w:pPr>
        <w:jc w:val="both"/>
        <w:ind w:left="360"/>
        <w:spacing w:after="0" w:line="243" w:lineRule="auto"/>
        <w:rPr>
          <w:sz w:val="20"/>
          <w:szCs w:val="20"/>
          <w:color w:val="auto"/>
        </w:rPr>
      </w:pPr>
      <w:r>
        <w:rPr>
          <w:rFonts w:ascii="Times New Roman" w:cs="Times New Roman" w:eastAsia="Times New Roman" w:hAnsi="Times New Roman"/>
          <w:sz w:val="20"/>
          <w:szCs w:val="20"/>
          <w:color w:val="231F20"/>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(j)</w:t>
      </w:r>
      <w:r>
        <w:rPr>
          <w:rFonts w:ascii="Times New Roman" w:cs="Times New Roman" w:eastAsia="Times New Roman" w:hAnsi="Times New Roman"/>
          <w:sz w:val="20"/>
          <w:szCs w:val="20"/>
          <w:b w:val="1"/>
          <w:bCs w:val="1"/>
          <w:i w:val="1"/>
          <w:iCs w:val="1"/>
          <w:color w:val="231F20"/>
        </w:rPr>
        <w:t>“Code”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Internal Revenue Code of 1986, as amended, including any applicable regulations and guidance</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thereunder.</w:t>
      </w:r>
    </w:p>
    <w:p>
      <w:pPr>
        <w:spacing w:after="0" w:line="190"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(k)</w:t>
      </w:r>
      <w:r>
        <w:rPr>
          <w:rFonts w:ascii="Times New Roman" w:cs="Times New Roman" w:eastAsia="Times New Roman" w:hAnsi="Times New Roman"/>
          <w:sz w:val="20"/>
          <w:szCs w:val="20"/>
          <w:b w:val="1"/>
          <w:bCs w:val="1"/>
          <w:i w:val="1"/>
          <w:iCs w:val="1"/>
          <w:color w:val="231F20"/>
        </w:rPr>
        <w:t>“Committee”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Compensation Committee and any other committee of one or more Directors to whom</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authority has been delegated by the Board or Compensation Committee in accordance with the Plan.</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(l)</w:t>
      </w:r>
      <w:r>
        <w:rPr>
          <w:rFonts w:ascii="Times New Roman" w:cs="Times New Roman" w:eastAsia="Times New Roman" w:hAnsi="Times New Roman"/>
          <w:sz w:val="20"/>
          <w:szCs w:val="20"/>
          <w:b w:val="1"/>
          <w:bCs w:val="1"/>
          <w:i w:val="1"/>
          <w:iCs w:val="1"/>
          <w:color w:val="231F20"/>
        </w:rPr>
        <w:t>“Common Stock”</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Class A common stock of the Company.</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(m)</w:t>
      </w:r>
      <w:r>
        <w:rPr>
          <w:rFonts w:ascii="Times New Roman" w:cs="Times New Roman" w:eastAsia="Times New Roman" w:hAnsi="Times New Roman"/>
          <w:sz w:val="20"/>
          <w:szCs w:val="20"/>
          <w:b w:val="1"/>
          <w:bCs w:val="1"/>
          <w:i w:val="1"/>
          <w:iCs w:val="1"/>
          <w:color w:val="231F20"/>
        </w:rPr>
        <w:t>“Company”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Rani Therapeutics Holdings, Inc., a Delaware corporation.</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(n)</w:t>
      </w:r>
      <w:r>
        <w:rPr>
          <w:rFonts w:ascii="Times New Roman" w:cs="Times New Roman" w:eastAsia="Times New Roman" w:hAnsi="Times New Roman"/>
          <w:sz w:val="20"/>
          <w:szCs w:val="20"/>
          <w:b w:val="1"/>
          <w:bCs w:val="1"/>
          <w:i w:val="1"/>
          <w:iCs w:val="1"/>
          <w:color w:val="231F20"/>
        </w:rPr>
        <w:t>“Compensation Committee”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Compensation Committee of the Board.</w:t>
      </w:r>
    </w:p>
    <w:p>
      <w:pPr>
        <w:spacing w:after="0" w:line="216" w:lineRule="exact"/>
        <w:rPr>
          <w:sz w:val="20"/>
          <w:szCs w:val="20"/>
          <w:color w:val="auto"/>
        </w:rPr>
      </w:pPr>
    </w:p>
    <w:p>
      <w:pPr>
        <w:jc w:val="both"/>
        <w:ind w:left="460" w:right="20" w:firstLine="943"/>
        <w:spacing w:after="0" w:line="245" w:lineRule="auto"/>
        <w:rPr>
          <w:sz w:val="20"/>
          <w:szCs w:val="20"/>
          <w:color w:val="auto"/>
        </w:rPr>
      </w:pPr>
      <w:r>
        <w:rPr>
          <w:rFonts w:ascii="Times New Roman" w:cs="Times New Roman" w:eastAsia="Times New Roman" w:hAnsi="Times New Roman"/>
          <w:sz w:val="20"/>
          <w:szCs w:val="20"/>
          <w:b w:val="1"/>
          <w:bCs w:val="1"/>
          <w:color w:val="231F20"/>
        </w:rPr>
        <w:t>(o)</w:t>
      </w:r>
      <w:r>
        <w:rPr>
          <w:rFonts w:ascii="Times New Roman" w:cs="Times New Roman" w:eastAsia="Times New Roman" w:hAnsi="Times New Roman"/>
          <w:sz w:val="20"/>
          <w:szCs w:val="20"/>
          <w:b w:val="1"/>
          <w:bCs w:val="1"/>
          <w:i w:val="1"/>
          <w:iCs w:val="1"/>
          <w:color w:val="231F20"/>
        </w:rPr>
        <w:t>“Consultant”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any person, including an advisor, who is (i) engaged by the Company or an Affiliate to render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179" w:lineRule="exact"/>
        <w:rPr>
          <w:sz w:val="20"/>
          <w:szCs w:val="20"/>
          <w:color w:val="auto"/>
        </w:rPr>
      </w:pPr>
    </w:p>
    <w:p>
      <w:pPr>
        <w:jc w:val="both"/>
        <w:ind w:left="460" w:right="20" w:firstLine="943"/>
        <w:spacing w:after="0" w:line="246" w:lineRule="auto"/>
        <w:rPr>
          <w:sz w:val="20"/>
          <w:szCs w:val="20"/>
          <w:color w:val="auto"/>
        </w:rPr>
      </w:pPr>
      <w:r>
        <w:rPr>
          <w:rFonts w:ascii="Times New Roman" w:cs="Times New Roman" w:eastAsia="Times New Roman" w:hAnsi="Times New Roman"/>
          <w:sz w:val="20"/>
          <w:szCs w:val="20"/>
          <w:b w:val="1"/>
          <w:bCs w:val="1"/>
          <w:color w:val="231F20"/>
        </w:rPr>
        <w:t>(p)</w:t>
      </w:r>
      <w:r>
        <w:rPr>
          <w:rFonts w:ascii="Times New Roman" w:cs="Times New Roman" w:eastAsia="Times New Roman" w:hAnsi="Times New Roman"/>
          <w:sz w:val="20"/>
          <w:szCs w:val="20"/>
          <w:b w:val="1"/>
          <w:bCs w:val="1"/>
          <w:i w:val="1"/>
          <w:iCs w:val="1"/>
          <w:color w:val="231F20"/>
        </w:rPr>
        <w:t>“Continuous Service”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that the Participant’s service with the Company or an Affiliate, whether as an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8" w:name="page29"/>
    <w:bookmarkEnd w:id="28"/>
    <w:p>
      <w:pPr>
        <w:spacing w:after="0" w:line="108" w:lineRule="exact"/>
        <w:rPr>
          <w:sz w:val="20"/>
          <w:szCs w:val="20"/>
          <w:color w:val="auto"/>
        </w:rPr>
      </w:pPr>
    </w:p>
    <w:p>
      <w:pPr>
        <w:jc w:val="both"/>
        <w:ind w:left="460" w:right="20"/>
        <w:spacing w:after="0" w:line="245" w:lineRule="auto"/>
        <w:rPr>
          <w:sz w:val="20"/>
          <w:szCs w:val="20"/>
          <w:color w:val="auto"/>
        </w:rPr>
      </w:pPr>
      <w:r>
        <w:rPr>
          <w:rFonts w:ascii="Times New Roman" w:cs="Times New Roman" w:eastAsia="Times New Roman" w:hAnsi="Times New Roman"/>
          <w:sz w:val="20"/>
          <w:szCs w:val="20"/>
          <w:color w:val="231F20"/>
        </w:rPr>
        <w:t>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1" w:lineRule="exact"/>
        <w:rPr>
          <w:sz w:val="20"/>
          <w:szCs w:val="20"/>
          <w:color w:val="auto"/>
        </w:rPr>
      </w:pPr>
    </w:p>
    <w:p>
      <w:pPr>
        <w:jc w:val="both"/>
        <w:ind w:left="460" w:right="20" w:hanging="8"/>
        <w:spacing w:after="0"/>
        <w:tabs>
          <w:tab w:leader="none" w:pos="697"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6"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(q)</w:t>
      </w:r>
      <w:r>
        <w:rPr>
          <w:rFonts w:ascii="Times New Roman" w:cs="Times New Roman" w:eastAsia="Times New Roman" w:hAnsi="Times New Roman"/>
          <w:sz w:val="20"/>
          <w:szCs w:val="20"/>
          <w:b w:val="1"/>
          <w:bCs w:val="1"/>
          <w:i w:val="1"/>
          <w:iCs w:val="1"/>
          <w:color w:val="231F20"/>
        </w:rPr>
        <w:t>“Corporate Transaction”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consummation, in a single transaction or in a series of related transactions,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any one or more of the following events:</w:t>
      </w:r>
    </w:p>
    <w:p>
      <w:pPr>
        <w:spacing w:after="0" w:line="156" w:lineRule="exact"/>
        <w:rPr>
          <w:sz w:val="20"/>
          <w:szCs w:val="20"/>
          <w:color w:val="auto"/>
        </w:rPr>
      </w:pPr>
    </w:p>
    <w:p>
      <w:pPr>
        <w:jc w:val="both"/>
        <w:ind w:left="460" w:right="20" w:firstLine="149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color w:val="231F20"/>
        </w:rPr>
        <w:t>a sale or other disposition of all or substantially all, as determined by the Board, of the consolidated assets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Company and its Subsidiaries;</w:t>
      </w:r>
    </w:p>
    <w:p>
      <w:pPr>
        <w:spacing w:after="0" w:line="15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color w:val="231F20"/>
        </w:rPr>
        <w:t>a sale or other disposition of at least 50% of the outstanding securities of the Company;</w:t>
      </w:r>
    </w:p>
    <w:p>
      <w:pPr>
        <w:spacing w:after="0" w:line="2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iii.</w:t>
      </w:r>
      <w:r>
        <w:rPr>
          <w:rFonts w:ascii="Times New Roman" w:cs="Times New Roman" w:eastAsia="Times New Roman" w:hAnsi="Times New Roman"/>
          <w:sz w:val="19"/>
          <w:szCs w:val="19"/>
          <w:color w:val="231F20"/>
        </w:rPr>
        <w:t>a merger, consolidation or similar transaction following which the Company is not the surviving corporation;</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or</w:t>
      </w:r>
    </w:p>
    <w:p>
      <w:pPr>
        <w:spacing w:after="0" w:line="194" w:lineRule="exact"/>
        <w:rPr>
          <w:sz w:val="20"/>
          <w:szCs w:val="20"/>
          <w:color w:val="auto"/>
        </w:rPr>
      </w:pPr>
    </w:p>
    <w:p>
      <w:pPr>
        <w:jc w:val="both"/>
        <w:ind w:left="460" w:right="20" w:firstLine="1498"/>
        <w:spacing w:after="0" w:line="24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color w:val="231F20"/>
        </w:rPr>
        <w:t>a merger, consolidation or similar transaction following which the Company is the surviving corporation but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jc w:val="both"/>
        <w:ind w:left="460"/>
        <w:spacing w:after="0" w:line="243" w:lineRule="auto"/>
        <w:rPr>
          <w:sz w:val="20"/>
          <w:szCs w:val="20"/>
          <w:color w:val="auto"/>
        </w:rPr>
      </w:pPr>
      <w:r>
        <w:rPr>
          <w:rFonts w:ascii="Times New Roman" w:cs="Times New Roman" w:eastAsia="Times New Roman" w:hAnsi="Times New Roman"/>
          <w:sz w:val="20"/>
          <w:szCs w:val="20"/>
          <w:color w:val="231F20"/>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(r)</w:t>
      </w:r>
      <w:r>
        <w:rPr>
          <w:rFonts w:ascii="Times New Roman" w:cs="Times New Roman" w:eastAsia="Times New Roman" w:hAnsi="Times New Roman"/>
          <w:sz w:val="20"/>
          <w:szCs w:val="20"/>
          <w:b w:val="1"/>
          <w:bCs w:val="1"/>
          <w:i w:val="1"/>
          <w:iCs w:val="1"/>
          <w:color w:val="231F20"/>
        </w:rPr>
        <w:t>“Director”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 member of the Board. Directors are not eligible to receive awards under the Plan with respect to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their service in such capacity.</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(s)</w:t>
      </w:r>
      <w:r>
        <w:rPr>
          <w:rFonts w:ascii="Times New Roman" w:cs="Times New Roman" w:eastAsia="Times New Roman" w:hAnsi="Times New Roman"/>
          <w:sz w:val="20"/>
          <w:szCs w:val="20"/>
          <w:b w:val="1"/>
          <w:bCs w:val="1"/>
          <w:i w:val="1"/>
          <w:iCs w:val="1"/>
          <w:color w:val="231F20"/>
        </w:rPr>
        <w:t>“determine”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b w:val="1"/>
          <w:bCs w:val="1"/>
          <w:i w:val="1"/>
          <w:iCs w:val="1"/>
          <w:color w:val="231F20"/>
        </w:rPr>
        <w:t>“determined”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as determined by the Board or the Committee (or its designee) in its sole</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discretion.</w:t>
      </w:r>
    </w:p>
    <w:p>
      <w:pPr>
        <w:spacing w:after="0" w:line="190" w:lineRule="exact"/>
        <w:rPr>
          <w:sz w:val="20"/>
          <w:szCs w:val="20"/>
          <w:color w:val="auto"/>
        </w:rPr>
      </w:pPr>
    </w:p>
    <w:p>
      <w:pPr>
        <w:jc w:val="both"/>
        <w:ind w:left="460" w:right="20" w:firstLine="943"/>
        <w:spacing w:after="0" w:line="256" w:lineRule="auto"/>
        <w:rPr>
          <w:sz w:val="20"/>
          <w:szCs w:val="20"/>
          <w:color w:val="auto"/>
        </w:rPr>
      </w:pPr>
      <w:r>
        <w:rPr>
          <w:rFonts w:ascii="Times New Roman" w:cs="Times New Roman" w:eastAsia="Times New Roman" w:hAnsi="Times New Roman"/>
          <w:sz w:val="20"/>
          <w:szCs w:val="20"/>
          <w:b w:val="1"/>
          <w:bCs w:val="1"/>
          <w:color w:val="231F20"/>
        </w:rPr>
        <w:t>(t)</w:t>
      </w:r>
      <w:r>
        <w:rPr>
          <w:rFonts w:ascii="Times New Roman" w:cs="Times New Roman" w:eastAsia="Times New Roman" w:hAnsi="Times New Roman"/>
          <w:sz w:val="20"/>
          <w:szCs w:val="20"/>
          <w:b w:val="1"/>
          <w:bCs w:val="1"/>
          <w:i w:val="1"/>
          <w:iCs w:val="1"/>
          <w:color w:val="231F20"/>
        </w:rPr>
        <w:t>“Disability”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with respect to a Participant, such Participant is unable to engage in any substantial gainful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activity by reason of any medically determinable physical or mental impairment which can be expected to result in death or which has lasted or can be expected to last for a continuous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29" w:name="page30"/>
    <w:bookmarkEnd w:id="29"/>
    <w:p>
      <w:pPr>
        <w:spacing w:after="0" w:line="108" w:lineRule="exact"/>
        <w:rPr>
          <w:sz w:val="20"/>
          <w:szCs w:val="20"/>
          <w:color w:val="auto"/>
        </w:rPr>
      </w:pPr>
    </w:p>
    <w:p>
      <w:pPr>
        <w:jc w:val="both"/>
        <w:ind w:left="460" w:right="20"/>
        <w:spacing w:after="0" w:line="269" w:lineRule="auto"/>
        <w:rPr>
          <w:sz w:val="20"/>
          <w:szCs w:val="20"/>
          <w:color w:val="auto"/>
        </w:rPr>
      </w:pPr>
      <w:r>
        <w:rPr>
          <w:rFonts w:ascii="Times New Roman" w:cs="Times New Roman" w:eastAsia="Times New Roman" w:hAnsi="Times New Roman"/>
          <w:sz w:val="20"/>
          <w:szCs w:val="20"/>
          <w:color w:val="231F20"/>
        </w:rPr>
        <w:t>period of not less than 12 months, as provided in Section 22(e)(3) of the Code, and will be determined by the Board on the basis of such medical evidence as the Board deems warranted under the circumstances.</w:t>
      </w:r>
    </w:p>
    <w:p>
      <w:pPr>
        <w:spacing w:after="0" w:line="1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(u)</w:t>
      </w:r>
      <w:r>
        <w:rPr>
          <w:rFonts w:ascii="Times New Roman" w:cs="Times New Roman" w:eastAsia="Times New Roman" w:hAnsi="Times New Roman"/>
          <w:sz w:val="20"/>
          <w:szCs w:val="20"/>
          <w:b w:val="1"/>
          <w:bCs w:val="1"/>
          <w:i w:val="1"/>
          <w:iCs w:val="1"/>
          <w:color w:val="231F20"/>
        </w:rPr>
        <w:t>“Effective Date”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date the Plan is approved by the Board or Compensation Committee, as applicable.</w:t>
      </w:r>
    </w:p>
    <w:p>
      <w:pPr>
        <w:spacing w:after="0" w:line="216"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(v)</w:t>
      </w:r>
      <w:r>
        <w:rPr>
          <w:rFonts w:ascii="Times New Roman" w:cs="Times New Roman" w:eastAsia="Times New Roman" w:hAnsi="Times New Roman"/>
          <w:sz w:val="20"/>
          <w:szCs w:val="20"/>
          <w:b w:val="1"/>
          <w:bCs w:val="1"/>
          <w:i w:val="1"/>
          <w:iCs w:val="1"/>
          <w:color w:val="231F20"/>
        </w:rPr>
        <w:t>“Employee”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any person employed by the Company or an Affiliate. However, service solely as a Director,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payment of a fee for such services, will not cause a Director to be considered an “Employee” for purposes of the Plan.</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(w)</w:t>
      </w:r>
      <w:r>
        <w:rPr>
          <w:rFonts w:ascii="Times New Roman" w:cs="Times New Roman" w:eastAsia="Times New Roman" w:hAnsi="Times New Roman"/>
          <w:sz w:val="20"/>
          <w:szCs w:val="20"/>
          <w:b w:val="1"/>
          <w:bCs w:val="1"/>
          <w:i w:val="1"/>
          <w:iCs w:val="1"/>
          <w:color w:val="231F20"/>
        </w:rPr>
        <w:t>“Employer”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Company or the Affiliate of the Company that employs the Participant.</w:t>
      </w:r>
    </w:p>
    <w:p>
      <w:pPr>
        <w:spacing w:after="0" w:line="2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231F20"/>
        </w:rPr>
        <w:t>(x)</w:t>
      </w:r>
      <w:r>
        <w:rPr>
          <w:rFonts w:ascii="Times New Roman" w:cs="Times New Roman" w:eastAsia="Times New Roman" w:hAnsi="Times New Roman"/>
          <w:sz w:val="20"/>
          <w:szCs w:val="20"/>
          <w:b w:val="1"/>
          <w:bCs w:val="1"/>
          <w:i w:val="1"/>
          <w:iCs w:val="1"/>
          <w:color w:val="231F20"/>
        </w:rPr>
        <w:t>“Entity”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 corporation, partnership, limited liability company or other entity.</w:t>
      </w:r>
    </w:p>
    <w:p>
      <w:pPr>
        <w:spacing w:after="0" w:line="216"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(y)</w:t>
      </w:r>
      <w:r>
        <w:rPr>
          <w:rFonts w:ascii="Times New Roman" w:cs="Times New Roman" w:eastAsia="Times New Roman" w:hAnsi="Times New Roman"/>
          <w:sz w:val="20"/>
          <w:szCs w:val="20"/>
          <w:b w:val="1"/>
          <w:bCs w:val="1"/>
          <w:i w:val="1"/>
          <w:iCs w:val="1"/>
          <w:color w:val="231F20"/>
        </w:rPr>
        <w:t>“Exchange Act”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the Securities Exchange Act of 1934, as amended, and the rules and regulations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promulgated thereunder.</w:t>
      </w:r>
    </w:p>
    <w:p>
      <w:pPr>
        <w:spacing w:after="0" w:line="152" w:lineRule="exact"/>
        <w:rPr>
          <w:sz w:val="20"/>
          <w:szCs w:val="20"/>
          <w:color w:val="auto"/>
        </w:rPr>
      </w:pPr>
    </w:p>
    <w:p>
      <w:pPr>
        <w:jc w:val="both"/>
        <w:ind w:left="460" w:right="20" w:firstLine="943"/>
        <w:spacing w:after="0" w:line="243" w:lineRule="auto"/>
        <w:rPr>
          <w:sz w:val="20"/>
          <w:szCs w:val="20"/>
          <w:color w:val="auto"/>
        </w:rPr>
      </w:pPr>
      <w:r>
        <w:rPr>
          <w:rFonts w:ascii="Times New Roman" w:cs="Times New Roman" w:eastAsia="Times New Roman" w:hAnsi="Times New Roman"/>
          <w:sz w:val="20"/>
          <w:szCs w:val="20"/>
          <w:b w:val="1"/>
          <w:bCs w:val="1"/>
          <w:color w:val="231F20"/>
        </w:rPr>
        <w:t>(z)</w:t>
      </w:r>
      <w:r>
        <w:rPr>
          <w:rFonts w:ascii="Times New Roman" w:cs="Times New Roman" w:eastAsia="Times New Roman" w:hAnsi="Times New Roman"/>
          <w:sz w:val="20"/>
          <w:szCs w:val="20"/>
          <w:b w:val="1"/>
          <w:bCs w:val="1"/>
          <w:i w:val="1"/>
          <w:iCs w:val="1"/>
          <w:color w:val="231F20"/>
        </w:rPr>
        <w:t>“Exchange Act Person”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any natural person, Entity or “group” (within the meaning of Section 13(d) or 14(d)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6" w:lineRule="exact"/>
        <w:rPr>
          <w:sz w:val="20"/>
          <w:szCs w:val="20"/>
          <w:color w:val="auto"/>
        </w:rPr>
      </w:pPr>
    </w:p>
    <w:p>
      <w:pPr>
        <w:jc w:val="both"/>
        <w:ind w:left="460" w:right="20" w:firstLine="943"/>
        <w:spacing w:after="0" w:line="273" w:lineRule="auto"/>
        <w:rPr>
          <w:sz w:val="20"/>
          <w:szCs w:val="20"/>
          <w:color w:val="auto"/>
        </w:rPr>
      </w:pPr>
      <w:r>
        <w:rPr>
          <w:rFonts w:ascii="Times New Roman" w:cs="Times New Roman" w:eastAsia="Times New Roman" w:hAnsi="Times New Roman"/>
          <w:sz w:val="20"/>
          <w:szCs w:val="20"/>
          <w:b w:val="1"/>
          <w:bCs w:val="1"/>
          <w:color w:val="231F20"/>
        </w:rPr>
        <w:t>(aa)</w:t>
      </w:r>
      <w:r>
        <w:rPr>
          <w:rFonts w:ascii="Times New Roman" w:cs="Times New Roman" w:eastAsia="Times New Roman" w:hAnsi="Times New Roman"/>
          <w:sz w:val="20"/>
          <w:szCs w:val="20"/>
          <w:b w:val="1"/>
          <w:bCs w:val="1"/>
          <w:i w:val="1"/>
          <w:iCs w:val="1"/>
          <w:color w:val="231F20"/>
        </w:rPr>
        <w:t>“Fair Market Value”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as of any date, unless otherwise determined by the Board, the value of the Common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Stock (as determined on a per share or aggregate basis, as applicable) determined as follows:</w:t>
      </w:r>
    </w:p>
    <w:p>
      <w:pPr>
        <w:spacing w:after="0" w:line="156" w:lineRule="exact"/>
        <w:rPr>
          <w:sz w:val="20"/>
          <w:szCs w:val="20"/>
          <w:color w:val="auto"/>
        </w:rPr>
      </w:pPr>
    </w:p>
    <w:p>
      <w:pPr>
        <w:jc w:val="both"/>
        <w:ind w:left="460" w:firstLine="140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color w:val="231F20"/>
        </w:rPr>
        <w:t>If the Common Stock is listed on any established stock exchange or traded on any established market, the Fair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0" w:lineRule="exact"/>
        <w:rPr>
          <w:sz w:val="20"/>
          <w:szCs w:val="20"/>
          <w:color w:val="auto"/>
        </w:rPr>
      </w:pPr>
    </w:p>
    <w:p>
      <w:pPr>
        <w:jc w:val="both"/>
        <w:ind w:left="460" w:right="20" w:firstLine="1408"/>
        <w:spacing w:after="0" w:line="26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color w:val="231F20"/>
        </w:rPr>
        <w:t>If there is no closing sales price for the Common Stock on the date of determination, then the Fair Market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Value will be the closing selling price on the last preceding date for which such quotation exists.</w:t>
      </w:r>
    </w:p>
    <w:p>
      <w:pPr>
        <w:spacing w:after="0" w:line="159" w:lineRule="exact"/>
        <w:rPr>
          <w:sz w:val="20"/>
          <w:szCs w:val="20"/>
          <w:color w:val="auto"/>
        </w:rPr>
      </w:pPr>
    </w:p>
    <w:p>
      <w:pPr>
        <w:jc w:val="both"/>
        <w:ind w:left="460" w:right="20" w:firstLine="1408"/>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color w:val="231F20"/>
        </w:rPr>
        <w:t>In the absence of such markets for the Common Stock, or if otherwise determined by the Board, the Fair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Market Value will be determined by the Board in good faith and in a manner that complies with Section 409A of the Code.</w:t>
      </w:r>
    </w:p>
    <w:p>
      <w:pPr>
        <w:spacing w:after="0" w:line="155" w:lineRule="exact"/>
        <w:rPr>
          <w:sz w:val="20"/>
          <w:szCs w:val="20"/>
          <w:color w:val="auto"/>
        </w:rPr>
      </w:pPr>
    </w:p>
    <w:p>
      <w:pPr>
        <w:jc w:val="both"/>
        <w:ind w:left="460" w:right="20" w:firstLine="943"/>
        <w:spacing w:after="0" w:line="256" w:lineRule="auto"/>
        <w:rPr>
          <w:sz w:val="20"/>
          <w:szCs w:val="20"/>
          <w:color w:val="auto"/>
        </w:rPr>
      </w:pPr>
      <w:r>
        <w:rPr>
          <w:rFonts w:ascii="Times New Roman" w:cs="Times New Roman" w:eastAsia="Times New Roman" w:hAnsi="Times New Roman"/>
          <w:sz w:val="20"/>
          <w:szCs w:val="20"/>
          <w:b w:val="1"/>
          <w:bCs w:val="1"/>
          <w:color w:val="231F20"/>
        </w:rPr>
        <w:t xml:space="preserve">(bb) </w:t>
      </w:r>
      <w:r>
        <w:rPr>
          <w:rFonts w:ascii="Times New Roman" w:cs="Times New Roman" w:eastAsia="Times New Roman" w:hAnsi="Times New Roman"/>
          <w:sz w:val="20"/>
          <w:szCs w:val="20"/>
          <w:b w:val="1"/>
          <w:bCs w:val="1"/>
          <w:i w:val="1"/>
          <w:iCs w:val="1"/>
          <w:color w:val="231F20"/>
        </w:rPr>
        <w:t>“Governmental Body”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means any: (i) nation, state, commonwealth, province, territory, county, municipality,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district or other jurisdiction of any nature; (ii) federal, state, local, municipal, foreign or other government; (iii) governmental or regulatory body, or quasi-governmental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30" w:name="page31"/>
    <w:bookmarkEnd w:id="30"/>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231F20"/>
        </w:rPr>
        <w:t>body of any nature (including any governmental division, department, administrative agency or commission,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821055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ani</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2026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49" w:lineRule="exact"/>
        <w:rPr>
          <w:sz w:val="20"/>
          <w:szCs w:val="20"/>
          <w:color w:val="auto"/>
        </w:rPr>
      </w:pPr>
    </w:p>
    <w:p>
      <w:pPr>
        <w:jc w:val="both"/>
        <w:ind w:right="20" w:firstLine="749"/>
        <w:spacing w:after="0" w:line="236" w:lineRule="auto"/>
        <w:rPr>
          <w:sz w:val="20"/>
          <w:szCs w:val="20"/>
          <w:color w:val="auto"/>
        </w:rPr>
      </w:pPr>
      <w:r>
        <w:rPr>
          <w:rFonts w:ascii="Times New Roman" w:cs="Times New Roman" w:eastAsia="Times New Roman" w:hAnsi="Times New Roman"/>
          <w:sz w:val="22"/>
          <w:szCs w:val="22"/>
          <w:color w:val="auto"/>
        </w:rPr>
        <w:t>As reflected by your Stock Option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Rani Therapeutics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an option under its 2026 Equity Inducement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purchase a number of shares of Common Stock at the exercise price indicated in your Grant Notice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The Option is granted in compliance with Nasdaq Listing Rule 5635(c)(4) as a material inducement to you entering into employment with the Company. Capitalized terms not explicitly defined in this Agreement but defined in the Grant Notice or the Plan shall have the meanings set forth in the Grant Notice or Plan, as applicable. The terms of your Option as specified in the Grant Notice and this Option Agreement constitute your Option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and conditions applicable to your Option are as follows:</w:t>
      </w:r>
    </w:p>
    <w:p>
      <w:pPr>
        <w:spacing w:after="0" w:line="202" w:lineRule="exact"/>
        <w:rPr>
          <w:sz w:val="20"/>
          <w:szCs w:val="20"/>
          <w:color w:val="auto"/>
        </w:rPr>
      </w:pPr>
    </w:p>
    <w:p>
      <w:pPr>
        <w:ind w:right="20" w:firstLine="725"/>
        <w:spacing w:after="0" w:line="262" w:lineRule="auto"/>
        <w:tabs>
          <w:tab w:leader="none" w:pos="1113"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subject to all the provisions of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the provisions in:</w:t>
      </w:r>
    </w:p>
    <w:p>
      <w:pPr>
        <w:spacing w:after="0" w:line="150" w:lineRule="exact"/>
        <w:rPr>
          <w:sz w:val="20"/>
          <w:szCs w:val="20"/>
          <w:color w:val="auto"/>
        </w:rPr>
      </w:pPr>
    </w:p>
    <w:p>
      <w:pPr>
        <w:jc w:val="both"/>
        <w:ind w:right="20" w:firstLine="1446"/>
        <w:spacing w:after="0" w:line="262"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Section 6 regarding the impact of a Capitalization Adjustment, dissolution, liquidation, or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on your Option;</w:t>
      </w:r>
    </w:p>
    <w:p>
      <w:pPr>
        <w:spacing w:after="0" w:line="150" w:lineRule="exact"/>
        <w:rPr>
          <w:sz w:val="20"/>
          <w:szCs w:val="20"/>
          <w:color w:val="auto"/>
        </w:rPr>
      </w:pPr>
    </w:p>
    <w:p>
      <w:pPr>
        <w:jc w:val="both"/>
        <w:ind w:right="20" w:firstLine="1446"/>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Section 9(e) regarding the Company’s retained rights to terminate your Continuous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grant of the Option; and</w:t>
      </w:r>
    </w:p>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Section 8(c) regarding the tax consequences of your Option.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69" w:lineRule="exact"/>
        <w:rPr>
          <w:sz w:val="20"/>
          <w:szCs w:val="20"/>
          <w:color w:val="auto"/>
        </w:rPr>
      </w:pPr>
    </w:p>
    <w:p>
      <w:pPr>
        <w:ind w:right="20" w:firstLine="725"/>
        <w:spacing w:after="0" w:line="262" w:lineRule="auto"/>
        <w:tabs>
          <w:tab w:leader="none" w:pos="1113"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7"/>
          <w:szCs w:val="17"/>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will vest as provided in your Grant Notice, subject to the provisions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the terms of the Plan. Vesting 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ind w:left="1120" w:hanging="395"/>
        <w:spacing w:after="0"/>
        <w:tabs>
          <w:tab w:leader="none" w:pos="112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right="20" w:firstLine="1446"/>
        <w:spacing w:after="0" w:line="238"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You may generally exercise the vested portion of your Option for whole shares of Common Stock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2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To the extent permitted by Applicable Law, you may pay your Option exercise price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798195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04" w:right="699" w:bottom="1440" w:gutter="0" w:footer="0" w:header="0"/>
        </w:sectPr>
      </w:pPr>
    </w:p>
    <w:bookmarkStart w:id="32" w:name="page33"/>
    <w:bookmarkEnd w:id="32"/>
    <w:p>
      <w:pPr>
        <w:spacing w:after="0" w:line="131" w:lineRule="exact"/>
        <w:rPr>
          <w:sz w:val="20"/>
          <w:szCs w:val="20"/>
          <w:color w:val="auto"/>
        </w:rPr>
      </w:pPr>
    </w:p>
    <w:p>
      <w:pPr>
        <w:ind w:left="2600" w:hanging="429"/>
        <w:spacing w:after="0"/>
        <w:tabs>
          <w:tab w:leader="none" w:pos="260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Cash or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ind w:firstLine="2171"/>
        <w:spacing w:after="0" w:line="258" w:lineRule="auto"/>
        <w:tabs>
          <w:tab w:leader="none" w:pos="2588"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“cashless exercise” program as further described in Section 4(c)(ii) of the Plan if at the time of exercise the Common Stock is publicly traded;</w:t>
      </w:r>
    </w:p>
    <w:p>
      <w:pPr>
        <w:spacing w:after="0" w:line="158" w:lineRule="exact"/>
        <w:rPr>
          <w:rFonts w:ascii="Times New Roman" w:cs="Times New Roman" w:eastAsia="Times New Roman" w:hAnsi="Times New Roman"/>
          <w:sz w:val="22"/>
          <w:szCs w:val="22"/>
          <w:b w:val="1"/>
          <w:bCs w:val="1"/>
          <w:color w:val="auto"/>
        </w:rPr>
      </w:pPr>
    </w:p>
    <w:p>
      <w:pPr>
        <w:ind w:firstLine="2171"/>
        <w:spacing w:after="0" w:line="258" w:lineRule="auto"/>
        <w:tabs>
          <w:tab w:leader="none" w:pos="2669"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Company and/or Committee consent at the time of exercise, by delivery of previously owned shares of Common Stock as further described in Section 4(c)(iii) of the Plan; or</w:t>
      </w:r>
    </w:p>
    <w:p>
      <w:pPr>
        <w:spacing w:after="0" w:line="158" w:lineRule="exact"/>
        <w:rPr>
          <w:rFonts w:ascii="Times New Roman" w:cs="Times New Roman" w:eastAsia="Times New Roman" w:hAnsi="Times New Roman"/>
          <w:sz w:val="22"/>
          <w:szCs w:val="22"/>
          <w:b w:val="1"/>
          <w:bCs w:val="1"/>
          <w:color w:val="auto"/>
        </w:rPr>
      </w:pPr>
    </w:p>
    <w:p>
      <w:pPr>
        <w:ind w:firstLine="2171"/>
        <w:spacing w:after="0" w:line="258" w:lineRule="auto"/>
        <w:tabs>
          <w:tab w:leader="none" w:pos="2642"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Company and/or Committee consent at the time of exercise, by a “net exercise” arrangement as further described in Section 4(c)(iv) of the Plan.</w:t>
      </w:r>
    </w:p>
    <w:p>
      <w:pPr>
        <w:spacing w:after="0" w:line="154" w:lineRule="exact"/>
        <w:rPr>
          <w:rFonts w:ascii="Times New Roman" w:cs="Times New Roman" w:eastAsia="Times New Roman" w:hAnsi="Times New Roman"/>
          <w:sz w:val="22"/>
          <w:szCs w:val="22"/>
          <w:b w:val="1"/>
          <w:bCs w:val="1"/>
          <w:color w:val="auto"/>
        </w:rPr>
      </w:pPr>
    </w:p>
    <w:p>
      <w:pPr>
        <w:jc w:val="both"/>
        <w:ind w:firstLine="725"/>
        <w:spacing w:after="0" w:line="246" w:lineRule="auto"/>
        <w:tabs>
          <w:tab w:leader="none" w:pos="1113"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exercise your Option before the Date of Grant or after the expiration of the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Except as set forth in your Grant Notice, the term of your option expires, subject to the provisions of Section 4(h) of the Plan, upon the earliest of the following:</w:t>
      </w:r>
    </w:p>
    <w:p>
      <w:pPr>
        <w:spacing w:after="0" w:line="1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immediately upon the termination of your Continuous Service for Cause;</w:t>
      </w:r>
    </w:p>
    <w:p>
      <w:pPr>
        <w:spacing w:after="0" w:line="206" w:lineRule="exact"/>
        <w:rPr>
          <w:sz w:val="20"/>
          <w:szCs w:val="20"/>
          <w:color w:val="auto"/>
        </w:rPr>
      </w:pPr>
    </w:p>
    <w:p>
      <w:pPr>
        <w:jc w:val="both"/>
        <w:ind w:firstLine="1446"/>
        <w:spacing w:after="0" w:line="247" w:lineRule="auto"/>
        <w:rPr>
          <w:sz w:val="20"/>
          <w:szCs w:val="20"/>
          <w:color w:val="auto"/>
        </w:rPr>
      </w:pP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three months after the termination of your Continuous Service for any reason other than Cause,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Disability or your death (except as otherwise provided in Section 4(d) below);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if during any part of such three month period your option is not exercisable solely because of the condition set forth below relating to “Securities Law Compliance,” your option will not expire until the earlier of the Expiration Date or until it has been exercisable for an aggregate period of three months after the termination of your Continuous Service; provided further, that if (i) you are a Non-Exempt Employee, (ii) your Continuous Service terminates within six months after the Date of Grant, and (iii) you have vested in a portion of your option at the time of your termination of Continuous Service, your option will not expire until the earlier of (x) the later of (A) the date that is seven months after the Date of Grant, and (B) the date that is three months after the termination of your Continuous Service, and (y) the Expiration Date;</w:t>
      </w:r>
    </w:p>
    <w:p>
      <w:pPr>
        <w:spacing w:after="0" w:line="166" w:lineRule="exact"/>
        <w:rPr>
          <w:sz w:val="20"/>
          <w:szCs w:val="20"/>
          <w:color w:val="auto"/>
        </w:rPr>
      </w:pPr>
    </w:p>
    <w:p>
      <w:pPr>
        <w:jc w:val="both"/>
        <w:ind w:firstLine="1446"/>
        <w:spacing w:after="0" w:line="262"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12 months after the termination of your Continuous Service due to your Disability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in Section 4(d)) below;</w:t>
      </w:r>
    </w:p>
    <w:p>
      <w:pPr>
        <w:spacing w:after="0" w:line="150" w:lineRule="exact"/>
        <w:rPr>
          <w:sz w:val="20"/>
          <w:szCs w:val="20"/>
          <w:color w:val="auto"/>
        </w:rPr>
      </w:pPr>
    </w:p>
    <w:p>
      <w:pPr>
        <w:jc w:val="both"/>
        <w:ind w:firstLine="1446"/>
        <w:spacing w:after="0" w:line="286" w:lineRule="auto"/>
        <w:rPr>
          <w:sz w:val="20"/>
          <w:szCs w:val="20"/>
          <w:color w:val="auto"/>
        </w:rPr>
      </w:pP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21"/>
          <w:szCs w:val="21"/>
          <w:color w:val="auto"/>
        </w:rPr>
        <w:t>18 months after your death if you die either during your Continuous Service or after your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terminates for any reason other than Cause but during the period the Option would otherwise be exercisable;</w:t>
      </w:r>
    </w:p>
    <w:p>
      <w:pPr>
        <w:spacing w:after="0" w:line="1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the Expiration Date indicated in your Grant Notice; or</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the day before the 10th anniversary of the Date of Grant.</w:t>
      </w:r>
    </w:p>
    <w:p>
      <w:pPr>
        <w:spacing w:after="0" w:line="200" w:lineRule="exact"/>
        <w:rPr>
          <w:sz w:val="20"/>
          <w:szCs w:val="20"/>
          <w:color w:val="auto"/>
        </w:rPr>
      </w:pPr>
    </w:p>
    <w:p>
      <w:pPr>
        <w:spacing w:after="0" w:line="2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In no event may you exercise your option unless the shares of Common Stock issuable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780415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33" w:name="page34"/>
    <w:bookmarkEnd w:id="33"/>
    <w:p>
      <w:pPr>
        <w:spacing w:after="0" w:line="154" w:lineRule="exact"/>
        <w:rPr>
          <w:sz w:val="20"/>
          <w:szCs w:val="20"/>
          <w:color w:val="auto"/>
        </w:rPr>
      </w:pPr>
    </w:p>
    <w:p>
      <w:pPr>
        <w:jc w:val="both"/>
        <w:ind w:left="-725" w:firstLine="725"/>
        <w:spacing w:after="0" w:line="258" w:lineRule="auto"/>
        <w:tabs>
          <w:tab w:leader="none" w:pos="388"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further provided in Section 8 of the Plan: (a) you may not exercise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65" w:lineRule="exact"/>
        <w:rPr>
          <w:rFonts w:ascii="Times New Roman" w:cs="Times New Roman" w:eastAsia="Times New Roman" w:hAnsi="Times New Roman"/>
          <w:sz w:val="20"/>
          <w:szCs w:val="20"/>
          <w:b w:val="1"/>
          <w:bCs w:val="1"/>
          <w:color w:val="auto"/>
        </w:rPr>
      </w:pPr>
    </w:p>
    <w:p>
      <w:pPr>
        <w:jc w:val="both"/>
        <w:ind w:left="-725" w:firstLine="725"/>
        <w:spacing w:after="0" w:line="246" w:lineRule="auto"/>
        <w:tabs>
          <w:tab w:leader="none" w:pos="38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Section 4(e) of the Plan, your Option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transferable, except by will or by the applicable laws of descent and distribution, and is exercisable during your life only by you.</w:t>
      </w:r>
    </w:p>
    <w:p>
      <w:pPr>
        <w:spacing w:after="0" w:line="167" w:lineRule="exact"/>
        <w:rPr>
          <w:rFonts w:ascii="Times New Roman" w:cs="Times New Roman" w:eastAsia="Times New Roman" w:hAnsi="Times New Roman"/>
          <w:sz w:val="22"/>
          <w:szCs w:val="22"/>
          <w:b w:val="1"/>
          <w:bCs w:val="1"/>
          <w:color w:val="auto"/>
        </w:rPr>
      </w:pPr>
    </w:p>
    <w:p>
      <w:pPr>
        <w:jc w:val="both"/>
        <w:ind w:left="-725" w:firstLine="725"/>
        <w:spacing w:after="0" w:line="241" w:lineRule="auto"/>
        <w:tabs>
          <w:tab w:leader="none" w:pos="38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subject to the terms of any agreement governing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71" w:lineRule="exact"/>
        <w:rPr>
          <w:rFonts w:ascii="Times New Roman" w:cs="Times New Roman" w:eastAsia="Times New Roman" w:hAnsi="Times New Roman"/>
          <w:sz w:val="22"/>
          <w:szCs w:val="22"/>
          <w:b w:val="1"/>
          <w:bCs w:val="1"/>
          <w:color w:val="auto"/>
        </w:rPr>
      </w:pPr>
    </w:p>
    <w:p>
      <w:pPr>
        <w:jc w:val="both"/>
        <w:ind w:left="-725" w:firstLine="725"/>
        <w:spacing w:after="0" w:line="234" w:lineRule="auto"/>
        <w:tabs>
          <w:tab w:leader="none" w:pos="38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22"/>
          <w:szCs w:val="22"/>
          <w:color w:val="auto"/>
        </w:rPr>
        <w:t>. As a condition to accepting the Option, you hereby (a) agree to not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75" w:lineRule="exact"/>
        <w:rPr>
          <w:rFonts w:ascii="Times New Roman" w:cs="Times New Roman" w:eastAsia="Times New Roman" w:hAnsi="Times New Roman"/>
          <w:sz w:val="22"/>
          <w:szCs w:val="22"/>
          <w:b w:val="1"/>
          <w:bCs w:val="1"/>
          <w:color w:val="auto"/>
        </w:rPr>
      </w:pPr>
    </w:p>
    <w:p>
      <w:pPr>
        <w:jc w:val="both"/>
        <w:ind w:left="-725" w:firstLine="725"/>
        <w:spacing w:after="0" w:line="238" w:lineRule="auto"/>
        <w:tabs>
          <w:tab w:leader="none" w:pos="38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part of this Option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22"/>
          <w:szCs w:val="22"/>
          <w:b w:val="1"/>
          <w:bCs w:val="1"/>
          <w:color w:val="auto"/>
        </w:rPr>
      </w:pPr>
    </w:p>
    <w:p>
      <w:pPr>
        <w:ind w:left="-725" w:firstLine="725"/>
        <w:spacing w:after="0" w:line="262" w:lineRule="auto"/>
        <w:tabs>
          <w:tab w:leader="none" w:pos="38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or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762635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5"/>
          </w:cols>
          <w:pgMar w:left="1425" w:top="1440" w:right="719" w:bottom="1440" w:gutter="0" w:footer="0" w:header="0"/>
        </w:sectPr>
      </w:pPr>
    </w:p>
    <w:bookmarkStart w:id="34" w:name="page35"/>
    <w:bookmarkEnd w:id="34"/>
    <w:p>
      <w:pPr>
        <w:spacing w:after="0" w:line="12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auto"/>
        </w:rPr>
        <w:t>Act, which includes the Prospectus.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means the document containing the Plan information specified in Section 10(a) of the Securities Act. In addition, you acknowledge receipt of the Company’s Trading Policy.</w:t>
      </w:r>
    </w:p>
    <w:p>
      <w:pPr>
        <w:spacing w:after="0" w:line="147" w:lineRule="exact"/>
        <w:rPr>
          <w:sz w:val="20"/>
          <w:szCs w:val="20"/>
          <w:color w:val="auto"/>
        </w:rPr>
      </w:pPr>
    </w:p>
    <w:p>
      <w:pPr>
        <w:ind w:right="20" w:firstLine="725"/>
        <w:spacing w:after="0" w:line="262" w:lineRule="auto"/>
        <w:tabs>
          <w:tab w:leader="none" w:pos="1113"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17"/>
          <w:szCs w:val="17"/>
          <w:b w:val="1"/>
          <w:bCs w:val="1"/>
          <w:color w:val="auto"/>
        </w:rPr>
        <w:t>UESTIONS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have questions regarding these or any other terms and conditions applicable to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including a summary of the applicable federal income tax consequences please see the Prospectus.</w:t>
      </w:r>
    </w:p>
    <w:p>
      <w:pPr>
        <w:spacing w:after="0" w:line="149" w:lineRule="exact"/>
        <w:rPr>
          <w:rFonts w:ascii="Times New Roman" w:cs="Times New Roman" w:eastAsia="Times New Roman" w:hAnsi="Times New Roman"/>
          <w:sz w:val="22"/>
          <w:szCs w:val="22"/>
          <w:b w:val="1"/>
          <w:bCs w:val="1"/>
          <w:color w:val="auto"/>
        </w:rPr>
      </w:pPr>
    </w:p>
    <w:p>
      <w:pPr>
        <w:ind w:left="1120" w:hanging="395"/>
        <w:spacing w:after="0"/>
        <w:tabs>
          <w:tab w:leader="none" w:pos="11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xempt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color w:val="auto"/>
        </w:rPr>
        <w:t>. If you are an Employee</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eligible for overtime compensation under the Fair Labor Standards Act of 1938, as amended (that is, a “</w:t>
      </w:r>
      <w:r>
        <w:rPr>
          <w:rFonts w:ascii="Times New Roman" w:cs="Times New Roman" w:eastAsia="Times New Roman" w:hAnsi="Times New Roman"/>
          <w:sz w:val="21"/>
          <w:szCs w:val="21"/>
          <w:b w:val="1"/>
          <w:bCs w:val="1"/>
          <w:i w:val="1"/>
          <w:iCs w:val="1"/>
          <w:color w:val="auto"/>
        </w:rPr>
        <w:t>Non-Exempt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and except as otherwise provided in the Plan, you may not exercise your option until you have completed 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798195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amp;"/>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4"/>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2"/>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2">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3">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14">
    <w:nsid w:val="5577F8E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5">
    <w:nsid w:val="440BADFC"/>
    <w:multiLevelType w:val="hybridMultilevel"/>
    <w:lvl w:ilvl="0">
      <w:lvlJc w:val="left"/>
      <w:lvlText w:val="(%1)"/>
      <w:numFmt w:val="lowerLetter"/>
      <w:start w:val="1"/>
    </w:lvl>
    <w:lvl w:ilvl="1">
      <w:lvlJc w:val="left"/>
      <w:lvlText w:val="(%2)"/>
      <w:numFmt w:val="lowerLetter"/>
      <w:start w:val="2"/>
    </w:lvl>
  </w:abstractNum>
  <w:abstractNum w:abstractNumId="16">
    <w:nsid w:val="5072367"/>
    <w:multiLevelType w:val="hybridMultilevel"/>
    <w:lvl w:ilvl="0">
      <w:lvlJc w:val="left"/>
      <w:lvlText w:val="(%1)"/>
      <w:numFmt w:val="decimal"/>
      <w:start w:val="5"/>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lowerLetter"/>
      <w:start w:val="4"/>
    </w:lvl>
  </w:abstractNum>
  <w:abstractNum w:abstractNumId="19">
    <w:nsid w:val="7724C67E"/>
    <w:multiLevelType w:val="hybridMultilevel"/>
    <w:lvl w:ilvl="0">
      <w:lvlJc w:val="left"/>
      <w:lvlText w:val="%1"/>
      <w:numFmt w:val="lowerLetter"/>
      <w:start w:val="1"/>
    </w:lvl>
    <w:lvl w:ilvl="1">
      <w:lvlJc w:val="left"/>
      <w:lvlText w:val="(%2)"/>
      <w:numFmt w:val="lowerLetter"/>
      <w:start w:val="35"/>
    </w:lvl>
  </w:abstractNum>
  <w:abstractNum w:abstractNumId="20">
    <w:nsid w:val="5C482A97"/>
    <w:multiLevelType w:val="hybridMultilevel"/>
    <w:lvl w:ilvl="0">
      <w:lvlJc w:val="left"/>
      <w:lvlText w:val="(%1)"/>
      <w:numFmt w:val="lowerLetter"/>
      <w:start w:val="6"/>
    </w:lvl>
    <w:lvl w:ilvl="1">
      <w:lvlJc w:val="left"/>
      <w:lvlText w:val="(%2)"/>
      <w:numFmt w:val="lowerLetter"/>
      <w:start w:val="9"/>
    </w:lvl>
  </w:abstractNum>
  <w:abstractNum w:abstractNumId="21">
    <w:nsid w:val="2463B9EA"/>
    <w:multiLevelType w:val="hybridMultilevel"/>
    <w:lvl w:ilvl="0">
      <w:lvlJc w:val="left"/>
      <w:lvlText w:val="(%1)"/>
      <w:numFmt w:val="lowerRoman"/>
      <w:start w:val="2"/>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1"/>
      <w:numFmt w:val="lowerLetter"/>
      <w:start w:val="1"/>
    </w:lvl>
    <w:lvl w:ilvl="1">
      <w:lvlJc w:val="left"/>
      <w:lvlText w:val="(%2)"/>
      <w:numFmt w:val="lowerLetter"/>
      <w:start w:val="10"/>
    </w:lvl>
  </w:abstractNum>
  <w:abstractNum w:abstractNumId="24">
    <w:nsid w:val="2D517796"/>
    <w:multiLevelType w:val="hybridMultilevel"/>
    <w:lvl w:ilvl="0">
      <w:lvlJc w:val="left"/>
      <w:lvlText w:val="(%1)"/>
      <w:numFmt w:val="lowerLetter"/>
      <w:start w:val="35"/>
    </w:lvl>
    <w:lvl w:ilvl="1">
      <w:lvlJc w:val="left"/>
      <w:lvlText w:val="(%2)"/>
      <w:numFmt w:val="lowerLetter"/>
      <w:start w:val="11"/>
    </w:lvl>
  </w:abstractNum>
  <w:abstractNum w:abstractNumId="25">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decimal"/>
      <w:start w:val="1"/>
    </w:lvl>
  </w:abstractNum>
  <w:abstractNum w:abstractNumId="26">
    <w:nsid w:val="153EA43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lvl w:ilvl="3">
      <w:lvlJc w:val="left"/>
      <w:lvlText w:val="(%4)"/>
      <w:numFmt w:val="lowerRoman"/>
      <w:start w:val="4"/>
    </w:lvl>
    <w:lvl w:ilvl="4">
      <w:lvlJc w:val="left"/>
      <w:lvlText w:val="(%5)"/>
      <w:numFmt w:val="decimal"/>
      <w:start w:val="1"/>
    </w:lvl>
  </w:abstractNum>
  <w:abstractNum w:abstractNumId="27">
    <w:nsid w:val="3855585C"/>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28">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9">
    <w:nsid w:val="6A2342EC"/>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30">
    <w:nsid w:val="2A487CB0"/>
    <w:multiLevelType w:val="hybridMultilevel"/>
    <w:lvl w:ilvl="0">
      <w:lvlJc w:val="left"/>
      <w:lvlText w:val="(%1)"/>
      <w:numFmt w:val="lowerLetter"/>
      <w:start w:val="4"/>
    </w:lvl>
    <w:lvl w:ilvl="1">
      <w:lvlJc w:val="left"/>
      <w:lvlText w:val="(%2)"/>
      <w:numFmt w:val="lowerLetter"/>
      <w:start w:val="5"/>
    </w:lvl>
  </w:abstractNum>
  <w:abstractNum w:abstractNumId="31">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2">
    <w:nsid w:val="725A06FB"/>
    <w:multiLevelType w:val="hybridMultilevel"/>
    <w:lvl w:ilvl="0">
      <w:lvlJc w:val="left"/>
      <w:lvlText w:val="(%1)"/>
      <w:numFmt w:val="lowerLetter"/>
      <w:start w:val="3"/>
    </w:lvl>
  </w:abstractNum>
  <w:abstractNum w:abstractNumId="33">
    <w:nsid w:val="2CD89A32"/>
    <w:multiLevelType w:val="hybridMultilevel"/>
    <w:lvl w:ilvl="0">
      <w:lvlJc w:val="left"/>
      <w:lvlText w:val="(%1)"/>
      <w:numFmt w:val="lowerRoman"/>
      <w:start w:val="2"/>
    </w:lvl>
  </w:abstractNum>
  <w:abstractNum w:abstractNumId="34">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35">
    <w:nsid w:val="7A6D8D3C"/>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36">
    <w:nsid w:val="4B588F54"/>
    <w:multiLevelType w:val="hybridMultilevel"/>
    <w:lvl w:ilvl="0">
      <w:lvlJc w:val="left"/>
      <w:lvlText w:val="%1."/>
      <w:numFmt w:val="decimal"/>
      <w:start w:val="9"/>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decimal"/>
      <w:start w:val="11"/>
    </w:lvl>
  </w:abstractNum>
  <w:abstractNum w:abstractNumId="39">
    <w:nsid w:val="38437FDB"/>
    <w:multiLevelType w:val="hybridMultilevel"/>
    <w:lvl w:ilvl="0">
      <w:lvlJc w:val="left"/>
      <w:lvlText w:val="(%1)"/>
      <w:numFmt w:val="lowerRoman"/>
      <w:start w:val="1"/>
    </w:lvl>
    <w:lvl w:ilvl="1">
      <w:lvlJc w:val="left"/>
      <w:lvlText w:val="(%2)"/>
      <w:numFmt w:val="lowerRoman"/>
      <w:start w:val="2"/>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1)"/>
      <w:numFmt w:val="lowerRoman"/>
      <w:start w:val="2"/>
    </w:lvl>
  </w:abstractNum>
  <w:abstractNum w:abstractNumId="42">
    <w:nsid w:val="684A481A"/>
    <w:multiLevelType w:val="hybridMultilevel"/>
    <w:lvl w:ilvl="0">
      <w:lvlJc w:val="left"/>
      <w:lvlText w:val="%1."/>
      <w:numFmt w:val="decimal"/>
      <w:start w:val="12"/>
    </w:lvl>
  </w:abstractNum>
  <w:abstractNum w:abstractNumId="43">
    <w:nsid w:val="579478FE"/>
    <w:multiLevelType w:val="hybridMultilevel"/>
    <w:lvl w:ilvl="0">
      <w:lvlJc w:val="left"/>
      <w:lvlText w:val="%1."/>
      <w:numFmt w:val="decimal"/>
      <w:start w:val="13"/>
    </w:lvl>
  </w:abstractNum>
  <w:abstractNum w:abstractNumId="44">
    <w:nsid w:val="749ABB43"/>
    <w:multiLevelType w:val="hybridMultilevel"/>
    <w:lvl w:ilvl="0">
      <w:lvlJc w:val="left"/>
      <w:lvlText w:val="%1."/>
      <w:numFmt w:val="decimal"/>
      <w:start w:val="14"/>
    </w:lvl>
  </w:abstractNum>
  <w:abstractNum w:abstractNumId="45">
    <w:nsid w:val="3DC240FB"/>
    <w:multiLevelType w:val="hybridMultilevel"/>
    <w:lvl w:ilvl="0">
      <w:lvlJc w:val="left"/>
      <w:lvlText w:val="(%1)"/>
      <w:numFmt w:val="lowerRoman"/>
      <w:start w:val="2"/>
    </w:lvl>
  </w:abstractNum>
  <w:abstractNum w:abstractNumId="46">
    <w:nsid w:val="1BA026FA"/>
    <w:multiLevelType w:val="hybridMultilevel"/>
    <w:lvl w:ilvl="0">
      <w:lvlJc w:val="left"/>
      <w:lvlText w:val="%1."/>
      <w:numFmt w:val="lowerRoman"/>
      <w:start w:val="3"/>
    </w:lvl>
  </w:abstractNum>
  <w:abstractNum w:abstractNumId="47">
    <w:nsid w:val="79A1DEAA"/>
    <w:multiLevelType w:val="hybridMultilevel"/>
    <w:lvl w:ilvl="0">
      <w:lvlJc w:val="left"/>
      <w:lvlText w:val="%1."/>
      <w:numFmt w:val="lowerRoman"/>
      <w:start w:val="4"/>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2"/>
    </w:lvl>
  </w:abstractNum>
  <w:abstractNum w:abstractNumId="51">
    <w:nsid w:val="520EEDD1"/>
    <w:multiLevelType w:val="hybridMultilevel"/>
    <w:lvl w:ilvl="0">
      <w:lvlJc w:val="left"/>
      <w:lvlText w:val="%1"/>
      <w:numFmt w:val="decimal"/>
      <w:start w:val="1"/>
    </w:lvl>
    <w:lvl w:ilvl="1">
      <w:lvlJc w:val="left"/>
      <w:lvlText w:val="(%2)"/>
      <w:numFmt w:val="lowerRoman"/>
      <w:start w:val="1"/>
    </w:lvl>
  </w:abstractNum>
  <w:abstractNum w:abstractNumId="52">
    <w:nsid w:val="374A3FE6"/>
    <w:multiLevelType w:val="hybridMultilevel"/>
    <w:lvl w:ilvl="0">
      <w:lvlJc w:val="left"/>
      <w:lvlText w:val="%1."/>
      <w:numFmt w:val="decimal"/>
      <w:start w:val="4"/>
    </w:lvl>
    <w:lvl w:ilvl="1">
      <w:lvlJc w:val="left"/>
      <w:lvlText w:val="%2"/>
      <w:numFmt w:val="lowerRoman"/>
      <w:start w:val="1"/>
    </w:lvl>
  </w:abstractNum>
  <w:abstractNum w:abstractNumId="53">
    <w:nsid w:val="4F4EF005"/>
    <w:multiLevelType w:val="hybridMultilevel"/>
    <w:lvl w:ilvl="0">
      <w:lvlJc w:val="left"/>
      <w:lvlText w:val="%1."/>
      <w:numFmt w:val="decimal"/>
      <w:start w:val="5"/>
    </w:lvl>
  </w:abstractNum>
  <w:abstractNum w:abstractNumId="54">
    <w:nsid w:val="23F9C13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2026-06-30T05:11:28Z</dcterms:created>
  <dcterms:modified xsi:type="dcterms:W3CDTF">2026-06-30T05:11:28Z</dcterms:modified>
</cp:coreProperties>
</file>