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rani-20260630.htm"/>
      <w:bookmarkStart w:id="1" w:name="ksrani20260630"/>
      <w:bookmarkEnd w:id="0"/>
      <w:bookmarkEnd w:id="1"/>
      <w:r>
        <w:rPr/>
        <w:t> </w:t>
      </w:r>
    </w:p>
    <w:p>
      <w:pPr>
        <w:pStyle w:val="TextBody"/>
        <w:bidi w:val="0"/>
        <w:jc w:val="left"/>
        <w:rPr>
          <w:rFonts w:ascii="Times New Roman" w:hAnsi="Times New Roman"/>
          <w:color w:val="000000"/>
          <w:sz w:val="2"/>
        </w:rPr>
      </w:pPr>
      <w:r>
        <w:rPr>
          <w:rFonts w:ascii="Times New Roman" w:hAnsi="Times New Roman"/>
          <w:color w:val="000000"/>
          <w:sz w:val="2"/>
        </w:rPr>
        <w:t>f</w:t>
      </w:r>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ind w:left="0" w:right="0" w:firstLine="72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40" w:after="100"/>
        <w:ind w:left="4320" w:right="4320" w:hanging="0"/>
        <w:jc w:val="center"/>
        <w:rPr/>
      </w:pPr>
      <w:r>
        <w:rPr/>
        <w:t> </w:t>
      </w:r>
    </w:p>
    <w:p>
      <w:pPr>
        <w:pStyle w:val="TextBody"/>
        <w:bidi w:val="0"/>
        <w:spacing w:before="2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40" w:after="100"/>
        <w:ind w:left="4320" w:right="4320" w:hanging="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transition period from ________________ to ________________</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Number: 001-40672</w:t>
      </w:r>
    </w:p>
    <w:p>
      <w:pPr>
        <w:pStyle w:val="TextBody"/>
        <w:pBdr>
          <w:bottom w:val="single" w:sz="4" w:space="1" w:color="000000"/>
        </w:pBdr>
        <w:bidi w:val="0"/>
        <w:spacing w:before="40" w:after="100"/>
        <w:ind w:left="4320" w:right="4320" w:hanging="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RANI THERAPEUTICS HOLDINGS,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40" w:after="283"/>
        <w:ind w:left="4320" w:right="4320" w:hanging="0"/>
        <w:jc w:val="center"/>
        <w:rPr/>
      </w:pPr>
      <w:r>
        <w:rPr/>
        <w:t> </w:t>
      </w:r>
    </w:p>
    <w:p>
      <w:pPr>
        <w:pStyle w:val="TextBody"/>
        <w:bidi w:val="0"/>
        <w:jc w:val="left"/>
        <w:rPr/>
      </w:pPr>
      <w:r>
        <w:rPr/>
        <w:t> </w:t>
      </w:r>
    </w:p>
    <w:tbl>
      <w:tblPr>
        <w:tblW w:w="3677" w:type="dxa"/>
        <w:jc w:val="left"/>
        <w:tblInd w:w="0" w:type="dxa"/>
        <w:tblLayout w:type="fixed"/>
        <w:tblCellMar>
          <w:top w:w="28" w:type="dxa"/>
          <w:left w:w="28" w:type="dxa"/>
          <w:bottom w:w="28" w:type="dxa"/>
          <w:right w:w="28" w:type="dxa"/>
        </w:tblCellMar>
      </w:tblPr>
      <w:tblGrid>
        <w:gridCol w:w="2431"/>
        <w:gridCol w:w="1246"/>
      </w:tblGrid>
      <w:tr>
        <w:trPr/>
        <w:tc>
          <w:tcPr>
            <w:tcW w:w="243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86-3114789</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2431"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2051 Ringwood Avenue</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San Jose, California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95131</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Registrant’s telephone number, including area code: (408) 457-3700</w:t>
      </w:r>
    </w:p>
    <w:p>
      <w:pPr>
        <w:pStyle w:val="TextBody"/>
        <w:pBdr>
          <w:bottom w:val="single" w:sz="4" w:space="1" w:color="000000"/>
        </w:pBdr>
        <w:bidi w:val="0"/>
        <w:spacing w:before="40" w:after="283"/>
        <w:ind w:left="4320" w:right="4320" w:hanging="0"/>
        <w:jc w:val="center"/>
        <w:rPr/>
      </w:pPr>
      <w:r>
        <w:rPr/>
        <w:t> </w:t>
      </w:r>
    </w:p>
    <w:p>
      <w:pPr>
        <w:pStyle w:val="TextBody"/>
        <w:bidi w:val="0"/>
        <w:spacing w:before="80" w:after="283"/>
        <w:ind w:left="0" w:right="0" w:firstLine="576"/>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8260" w:type="dxa"/>
        <w:jc w:val="left"/>
        <w:tblInd w:w="0" w:type="dxa"/>
        <w:tblLayout w:type="fixed"/>
        <w:tblCellMar>
          <w:top w:w="28" w:type="dxa"/>
          <w:left w:w="28" w:type="dxa"/>
          <w:bottom w:w="28" w:type="dxa"/>
          <w:right w:w="28" w:type="dxa"/>
        </w:tblCellMar>
      </w:tblPr>
      <w:tblGrid>
        <w:gridCol w:w="3826"/>
        <w:gridCol w:w="146"/>
        <w:gridCol w:w="826"/>
        <w:gridCol w:w="146"/>
        <w:gridCol w:w="3316"/>
      </w:tblGrid>
      <w:tr>
        <w:trPr/>
        <w:tc>
          <w:tcPr>
            <w:tcW w:w="3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8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Class A 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RANI</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Stock Market LLC</w:t>
            </w:r>
          </w:p>
        </w:tc>
      </w:tr>
    </w:tbl>
    <w:p>
      <w:pPr>
        <w:pStyle w:val="TextBody"/>
        <w:bidi w:val="0"/>
        <w:spacing w:before="120" w:after="283"/>
        <w:ind w:left="0" w:right="0" w:firstLine="576"/>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80" w:after="283"/>
        <w:ind w:left="0" w:right="0" w:firstLine="576"/>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80" w:after="283"/>
        <w:ind w:left="0" w:right="0" w:firstLine="576"/>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97" w:type="dxa"/>
        <w:jc w:val="left"/>
        <w:tblInd w:w="0" w:type="dxa"/>
        <w:tblLayout w:type="fixed"/>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ind w:left="0" w:right="0" w:firstLine="576"/>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80" w:after="283"/>
        <w:ind w:left="0" w:right="0" w:firstLine="576"/>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 No </w:t>
      </w:r>
      <w:r>
        <w:rPr>
          <w:rFonts w:ascii="Times New Roman" w:hAnsi="Times New Roman"/>
          <w:color w:val="000000"/>
          <w:sz w:val="20"/>
        </w:rPr>
        <w:t xml:space="preserve">☒ </w:t>
      </w:r>
    </w:p>
    <w:p>
      <w:pPr>
        <w:pStyle w:val="TextBody"/>
        <w:bidi w:val="0"/>
        <w:spacing w:before="80" w:after="283"/>
        <w:ind w:left="0" w:right="0" w:firstLine="576"/>
        <w:jc w:val="left"/>
        <w:rPr>
          <w:rFonts w:ascii="Times New Roman" w:hAnsi="Times New Roman"/>
          <w:sz w:val="20"/>
        </w:rPr>
      </w:pPr>
      <w:r>
        <w:rPr>
          <w:rFonts w:ascii="Times New Roman" w:hAnsi="Times New Roman"/>
          <w:color w:val="000000"/>
          <w:sz w:val="18"/>
        </w:rPr>
        <w:t>As of July 31, 2026, the registrant had 115,424,960</w:t>
      </w:r>
      <w:r>
        <w:rPr>
          <w:rFonts w:ascii="Times New Roman" w:hAnsi="Times New Roman"/>
          <w:color w:val="000000"/>
          <w:sz w:val="20"/>
        </w:rPr>
        <w:t xml:space="preserve"> </w:t>
      </w:r>
      <w:r>
        <w:rPr>
          <w:rFonts w:ascii="Times New Roman" w:hAnsi="Times New Roman"/>
          <w:color w:val="000000"/>
          <w:sz w:val="18"/>
        </w:rPr>
        <w:t>shares of Class A common stock, $0.0001 par value per share, outstanding, 23,970,359</w:t>
      </w:r>
      <w:r>
        <w:rPr>
          <w:rFonts w:ascii="Times New Roman" w:hAnsi="Times New Roman"/>
          <w:color w:val="000000"/>
          <w:sz w:val="20"/>
        </w:rPr>
        <w:t xml:space="preserve"> </w:t>
      </w:r>
      <w:r>
        <w:rPr>
          <w:rFonts w:ascii="Times New Roman" w:hAnsi="Times New Roman"/>
          <w:color w:val="000000"/>
          <w:sz w:val="18"/>
        </w:rPr>
        <w:t>shares of Class B common stock, $0.0001 par value per share, outstanding and no</w:t>
      </w:r>
      <w:r>
        <w:rPr>
          <w:rFonts w:ascii="Times New Roman" w:hAnsi="Times New Roman"/>
          <w:color w:val="000000"/>
          <w:sz w:val="20"/>
        </w:rPr>
        <w:t xml:space="preserve"> </w:t>
      </w:r>
      <w:r>
        <w:rPr>
          <w:rFonts w:ascii="Times New Roman" w:hAnsi="Times New Roman"/>
          <w:color w:val="000000"/>
          <w:sz w:val="18"/>
        </w:rPr>
        <w:t>shares of Class C common stock, $0.0001 par value per share, outstanding. Certain holders of units of the registrant’s consolidated subsidiary, Rani Therapeutics, LLC, who do not hold shares of the registrant’s Class B common stock can exchange their units of Rani Therapeutics, LLC for 1,124,194 shares of the registrant’s Class A common stock.</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8763" w:type="dxa"/>
        <w:jc w:val="left"/>
        <w:tblInd w:w="0" w:type="dxa"/>
        <w:tblLayout w:type="fixed"/>
        <w:tblCellMar>
          <w:top w:w="28" w:type="dxa"/>
          <w:left w:w="28" w:type="dxa"/>
          <w:bottom w:w="28" w:type="dxa"/>
          <w:right w:w="28" w:type="dxa"/>
        </w:tblCellMar>
      </w:tblPr>
      <w:tblGrid>
        <w:gridCol w:w="886"/>
        <w:gridCol w:w="7366"/>
        <w:gridCol w:w="511"/>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2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pecial_note_regarding_forward_looking_s">
              <w:r>
                <w:rPr>
                  <w:rStyle w:val="InternetLink"/>
                  <w:rFonts w:ascii="Times New Roman" w:hAnsi="Times New Roman"/>
                  <w:color w:val="0000FF"/>
                  <w:sz w:val="20"/>
                  <w:u w:val="single"/>
                </w:rPr>
                <w:t>Special Note Regarding Forward-Looking Statements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INFORMATION</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RANI THERAPEUTICS HOLDINGS, INC.</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alance_sheet_llc">
              <w:r>
                <w:rPr>
                  <w:rStyle w:val="InternetLink"/>
                  <w:rFonts w:ascii="Times New Roman" w:hAnsi="Times New Roman"/>
                  <w:color w:val="0000FF"/>
                  <w:sz w:val="20"/>
                  <w:u w:val="single"/>
                </w:rPr>
                <w:t>Financial Statements (Unaudited)</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alance_sheet_llc">
              <w:r>
                <w:rPr>
                  <w:rStyle w:val="InternetLink"/>
                  <w:rFonts w:ascii="Times New Roman" w:hAnsi="Times New Roman"/>
                  <w:color w:val="0000FF"/>
                  <w:sz w:val="20"/>
                  <w:u w:val="single"/>
                </w:rPr>
                <w:t>Condensed Consolidated Balance Sheets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of_operations">
              <w:r>
                <w:rPr>
                  <w:rStyle w:val="InternetLink"/>
                  <w:rFonts w:ascii="Times New Roman" w:hAnsi="Times New Roman"/>
                  <w:color w:val="0000FF"/>
                  <w:sz w:val="20"/>
                  <w:u w:val="single"/>
                </w:rPr>
                <w:t>Condensed Consolidated Statements of Operations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of_comprehensive_loss">
              <w:r>
                <w:rPr>
                  <w:rStyle w:val="InternetLink"/>
                  <w:rFonts w:ascii="Times New Roman" w:hAnsi="Times New Roman"/>
                  <w:color w:val="0000FF"/>
                  <w:sz w:val="20"/>
                  <w:u w:val="single"/>
                </w:rPr>
                <w:t>Condensed Consolidated Statements of Comprehensive Loss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of_changes_llc">
              <w:r>
                <w:rPr>
                  <w:rStyle w:val="InternetLink"/>
                  <w:rFonts w:ascii="Times New Roman" w:hAnsi="Times New Roman"/>
                  <w:color w:val="0000FF"/>
                  <w:sz w:val="20"/>
                  <w:u w:val="single"/>
                </w:rPr>
                <w:t>Condensed Consolidated Statements of Changes in Stockholders’ (Deficit)/Equity</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ash_flows_llc">
              <w:r>
                <w:rPr>
                  <w:rStyle w:val="InternetLink"/>
                  <w:rFonts w:ascii="Times New Roman" w:hAnsi="Times New Roman"/>
                  <w:color w:val="0000FF"/>
                  <w:sz w:val="20"/>
                  <w:u w:val="single"/>
                </w:rPr>
                <w:t>Condensed Consolidated Statements of Cash Flows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llc">
              <w:r>
                <w:rPr>
                  <w:rStyle w:val="InternetLink"/>
                  <w:rFonts w:ascii="Times New Roman" w:hAnsi="Times New Roman"/>
                  <w:color w:val="0000FF"/>
                  <w:sz w:val="20"/>
                  <w:u w:val="single"/>
                </w:rPr>
                <w:t>Notes to Unaudited Condensed Consolidated Financial Statements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
              <w:r>
                <w:rPr>
                  <w:rStyle w:val="InternetLink"/>
                  <w:rFonts w:ascii="Times New Roman" w:hAnsi="Times New Roman"/>
                  <w:color w:val="0000FF"/>
                  <w:sz w:val="20"/>
                  <w:u w:val="single"/>
                </w:rPr>
                <w:t>Management’s Discussion and Analysis of Financial Condition and Results of Operations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3_quantitative">
              <w:r>
                <w:rPr>
                  <w:rStyle w:val="InternetLink"/>
                  <w:rFonts w:ascii="Times New Roman" w:hAnsi="Times New Roman"/>
                  <w:color w:val="0000FF"/>
                  <w:sz w:val="20"/>
                  <w:u w:val="single"/>
                </w:rPr>
                <w:t>Quantitative and Qualitative Disclosures About Market Risk</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4_controlsandprocedures">
              <w:r>
                <w:rPr>
                  <w:rStyle w:val="InternetLink"/>
                  <w:rFonts w:ascii="Times New Roman" w:hAnsi="Times New Roman"/>
                  <w:color w:val="0000FF"/>
                  <w:sz w:val="20"/>
                  <w:u w:val="single"/>
                </w:rPr>
                <w:t>Controls and Procedures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
              <w:r>
                <w:rPr>
                  <w:rStyle w:val="InternetLink"/>
                  <w:rFonts w:ascii="Times New Roman" w:hAnsi="Times New Roman"/>
                  <w:color w:val="0000FF"/>
                  <w:sz w:val="20"/>
                  <w:u w:val="single"/>
                </w:rPr>
                <w:t>Unregistered Sales of Equity Securities and Use of Proceeds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r>
      <w:tr>
        <w:trPr/>
        <w:tc>
          <w:tcPr>
            <w:tcW w:w="82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Unless otherwise stated or the context otherwise requires, the terms “we,” “us,” and “our,” and similar references refer to Rani Therapeutics Holdings, Inc. (“Rani Holdings”) and its consolidated subsidiary, Rani Therapeutics, LLC (“Rani LLC”).</w:t>
      </w:r>
    </w:p>
    <w:p>
      <w:pPr>
        <w:pStyle w:val="TextBody"/>
        <w:bidi w:val="0"/>
        <w:jc w:val="center"/>
        <w:rPr/>
      </w:pPr>
      <w:r>
        <w:rPr/>
        <w:t> </w:t>
      </w:r>
    </w:p>
    <w:p>
      <w:pPr>
        <w:pStyle w:val="TextBody"/>
        <w:bidi w:val="0"/>
        <w:jc w:val="center"/>
        <w:rPr>
          <w:rFonts w:ascii="Times New Roman" w:hAnsi="Times New Roman"/>
          <w:b/>
          <w:color w:val="000000"/>
          <w:sz w:val="20"/>
        </w:rPr>
      </w:pPr>
      <w:bookmarkStart w:id="2" w:name="special_note_regarding_forward_looking_s"/>
      <w:bookmarkEnd w:id="2"/>
      <w:r>
        <w:rPr>
          <w:rFonts w:ascii="Times New Roman" w:hAnsi="Times New Roman"/>
          <w:b/>
          <w:color w:val="000000"/>
          <w:sz w:val="20"/>
        </w:rPr>
        <w:t>SPECIAL NOTE REGARDING FORWARD-LOOKING STATEMENTS</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This Quarterly Report on Form 10-Q, including the section titled "Management's Discussion and Analysis of Financial Condition and Results of Operations," contains forward-looking statements. All statements other than statements of historical facts contained in this Quarterly Report on Form 10-Q, including statements regarding our future results of operations and consolidated financial position, business strategy, product candidates, planned preclinical studies and clinical trials, results of clinical trials, research and development costs, manufacturing costs, regulatory approvals, development and advancement of our oral delivery technology, timing and likelihood of success, potential partnering activities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In some cases, you can identify forward-looking statements by terms such as “may,” “will,” “should,” “would,” “expect,” “plan,” “anticipate,” “could,” “intend,” “target,” “project,” “believe,” “estimate,” “predict,” “potential,” “seek,” “aim,” or “continue” or the negative of these terms or other similar expressions. Forward-looking statements contained in this Quarterly Report on Form 10-Q include, but are not limited to, statements about:</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selectively enter into strategic partnerships and the expected potential benefits thereof, including our collaborations with Chugai Pharmaceutical Co. Ltd., ProGen Co. Ltd. and PegBio Co. Ltd.;</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progress and focus of our current and future clinical trials in the United States and abroad, and the reporting of data from those trials;</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advance product candidates into and successfully complete clinical trials;</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beneficial characteristics, safety, efficacy, and therapeutic effects of our product candidates;</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potential and ability to successfully manufacture and supply our product candidates for clinical trials and for commercial use, if approved;</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complete development of the RaniPill HC or any redesign and conduct additional preclinical and clinical studies of the RaniPill HC or any future design of the RaniPill capsule to accommodate target payloads that are larger than the payload capacity of the RaniPill GO capsule;</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further develop and expand our platform technology;</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utilize our technology platform to generate and advance additional product candidates;</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accuracy of our estimates regarding expenses, future revenue, capital requirements, and needs for additional financing;</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financial performance;</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plans relating to commercializing our product candidates, if approved;</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implementation of our strategic plans for our business and product candidates;</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continue to scale and optimize our manufacturing processes, including by expanding our use of automation;</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estimates of the number of patients in the United States who suffer from the indications we target and the number of patients that will enroll in our clinical trials;</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size of the market opportunity for our product candidates in each of the indications we target;</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continue to innovate and expand our intellectual property by developing new applications of the RaniPill capsule;</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plans and ability to obtain or protect intellectual property rights, including extensions of existing patent terms where available;</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of protection we are able to establish and maintain for intellectual property rights, including our technology platform and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sufficiency of our existing cash and cash equivalents to fund our future operating expenses and capital expenditure requirements;</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realize savings from any restructuring plans or cost-containment measures;</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relating to our competitors and our industry, including competing product candidates and therapies;</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maintain the listing of our Class A common stock on the Nasdaq Global Market;</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remediate the material weaknesses in our internal controls over financial reporting;</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realization of any benefit from our organizational structure; and</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the period during which we will qualify as an emerging growth company under the Jumpstart Our Business Startups Act of 2012 (the “JOBS Act”).</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These forward-looking statements are subject to a number of risks, uncertainties, and assumptions described in the section titled “Risk Factors” in this Quarterly Report on Form 10-Q and in our Annual Report on Form 10-K filed with the Securities and Exchange Commission on March 26, 2026.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PART I. FINANCIAL INFORMATION</w:t>
        <w:br/>
        <w:t>Item 1.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RANI THERAPEUTICS HOLDINGS, INC.</w:t>
      </w:r>
    </w:p>
    <w:p>
      <w:pPr>
        <w:pStyle w:val="TextBody"/>
        <w:bidi w:val="0"/>
        <w:jc w:val="center"/>
        <w:rPr>
          <w:rFonts w:ascii="Times New Roman" w:hAnsi="Times New Roman"/>
          <w:sz w:val="20"/>
        </w:rPr>
      </w:pPr>
      <w:bookmarkStart w:id="3" w:name="balance_sheet_llc"/>
      <w:bookmarkEnd w:id="3"/>
      <w:r>
        <w:rPr>
          <w:rFonts w:ascii="Times New Roman" w:hAnsi="Times New Roman"/>
          <w:b/>
          <w:color w:val="000000"/>
          <w:sz w:val="20"/>
        </w:rPr>
        <w:t>CONDENSED CONSOLIDATED BALANCE SHEETS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par value)</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33"/>
        <w:gridCol w:w="146"/>
        <w:gridCol w:w="211"/>
        <w:gridCol w:w="841"/>
        <w:gridCol w:w="166"/>
        <w:gridCol w:w="146"/>
        <w:gridCol w:w="214"/>
        <w:gridCol w:w="856"/>
        <w:gridCol w:w="592"/>
      </w:tblGrid>
      <w:tr>
        <w:trPr/>
        <w:tc>
          <w:tcPr>
            <w:tcW w:w="70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r>
      <w:tr>
        <w:trPr/>
        <w:tc>
          <w:tcPr>
            <w:tcW w:w="70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33"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18,618</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3"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2,042</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3"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31,091</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3"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1,570</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33"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53,321</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3"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3"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right-of-use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4,318</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3"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33"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58,621</w:t>
            </w:r>
          </w:p>
        </w:tc>
        <w:tc>
          <w:tcPr>
            <w:tcW w:w="5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33"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3"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3,943</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3"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Current portion of 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6,831</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3"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Current portion of operating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1,586</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33"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12,669</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3"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Long-term 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1,708</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3"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liability, less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2,732</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33"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17,109</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Preferred stock, $0.0001 par value - 20,000 shares authorized; none issued and outstanding as of June 30, 2026 and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Class A common stock, $0.0001 par value - 800,000 shares authorized; 112,499 and 97,622 issued and outstanding as of June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Class B common stock, $0.0001 par value - 40,000 shares authorized; 23,970 and 23,970 issued and outstanding as of June 30, 2026 and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Class C common stock, $0.0001 par value - 20,000 shares authorized; none issued and outstanding as of June 30, 2026 and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3"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186,255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165,578</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3"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other comprehensive (loss)/gain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3"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(147,004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(132,580</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33"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stockholders' equity attributable to Rani Therapeutics Holdings,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33,010</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3"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8,502</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33"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41,512</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33"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58,621</w:t>
            </w:r>
          </w:p>
        </w:tc>
        <w:tc>
          <w:tcPr>
            <w:tcW w:w="5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RANI THERAPEUTICS HOLDINGS, INC.</w:t>
      </w:r>
    </w:p>
    <w:p>
      <w:pPr>
        <w:pStyle w:val="TextBody"/>
        <w:bidi w:val="0"/>
        <w:jc w:val="center"/>
        <w:rPr>
          <w:rFonts w:ascii="Times New Roman" w:hAnsi="Times New Roman"/>
          <w:b/>
          <w:caps/>
          <w:color w:val="000000"/>
          <w:sz w:val="20"/>
        </w:rPr>
      </w:pPr>
      <w:bookmarkStart w:id="4" w:name="statements_of_operations"/>
      <w:bookmarkEnd w:id="4"/>
      <w:r>
        <w:rPr>
          <w:rFonts w:ascii="Times New Roman" w:hAnsi="Times New Roman"/>
          <w:b/>
          <w:caps/>
          <w:color w:val="000000"/>
          <w:sz w:val="20"/>
        </w:rPr>
        <w:t>CONDENSED Consolidated Statements of Operations</w:t>
      </w:r>
    </w:p>
    <w:p>
      <w:pPr>
        <w:pStyle w:val="TextBody"/>
        <w:bidi w:val="0"/>
        <w:jc w:val="center"/>
        <w:rPr>
          <w:rFonts w:ascii="Times New Roman" w:hAnsi="Times New Roman"/>
          <w:sz w:val="20"/>
        </w:rPr>
      </w:pPr>
      <w:r>
        <w:rPr>
          <w:rFonts w:ascii="Times New Roman" w:hAnsi="Times New Roman"/>
          <w:b/>
          <w:color w:val="000000"/>
          <w:sz w:val="20"/>
        </w:rPr>
        <w:t>(in thousands, except per share amounts)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449"/>
        <w:gridCol w:w="146"/>
        <w:gridCol w:w="211"/>
        <w:gridCol w:w="783"/>
        <w:gridCol w:w="166"/>
        <w:gridCol w:w="146"/>
        <w:gridCol w:w="211"/>
        <w:gridCol w:w="737"/>
        <w:gridCol w:w="166"/>
        <w:gridCol w:w="146"/>
        <w:gridCol w:w="211"/>
        <w:gridCol w:w="781"/>
        <w:gridCol w:w="166"/>
        <w:gridCol w:w="146"/>
        <w:gridCol w:w="211"/>
        <w:gridCol w:w="736"/>
        <w:gridCol w:w="793"/>
      </w:tblGrid>
      <w:tr>
        <w:trPr/>
        <w:tc>
          <w:tcPr>
            <w:tcW w:w="44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r>
      <w:tr>
        <w:trPr/>
        <w:tc>
          <w:tcPr>
            <w:tcW w:w="44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49"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12,075</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49"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10,615</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449"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10,536</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7"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10,505</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20,583</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22,690</w:t>
            </w:r>
          </w:p>
        </w:tc>
        <w:tc>
          <w:tcPr>
            <w:tcW w:w="793"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600"/>
              <w:jc w:val="left"/>
              <w:rPr/>
            </w:pPr>
            <w:r>
              <w:rPr/>
              <w:t> </w:t>
            </w:r>
          </w:p>
        </w:tc>
      </w:tr>
      <w:tr>
        <w:trPr/>
        <w:tc>
          <w:tcPr>
            <w:tcW w:w="4449" w:type="dxa"/>
            <w:tcBorders/>
            <w:shd w:fill="FFFFFF"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(22,518</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49"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income and other,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49"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expense and other,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(1,819</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(23,962</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449"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Net loss attributable to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(10,006</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Rani Therapeutics Holdings,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(13,956</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449"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Net loss per Class A common share attributable to Rani Therapeutics Holdings, Inc.,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(0.40</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Class A common shares outstanding—basic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187,168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36,542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34,999</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RANI THERAPEUTICS HOLDINGS, INC.</w:t>
      </w:r>
    </w:p>
    <w:p>
      <w:pPr>
        <w:pStyle w:val="TextBody"/>
        <w:bidi w:val="0"/>
        <w:jc w:val="center"/>
        <w:rPr>
          <w:rFonts w:ascii="Times New Roman" w:hAnsi="Times New Roman"/>
          <w:sz w:val="20"/>
        </w:rPr>
      </w:pPr>
      <w:bookmarkStart w:id="5" w:name="statements_of_comprehensive_loss"/>
      <w:bookmarkEnd w:id="5"/>
      <w:r>
        <w:rPr>
          <w:rFonts w:ascii="Times New Roman" w:hAnsi="Times New Roman"/>
          <w:b/>
          <w:caps/>
          <w:color w:val="000000"/>
          <w:sz w:val="20"/>
        </w:rPr>
        <w:t>CONDENSED Consolidated Statements of Comprehensive Loss</w:t>
      </w:r>
      <w:r>
        <w:rPr>
          <w:rFonts w:ascii="Times New Roman" w:hAnsi="Times New Roman"/>
          <w:caps/>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993"/>
        <w:gridCol w:w="146"/>
        <w:gridCol w:w="224"/>
        <w:gridCol w:w="672"/>
        <w:gridCol w:w="176"/>
        <w:gridCol w:w="155"/>
        <w:gridCol w:w="224"/>
        <w:gridCol w:w="783"/>
        <w:gridCol w:w="166"/>
        <w:gridCol w:w="146"/>
        <w:gridCol w:w="211"/>
        <w:gridCol w:w="736"/>
        <w:gridCol w:w="166"/>
        <w:gridCol w:w="146"/>
        <w:gridCol w:w="211"/>
        <w:gridCol w:w="736"/>
        <w:gridCol w:w="314"/>
      </w:tblGrid>
      <w:tr>
        <w:trPr/>
        <w:tc>
          <w:tcPr>
            <w:tcW w:w="49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49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(8,421</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(23,962</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993"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Net unrealized loss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(8,448</w:t>
            </w:r>
          </w:p>
        </w:tc>
        <w:tc>
          <w:tcPr>
            <w:tcW w:w="1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(16,474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(23,967</w:t>
            </w:r>
          </w:p>
        </w:tc>
        <w:tc>
          <w:tcPr>
            <w:tcW w:w="314"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993"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Comprehensive loss attributable to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(12,311</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 attributable to Rani Therapeutics Holdings,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(7,413</w:t>
            </w:r>
          </w:p>
        </w:tc>
        <w:tc>
          <w:tcPr>
            <w:tcW w:w="1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(11,656</w:t>
            </w:r>
          </w:p>
        </w:tc>
        <w:tc>
          <w:tcPr>
            <w:tcW w:w="3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RANI THERAPEUTICS HOLDINGS, INC.</w:t>
      </w:r>
    </w:p>
    <w:p>
      <w:pPr>
        <w:pStyle w:val="TextBody"/>
        <w:bidi w:val="0"/>
        <w:jc w:val="center"/>
        <w:rPr>
          <w:rFonts w:ascii="Times New Roman" w:hAnsi="Times New Roman"/>
          <w:b/>
          <w:caps/>
          <w:color w:val="000000"/>
          <w:sz w:val="20"/>
        </w:rPr>
      </w:pPr>
      <w:bookmarkStart w:id="6" w:name="statements_of_changes_llc"/>
      <w:bookmarkEnd w:id="6"/>
      <w:r>
        <w:rPr>
          <w:rFonts w:ascii="Times New Roman" w:hAnsi="Times New Roman"/>
          <w:b/>
          <w:caps/>
          <w:color w:val="000000"/>
          <w:sz w:val="20"/>
        </w:rPr>
        <w:t>CONDENSED Consolidated Statements of Changes in STOCKHOLDERS’ Equity</w:t>
      </w:r>
    </w:p>
    <w:p>
      <w:pPr>
        <w:pStyle w:val="TextBody"/>
        <w:bidi w:val="0"/>
        <w:jc w:val="center"/>
        <w:rPr>
          <w:rFonts w:ascii="Times New Roman" w:hAnsi="Times New Roman"/>
          <w:sz w:val="20"/>
        </w:rPr>
      </w:pPr>
      <w:r>
        <w:rPr>
          <w:rFonts w:ascii="Times New Roman" w:hAnsi="Times New Roman"/>
          <w:b/>
          <w:color w:val="000000"/>
          <w:sz w:val="20"/>
        </w:rPr>
        <w:t>(in thousands)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pPr>
      <w:r>
        <w:rPr/>
        <w:t> </w:t>
      </w:r>
    </w:p>
    <w:p>
      <w:pPr>
        <w:pStyle w:val="TextBody"/>
        <w:bidi w:val="0"/>
        <w:jc w:val="left"/>
        <w:rPr/>
      </w:pPr>
      <w:r>
        <w:rPr/>
        <w:t> </w:t>
      </w:r>
    </w:p>
    <w:tbl>
      <w:tblPr>
        <w:tblW w:w="11627" w:type="dxa"/>
        <w:jc w:val="left"/>
        <w:tblInd w:w="0" w:type="dxa"/>
        <w:tblLayout w:type="fixed"/>
        <w:tblCellMar>
          <w:top w:w="28" w:type="dxa"/>
          <w:left w:w="28" w:type="dxa"/>
          <w:bottom w:w="28" w:type="dxa"/>
          <w:right w:w="28" w:type="dxa"/>
        </w:tblCellMar>
      </w:tblPr>
      <w:tblGrid>
        <w:gridCol w:w="1246"/>
        <w:gridCol w:w="146"/>
        <w:gridCol w:w="146"/>
        <w:gridCol w:w="691"/>
        <w:gridCol w:w="146"/>
        <w:gridCol w:w="146"/>
        <w:gridCol w:w="206"/>
        <w:gridCol w:w="365"/>
        <w:gridCol w:w="146"/>
        <w:gridCol w:w="146"/>
        <w:gridCol w:w="146"/>
        <w:gridCol w:w="601"/>
        <w:gridCol w:w="146"/>
        <w:gridCol w:w="146"/>
        <w:gridCol w:w="206"/>
        <w:gridCol w:w="365"/>
        <w:gridCol w:w="146"/>
        <w:gridCol w:w="146"/>
        <w:gridCol w:w="196"/>
        <w:gridCol w:w="691"/>
        <w:gridCol w:w="166"/>
        <w:gridCol w:w="146"/>
        <w:gridCol w:w="369"/>
        <w:gridCol w:w="652"/>
        <w:gridCol w:w="166"/>
        <w:gridCol w:w="146"/>
        <w:gridCol w:w="196"/>
        <w:gridCol w:w="751"/>
        <w:gridCol w:w="166"/>
        <w:gridCol w:w="146"/>
        <w:gridCol w:w="280"/>
        <w:gridCol w:w="816"/>
        <w:gridCol w:w="166"/>
        <w:gridCol w:w="146"/>
        <w:gridCol w:w="228"/>
        <w:gridCol w:w="703"/>
        <w:gridCol w:w="211"/>
      </w:tblGrid>
      <w:tr>
        <w:trPr/>
        <w:tc>
          <w:tcPr>
            <w:tcW w:w="1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Class A 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Class B 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br/>
              <w:t>Paid In</w:t>
              <w:b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br/>
              <w:t>Other</w:t>
              <w:br/>
              <w:t>Comprehensive</w:t>
              <w:br/>
              <w:t>Gain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Non-Controlling</w:t>
              <w:br/>
              <w:t>Interest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br/>
              <w:t>Stockholders'</w:t>
              <w:b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97,622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23,970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165,578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(132,580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41,512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under employee equity plans, net of shares withheld for tax settlement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Exercise of Pre-funded Warrants in connection with the Private Placement, net of issuance cost of ($5)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Non-controlling interest adjustment for changes in proportionate ownership in Rani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2,084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(8,015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99,813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23,970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168,015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(139,613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35,543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and pre-funded warrants in connection with the May 2026 Securities Purchase Agreement, net of issuance costs of $1,641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18,359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under employee equity plans, net of shares withheld for tax settlement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from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under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Non-controlling interest adjustment for changes in proportionate ownership in Rani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(8,421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112,499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23,970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186,255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(147,004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47,985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RANI THERAPEUTICS HOLDINGS, INC.</w:t>
      </w:r>
    </w:p>
    <w:p>
      <w:pPr>
        <w:pStyle w:val="TextBody"/>
        <w:bidi w:val="0"/>
        <w:jc w:val="center"/>
        <w:rPr>
          <w:rFonts w:ascii="Times New Roman" w:hAnsi="Times New Roman"/>
          <w:b/>
          <w:caps/>
          <w:color w:val="000000"/>
          <w:sz w:val="20"/>
        </w:rPr>
      </w:pPr>
      <w:r>
        <w:rPr>
          <w:rFonts w:ascii="Times New Roman" w:hAnsi="Times New Roman"/>
          <w:b/>
          <w:caps/>
          <w:color w:val="000000"/>
          <w:sz w:val="20"/>
        </w:rPr>
        <w:t>CONDENSED Consolidated Statements of Changes in STOCKHOLDERS’ (DEFICIT)/Equity</w:t>
      </w:r>
    </w:p>
    <w:p>
      <w:pPr>
        <w:pStyle w:val="TextBody"/>
        <w:bidi w:val="0"/>
        <w:jc w:val="center"/>
        <w:rPr>
          <w:rFonts w:ascii="Times New Roman" w:hAnsi="Times New Roman"/>
          <w:sz w:val="20"/>
        </w:rPr>
      </w:pPr>
      <w:r>
        <w:rPr>
          <w:rFonts w:ascii="Times New Roman" w:hAnsi="Times New Roman"/>
          <w:b/>
          <w:color w:val="000000"/>
          <w:sz w:val="20"/>
        </w:rPr>
        <w:t>(in thousands)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tbl>
      <w:tblPr>
        <w:tblW w:w="11767" w:type="dxa"/>
        <w:jc w:val="left"/>
        <w:tblInd w:w="0" w:type="dxa"/>
        <w:tblLayout w:type="fixed"/>
        <w:tblCellMar>
          <w:top w:w="28" w:type="dxa"/>
          <w:left w:w="28" w:type="dxa"/>
          <w:bottom w:w="28" w:type="dxa"/>
          <w:right w:w="28" w:type="dxa"/>
        </w:tblCellMar>
      </w:tblPr>
      <w:tblGrid>
        <w:gridCol w:w="1456"/>
        <w:gridCol w:w="146"/>
        <w:gridCol w:w="146"/>
        <w:gridCol w:w="601"/>
        <w:gridCol w:w="146"/>
        <w:gridCol w:w="146"/>
        <w:gridCol w:w="206"/>
        <w:gridCol w:w="365"/>
        <w:gridCol w:w="146"/>
        <w:gridCol w:w="146"/>
        <w:gridCol w:w="146"/>
        <w:gridCol w:w="601"/>
        <w:gridCol w:w="166"/>
        <w:gridCol w:w="146"/>
        <w:gridCol w:w="206"/>
        <w:gridCol w:w="365"/>
        <w:gridCol w:w="146"/>
        <w:gridCol w:w="146"/>
        <w:gridCol w:w="196"/>
        <w:gridCol w:w="691"/>
        <w:gridCol w:w="166"/>
        <w:gridCol w:w="146"/>
        <w:gridCol w:w="369"/>
        <w:gridCol w:w="652"/>
        <w:gridCol w:w="166"/>
        <w:gridCol w:w="146"/>
        <w:gridCol w:w="196"/>
        <w:gridCol w:w="751"/>
        <w:gridCol w:w="166"/>
        <w:gridCol w:w="146"/>
        <w:gridCol w:w="280"/>
        <w:gridCol w:w="816"/>
        <w:gridCol w:w="166"/>
        <w:gridCol w:w="146"/>
        <w:gridCol w:w="212"/>
        <w:gridCol w:w="719"/>
        <w:gridCol w:w="211"/>
      </w:tblGrid>
      <w:tr>
        <w:trPr/>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Class A 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Class B 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br/>
              <w:t>Paid In</w:t>
              <w:b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br/>
              <w:t>Other</w:t>
              <w:br/>
              <w:t>Comprehensive</w:t>
              <w:b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Non-Controlling</w:t>
              <w:br/>
              <w:t>Interest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Total</w:t>
              <w:br/>
              <w:t>Stockholders'</w:t>
              <w:br/>
              <w:t>(Deficit)/Equity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33,430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23,972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104,889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(102,907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3,493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under employee equity plans, net of shares withheld for tax settlement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Non-controlling interest adjustment for changes in proportionate ownership in Rani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(12,738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33,570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23,972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107,108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(110,171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(5,349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Exercise of warrants issued in connection with the October 2024 and July 2024 - Securities Purchase Agreement, net of issuance costs of $340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3,937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 issued for services provided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under employee equity plans, net of shares withheld for tax settlement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under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Effect of exchanges of Paired Interests and non-corresponding Class A Units of Rani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Non-controlling interest adjustment for changes in proportionate ownership in Rani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3,292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(11,224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39,237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23,970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111,280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(116,863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(9,153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RANI THERAPEUTICS HOLDINGS, INC.</w:t>
      </w:r>
    </w:p>
    <w:p>
      <w:pPr>
        <w:pStyle w:val="TextBody"/>
        <w:bidi w:val="0"/>
        <w:jc w:val="center"/>
        <w:rPr>
          <w:rFonts w:ascii="Times New Roman" w:hAnsi="Times New Roman"/>
          <w:sz w:val="20"/>
        </w:rPr>
      </w:pPr>
      <w:bookmarkStart w:id="7" w:name="cash_flows_llc"/>
      <w:bookmarkEnd w:id="7"/>
      <w:r>
        <w:rPr>
          <w:rFonts w:ascii="Times New Roman" w:hAnsi="Times New Roman"/>
          <w:b/>
          <w:color w:val="000000"/>
          <w:sz w:val="20"/>
        </w:rPr>
        <w:t>CONDENSED 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7151"/>
        <w:gridCol w:w="146"/>
        <w:gridCol w:w="219"/>
        <w:gridCol w:w="766"/>
        <w:gridCol w:w="172"/>
        <w:gridCol w:w="151"/>
        <w:gridCol w:w="219"/>
        <w:gridCol w:w="766"/>
        <w:gridCol w:w="615"/>
      </w:tblGrid>
      <w:tr>
        <w:trPr/>
        <w:tc>
          <w:tcPr>
            <w:tcW w:w="7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7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Six Months Ended June 30,</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2026</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2025</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(16,436</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(23,962</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7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5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4,508</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7,217</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313</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491</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Non-cash operating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954</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955</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Amortization of debt discount and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116</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Net accretion and amortization of investments in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(511</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(158</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715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Warrant issued for services provided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152</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5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428</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480</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820</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345</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439</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(806</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558</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(3,416</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Other long-term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(47</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715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(954</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(954</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w:t>
            </w:r>
          </w:p>
        </w:tc>
      </w:tr>
      <w:tr>
        <w:trPr/>
        <w:tc>
          <w:tcPr>
            <w:tcW w:w="7151"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9"/>
              </w:rPr>
            </w:pPr>
            <w:r>
              <w:rPr>
                <w:rFonts w:ascii="Times New Roman" w:hAnsi="Times New Roman"/>
                <w:color w:val="000000"/>
                <w:sz w:val="19"/>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(15,523</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(13,945</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7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Proceeds from maturities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40,951</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26,750</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Purchases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(57,910</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(2,720</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7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(47</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(88</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w:t>
            </w:r>
          </w:p>
        </w:tc>
      </w:tr>
      <w:tr>
        <w:trPr/>
        <w:tc>
          <w:tcPr>
            <w:tcW w:w="715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9"/>
              </w:rPr>
            </w:pPr>
            <w:r>
              <w:rPr>
                <w:rFonts w:ascii="Times New Roman" w:hAnsi="Times New Roman"/>
                <w:color w:val="000000"/>
                <w:sz w:val="19"/>
              </w:rPr>
              <w:t>Net cash (used in)/provided by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(17,006</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23,942</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exercise of warrants for common stock,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3,937</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issuance of common stock and pre-funded warrants in connection with the May 2026 Securities Purchase Agreement, net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18,699</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of Pre-funded Warrants in connection with the Private Placement,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under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54</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46</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the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62</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withholdings paid on behalf of employees for net share settlement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(41</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(31</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7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Repayment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(7,500</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w:t>
            </w:r>
          </w:p>
        </w:tc>
      </w:tr>
      <w:tr>
        <w:trPr/>
        <w:tc>
          <w:tcPr>
            <w:tcW w:w="715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9"/>
              </w:rPr>
            </w:pPr>
            <w:r>
              <w:rPr>
                <w:rFonts w:ascii="Times New Roman" w:hAnsi="Times New Roman"/>
                <w:color w:val="000000"/>
                <w:sz w:val="19"/>
              </w:rPr>
              <w:t>Net cash provided by/(used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18,779</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(3,543</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w:t>
            </w:r>
          </w:p>
        </w:tc>
      </w:tr>
      <w:tr>
        <w:trPr/>
        <w:tc>
          <w:tcPr>
            <w:tcW w:w="7151"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9"/>
              </w:rPr>
            </w:pPr>
            <w:r>
              <w:rPr>
                <w:rFonts w:ascii="Times New Roman" w:hAnsi="Times New Roman"/>
                <w:color w:val="000000"/>
                <w:sz w:val="19"/>
              </w:rPr>
              <w:t>Net (decrease)/increase in cash, cash equivalents and restricted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(13,750</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6,454</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equivalents,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18,818</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4,262</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equivalents,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5,068</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10,716</w:t>
            </w:r>
          </w:p>
        </w:tc>
        <w:tc>
          <w:tcPr>
            <w:tcW w:w="6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disclosures of non-cash investing and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 receivable included in 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171</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w:t>
            </w:r>
          </w:p>
        </w:tc>
        <w:tc>
          <w:tcPr>
            <w:tcW w:w="6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Exchanges of non-corresponding Class A Units of Rani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63</w:t>
            </w:r>
          </w:p>
        </w:tc>
        <w:tc>
          <w:tcPr>
            <w:tcW w:w="6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2026 Securities Purchase Agreement issuance costs included in 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340</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purchases included in 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55</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loss on 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(38</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RANI THERAPEUTICS HOLDINGS, INC.</w:t>
      </w:r>
    </w:p>
    <w:p>
      <w:pPr>
        <w:pStyle w:val="TextBody"/>
        <w:bidi w:val="0"/>
        <w:jc w:val="center"/>
        <w:rPr>
          <w:rFonts w:ascii="Times New Roman" w:hAnsi="Times New Roman"/>
          <w:sz w:val="20"/>
        </w:rPr>
      </w:pPr>
      <w:bookmarkStart w:id="8" w:name="notes_llc"/>
      <w:bookmarkEnd w:id="8"/>
      <w:r>
        <w:rPr>
          <w:rFonts w:ascii="Times New Roman" w:hAnsi="Times New Roman"/>
          <w:b/>
          <w:caps/>
          <w:color w:val="000000"/>
          <w:sz w:val="20"/>
        </w:rPr>
        <w:t>Notes to THE UNAUDITED CONDENSED Consolidated Financial Statements</w:t>
      </w:r>
      <w:r>
        <w:rPr>
          <w:rFonts w:ascii="Times New Roman" w:hAnsi="Times New Roman"/>
          <w:caps/>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1. Nature of Business, Organization and Liquidity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Description of Business</w:t>
      </w:r>
      <w:r>
        <w:rPr>
          <w:rFonts w:ascii="Times New Roman" w:hAnsi="Times New Roman"/>
          <w:color w:val="000000"/>
          <w:sz w:val="20"/>
        </w:rPr>
        <w:t xml:space="preserve"> </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Rani Therapeutics Holdings, Inc. (“Rani Holdings”, and together with its consolidated subsidiary, the “Company”) is a clinical-stage biotherapeutics company focusing on advancing technologies to enable the administration of biologics and drugs orally, to provide patients, physicians, and healthcare systems with a convenient alternative to painful injections. The Company’s technology comprises a drug-agnostic oral delivery platform, the RaniPill capsule, which is designed to deliver a wide variety of drug substances, including antibodies, proteins, peptides, and oligonucleotides. The Company is advancing a portfolio of oral therapeutics using the RaniPill capsule, and the Company is actively pursuing partnering the technology with third party biopharmaceutical companies for the oral delivery of their biologics and drugs. The Company is headquartered in San Jose, California and operates in one segment.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Organizational Transactions</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Rani Holdings was formed as a Delaware corporation in April 2021 for the purpose of facilitating an initial public offering (“IPO”) of its Class A common stock. In connection with the IPO, the Company effected a series of organizational transactions (the “Organizational Transactions”), which, together with the IPO, were completed in August 2021, that resulted in the Company becoming the ultimate parent company of Rani Therapeutics, LLC (“Rani LLC”). The Company operates its business through Rani LLC.</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As part of the Organizational Transactions, the Company entered into a Registration Rights Agreement with certain individuals and entities that continued to hold economic nonvoting Class A units of Rani LLC (“Class A Units”), collectively referred to herein as the “Continuing LLC Owners”. The Continuing LLC Owners are entitled to exchange, subject to the terms of the Sixth Amended and Restated Limited Liability Company Agreement of Rani LLC (the “Amended Rani LLC Agreement”), the Class A Units they hold in Rani LLC, together with the shares they hold of the Company Class B common stock (together referred to as a "Paired Interest"), in return for shares of the Company’s Class A common stock on a one-for-one basis provided that, at the Company’s election, the Company has the ability to effect a direct exchange of such Class A common stock or make a cash payment equal to a volume weighted average market price of one share of Class A common stock for each Paired Interest redeemed. Any shares of Class B common stock will be canceled on a one-for-one basis if, at the election of the Continuing LLC Owners, the Company redeems or exchanges such Paired Interest pursuant to the terms of the Amended Rani LLC Agreement. As of June 30, 2026, certain individuals who continue to own interests in Rani LLC but do not hold shares of the Company’s Class B common stock (“non-corresponding Class A Units”) have the ability to exchange their non-corresponding Class A Units of Rani LLC for 1,124,194 shares of the Company’s Class A common stock.</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Liquidity</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 xml:space="preserve">The Company has incurred recurring losses and negative cash flows from operations since its inception, including net loss of $16.4 million for the six months ended June 30, 2026. The Company had negative cash flows from operations of $15.5 million for the six months ended June 30, 2026. The Company expects that its cash, cash equivalents and marketable securities of $53.4 million as of June 30, 2026, will be sufficient to fund its operations through at least twelve months from the date that its condensed consolidated financial statements for the six months ended June 30, 2026 are issued. </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The Company expects to continue to generate operating losses and negative operating cash flows for the foreseeable future as it continues to develop the RaniPill capsule. The Company expects to finance its future operations with its existing cash and through strategic financing opportunities that could include, but are not limited to, future offerings of its equity, collaboration or licensing agreements, or the incurrence of debt. However, there is no guarantee that any of these strategic or financing opportunities will be executed or realized on favorable terms, if at all. The Company will not generate any revenue from product sales unless, and until, it successfully completes clinical development and obtains regulatory approval of its product candidates. While the Company may generate collaboration or license revenue prior to product approval, the timing and amount of such revenue are inherently uncertain. If the Company obtains regulatory approval for the RaniPill capsule, it expects to incur significant expenses related to developing its internal commercialization capability to support manufacturing, product sales, marketing, and distribution.</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The Company’s ability to raise additional capital through either the issuance of equity or debt is dependent on a number of factors including, but not limited to, the market interest of the Company, which itself is subject to a number of development and business risks and uncertainties, as well as the uncertainty that the Company would be able to raise such additional capital at a price or on terms that are favorable to the Company.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both"/>
        <w:rPr/>
      </w:pPr>
      <w:r>
        <w:rPr/>
        <w:t> </w:t>
      </w:r>
    </w:p>
    <w:p>
      <w:pPr>
        <w:pStyle w:val="TextBody"/>
        <w:bidi w:val="0"/>
        <w:spacing w:before="40" w:after="283"/>
        <w:jc w:val="left"/>
        <w:rPr>
          <w:rFonts w:ascii="Times New Roman" w:hAnsi="Times New Roman"/>
          <w:sz w:val="20"/>
        </w:rPr>
      </w:pPr>
      <w:r>
        <w:rPr>
          <w:rFonts w:ascii="Times New Roman" w:hAnsi="Times New Roman"/>
          <w:b/>
          <w:color w:val="000000"/>
          <w:sz w:val="20"/>
        </w:rPr>
        <w:t>2. Summary of Significant Accounting Policies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Basis of Presentation</w:t>
      </w:r>
      <w:r>
        <w:rPr>
          <w:rFonts w:ascii="Times New Roman" w:hAnsi="Times New Roman"/>
          <w:color w:val="000000"/>
          <w:sz w:val="20"/>
        </w:rPr>
        <w:t xml:space="preserve"> </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These condensed consolidated financial statements have been prepared in accordance with accounting principles generally accepted in the United States of America (“U.S. GAAP”).</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The Company operates and controls all of the business and affairs of Rani LLC and, through Rani LLC conducts its business. Because the Company manages and operates the business and controls the strategic decisions and day-to-day operations of Rani LLC and also has a substantial financial interest in Rani LLC, the Company consolidates the financial results of Rani LLC, and a portion of its net loss is allocated to the non-controlling interests in Rani LLC held by the Continuing LLC Owners. All intercompany accounts and transactions have been eliminated in consolidation.</w:t>
      </w:r>
    </w:p>
    <w:p>
      <w:pPr>
        <w:pStyle w:val="TextBody"/>
        <w:bidi w:val="0"/>
        <w:ind w:left="0" w:right="0" w:firstLine="979"/>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Unaudited Interim Condensed Consolidated Financial Statements</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The accompanying condensed consolidated financial statements have been prepared in accordance with U.S. GAAP for interim financial information and pursuant to Form 10-Q of Regulation S-X of the Securities and Exchange Commission (“SEC”). Accordingly, they do not include all of the information and footnotes required by U.S. GAAP for complete financial statements. These unaudited condensed consolidated financial statements include all adjustments necessary to fairly state the financial position and the results of the Company's operations and cash flows for interim periods in accordance with U.S. GAAP. All such adjustments are of a normal, recurring nature. Operating results for the three and six months ended June 30, 2026 are not necessarily indicative of the results that may be expected for the year ending December 31, 2026 or for any future period.</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The consolidated balance sheet as of December 31, 2025 included herein was derived from the audited consolidated financial statements as of that date. Certain information and footnote disclosures normally included in annual financial statements prepared in accordance with U.S. GAAP have been condensed or omitted. Therefore, these interim condensed consolidated financial statements should be read in conjunction with the 2025 consolidated financial statements and notes included in the Company’s Annual Report on Form 10-K filed with the SEC on March 26, 2026.</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Use of Estimates</w:t>
      </w:r>
      <w:r>
        <w:rPr>
          <w:rFonts w:ascii="Times New Roman" w:hAnsi="Times New Roman"/>
          <w:color w:val="000000"/>
          <w:sz w:val="20"/>
        </w:rPr>
        <w:t xml:space="preserve"> </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The preparation of the condensed consolidated financial statements in conformity with U.S. GAAP requires management to make estimates and assumptions that affect the reported amounts of assets, liabilities, revenue and expenses and the disclosure of contingent assets and liabilities in the Company’s condensed consolidated financial statements and accompanying notes. The Company evaluates its estimates on an ongoing basis. The Company bases its estimates on its historical experience and also on assumptions that the Company believes are reasonable; however, actual results may differ materially and adversely from these estimates.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Significant Accounting Policies</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A description of the Company’s significant accounting policies is included in the audited consolidated financial statements within its Annual Report on Form 10-K for the year ended December 31, 2025. Except as noted below, there have been no material changes in the Company’s significant accounting policies during the six months ended June 30, 2026.</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Cash, Cash Equivalents and Restricted Cash Equivalents</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The following table provides a reconciliation of cash, cash equivalents and restricted cash equivalents reported as a component of prepaid expenses and other current assets on the condensed consolidated balance sheet which, in aggregate, represents the amount reported in the condensed consolidated statements of cash flows for the six months ended June 30, 2026 and 2025:</w:t>
      </w:r>
    </w:p>
    <w:tbl>
      <w:tblPr>
        <w:tblW w:w="7434" w:type="dxa"/>
        <w:jc w:val="left"/>
        <w:tblInd w:w="0" w:type="dxa"/>
        <w:tblLayout w:type="fixed"/>
        <w:tblCellMar>
          <w:top w:w="28" w:type="dxa"/>
          <w:left w:w="28" w:type="dxa"/>
          <w:bottom w:w="28" w:type="dxa"/>
          <w:right w:w="28" w:type="dxa"/>
        </w:tblCellMar>
      </w:tblPr>
      <w:tblGrid>
        <w:gridCol w:w="5036"/>
        <w:gridCol w:w="146"/>
        <w:gridCol w:w="211"/>
        <w:gridCol w:w="571"/>
        <w:gridCol w:w="146"/>
        <w:gridCol w:w="146"/>
        <w:gridCol w:w="211"/>
        <w:gridCol w:w="676"/>
        <w:gridCol w:w="291"/>
      </w:tblGrid>
      <w:tr>
        <w:trPr/>
        <w:tc>
          <w:tcPr>
            <w:tcW w:w="5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5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10,216</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03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cash, cash equivalents and restricted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10,716</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Accounts Receivable and Allowance for Credit Losses</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Accounts receivable primarily consist of amounts due from customers under revenue arrangements. Receivables are recorded when revenue is recognized and are recorded net of any allowance for current expected credit losses measured based on historical experience, current conditions, and reasonable and supportable forecasts. The Company evaluates its accounts receivable for expected credit losses in accordance with ASC 326 “Financial Instruments - Credit Losses” (“ASC 326”). Receivables are primarily due from collaboration partners and government agencies with strong credit profiles. The Company has no history of credit losses with these counterparties and collection has historically occurred within contractual terms. As of June 30, 2026 and December 31, 2025, the Company has determined that no allowance for credit losses was required, and no write-offs or recoveries were recognized during both periods.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Contract Balances</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A contract asset is created when the Company satisfies a performance obligation by transferring a promised good or service to the customer. Contract assets represent conditional rights to consideration when the Company must first satisfy another performance obligation in the contract before it is entitled to payment from the customer. Contract assets are transferred to accounts receivable once the right to consideration becomes unconditional and presented separately from contract assets. A right is unconditional if nothing other than the passage of time is required before payment of that consideration is due. During the six months ended June 30, 2026, net change on contract asset balance due to timing of billing, payment and recognition was $0.</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 xml:space="preserve">Contract liabilities are recorded as deferred revenue on the condensed consolidated balance sheets and include payments received in advance of performance obligations or where the Company has unsatisfied performance obligations. </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 xml:space="preserve">Significant changes in contract liabilities (deferred revenue) in the six months ended June 30, 2026 were as follows (in thousands): </w:t>
        <w:br/>
        <w:t> </w:t>
      </w:r>
    </w:p>
    <w:tbl>
      <w:tblPr>
        <w:tblW w:w="4560" w:type="dxa"/>
        <w:jc w:val="left"/>
        <w:tblInd w:w="0" w:type="dxa"/>
        <w:tblLayout w:type="fixed"/>
        <w:tblCellMar>
          <w:top w:w="28" w:type="dxa"/>
          <w:left w:w="28" w:type="dxa"/>
          <w:bottom w:w="28" w:type="dxa"/>
          <w:right w:w="28" w:type="dxa"/>
        </w:tblCellMar>
      </w:tblPr>
      <w:tblGrid>
        <w:gridCol w:w="3361"/>
        <w:gridCol w:w="146"/>
        <w:gridCol w:w="211"/>
        <w:gridCol w:w="631"/>
        <w:gridCol w:w="211"/>
      </w:tblGrid>
      <w:tr>
        <w:trPr/>
        <w:tc>
          <w:tcPr>
            <w:tcW w:w="3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recognized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Recently Adopted Accounting Pronouncements</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In July 2025, the Financial Accounting Standards Board (the "FASB") issued Accounting Standards Update ("ASU") 2025</w:t>
        <w:noBreakHyphen/>
        <w:t>05, Financial Instruments - Credit Losses (Topic 326): Measurement of Credit Losses for Accounts Receivable and Contract Assets ("ASU 2025</w:t>
        <w:noBreakHyphen/>
        <w:t>05"), which amends the guidance for estimating expected credit losses for financial assets within the scope of ASC 326. The amendments allow all entities to elect a practical expedient to assume that the current conditions as of the balance sheet date will remain unchanged for the remaining life of the asset when developing a reasonable and supportable forecast as part of estimating expected credit losses on these assets. Entities are required to disclose their practical expedient and accounting policy elections. The guidance is effective for fiscal years beginning after December 15, 2025, and interim periods within those fiscal years. The Company adopted ASU 2025-05 effective January 1, 2026. The Company elected the practical expedient and adoption did not have a material impact on its condensed consolidated financial statements.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Recently Issued Accounting Pronouncements Not Yet Adopted</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In December 2025, the FASB issued ASU 2025-11, Interim Reporting (Topic 270): Narrow-Scope Improvements ("ASU 2025</w:t>
        <w:noBreakHyphen/>
        <w:t>11"). The amendments clarify the scope of interim reporting guidance in U.S. GAAP, consolidate interim disclosure requirements from other codification topics, and introduce a disclosure principle requiring entities to describe events occurring after the end of the most recent annual period that have a material effect on the entity. The ASU is effective for annual periods beginning after December 15, 2027 and for interim periods within fiscal years beginning after December 15, 2028. Early adoption is permitted. The Company is currently evaluating the effect of this update; however, because the amendments primarily clarify existing interim reporting requirements and do not significantly expand disclosure obligations, the Company does not expect the ASU to have a material impact on its condensed consolidated financial statements.</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In November 2024, the FASB issued ASU 2024-03, Income Statement - Reporting Comprehensive Income - Expense Disaggregation Disclosures (Subtopic 220-40) ("ASU 2024-03"). ASU 2024-03 provides disaggregated information about certain income statement costs and expenses. This guidance is effective for the Company’s annual periods beginning after December 15, 2026, and interim reporting periods beginning after December 15, 2027, with early adoption permitted. The Company is evaluating the impact of this guidance on its condensed consolidated financial statements and related disclosures.</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 xml:space="preserve">In October 2023, the FASB issued ASU 2023-06, Disclosure Improvements: Codification Amendments in Response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SEC’s Disclosure Update and Simplification Initiative, to incorporate several SEC disclosure requirements into a variety of topics in the FASB codification. These amendments align the requirements in the ASC with the removal of certain disclosure requirements set out in Regulation S-X and Regulation S-K, announced by the SEC. The effective date for each amended topic in the ASC is either the date on which the SEC’s removal of the related disclosure requirement from Regulation S-X or Regulation S-K becomes effective, or on June 30, 2027, if the SEC has not removed the requirements by that date. Early adoption is prohibited. The Company does not expect that the application of this standard will have a material impact on its condensed consolidated financial statements or disclosures. </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3. Cash Equivalents, Restricted Cash Equivalents and Marketable Securities</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The following tables summarize the amortized cost and fair value of the Company's cash equivalents, restricted cash equivalents and marketable securities by major investment category (in thousands):</w:t>
      </w:r>
    </w:p>
    <w:p>
      <w:pPr>
        <w:pStyle w:val="TextBody"/>
        <w:bidi w:val="0"/>
        <w:ind w:left="0" w:right="0" w:firstLine="979"/>
        <w:jc w:val="left"/>
        <w:rPr/>
      </w:pPr>
      <w:r>
        <w:rPr/>
        <w:t> </w:t>
      </w:r>
    </w:p>
    <w:tbl>
      <w:tblPr>
        <w:tblW w:w="10205" w:type="dxa"/>
        <w:jc w:val="left"/>
        <w:tblInd w:w="0" w:type="dxa"/>
        <w:tblLayout w:type="fixed"/>
        <w:tblCellMar>
          <w:top w:w="28" w:type="dxa"/>
          <w:left w:w="28" w:type="dxa"/>
          <w:bottom w:w="28" w:type="dxa"/>
          <w:right w:w="28" w:type="dxa"/>
        </w:tblCellMar>
      </w:tblPr>
      <w:tblGrid>
        <w:gridCol w:w="4072"/>
        <w:gridCol w:w="146"/>
        <w:gridCol w:w="258"/>
        <w:gridCol w:w="827"/>
        <w:gridCol w:w="146"/>
        <w:gridCol w:w="146"/>
        <w:gridCol w:w="432"/>
        <w:gridCol w:w="711"/>
        <w:gridCol w:w="146"/>
        <w:gridCol w:w="146"/>
        <w:gridCol w:w="416"/>
        <w:gridCol w:w="743"/>
        <w:gridCol w:w="166"/>
        <w:gridCol w:w="146"/>
        <w:gridCol w:w="311"/>
        <w:gridCol w:w="999"/>
        <w:gridCol w:w="394"/>
      </w:tblGrid>
      <w:tr>
        <w:trPr/>
        <w:tc>
          <w:tcPr>
            <w:tcW w:w="40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40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9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 2026</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Fair Value</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072"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7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2,472</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72"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Restricted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7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072"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cash equivalents and restricted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2,672</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072"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7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Treasuries and agencies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38,276</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7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7,295</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7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2,952</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72"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27"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48,562</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4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99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48,523</w:t>
            </w:r>
          </w:p>
        </w:tc>
        <w:tc>
          <w:tcPr>
            <w:tcW w:w="39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40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equivalents, restricted cash equivalents and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51,234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51,195</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ind w:left="0" w:right="0" w:firstLine="979"/>
        <w:jc w:val="left"/>
        <w:rPr/>
      </w:pPr>
      <w:r>
        <w:rPr/>
        <w:t> </w:t>
      </w:r>
    </w:p>
    <w:tbl>
      <w:tblPr>
        <w:tblW w:w="10205" w:type="dxa"/>
        <w:jc w:val="left"/>
        <w:tblInd w:w="0" w:type="dxa"/>
        <w:tblLayout w:type="fixed"/>
        <w:tblCellMar>
          <w:top w:w="28" w:type="dxa"/>
          <w:left w:w="28" w:type="dxa"/>
          <w:bottom w:w="28" w:type="dxa"/>
          <w:right w:w="28" w:type="dxa"/>
        </w:tblCellMar>
      </w:tblPr>
      <w:tblGrid>
        <w:gridCol w:w="4072"/>
        <w:gridCol w:w="146"/>
        <w:gridCol w:w="258"/>
        <w:gridCol w:w="827"/>
        <w:gridCol w:w="146"/>
        <w:gridCol w:w="146"/>
        <w:gridCol w:w="432"/>
        <w:gridCol w:w="711"/>
        <w:gridCol w:w="146"/>
        <w:gridCol w:w="146"/>
        <w:gridCol w:w="438"/>
        <w:gridCol w:w="721"/>
        <w:gridCol w:w="166"/>
        <w:gridCol w:w="146"/>
        <w:gridCol w:w="311"/>
        <w:gridCol w:w="999"/>
        <w:gridCol w:w="394"/>
      </w:tblGrid>
      <w:tr>
        <w:trPr/>
        <w:tc>
          <w:tcPr>
            <w:tcW w:w="40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40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9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2025</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Fair Value</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072"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7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6,757</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7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Treasuries and agencies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6,891</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7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2,099</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7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1,491</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072"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17,238</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72"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Restricted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7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072"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cash equivalents and restricted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17,438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17,438</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072"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7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Treasuries and agencies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25,867</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7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3,233</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7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1,991</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72"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27"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31,092</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2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99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31,091</w:t>
            </w:r>
          </w:p>
        </w:tc>
        <w:tc>
          <w:tcPr>
            <w:tcW w:w="39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40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equivalents, restricted cash equivalents and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48,529</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All marketable securities are classified as short-term. The Company regularly reviews its available-for-sale marketable securities in an unrealized loss position and evaluates the current expected credit loss by considering factors such as historical experience, market data, issuer-specific factors, and current economic conditions. As of June 30, 2026, the aggregate difference between the amortized cost and fair value of each security in an unrealized loss position was de minimis. Since any provision for expected credit losses for a security held is limited to the amount the fair value is less than its amortized cost, no allowance for expected credit loss was deemed necessary at June 30, 2026. As of June 30, 2026 and December 31, 2025, interest income receivable recorded as a component of prepaid expenses and other current assets on the condensed consolidated balance sheet were $0.2 million and de minimis, respectively.</w:t>
        <w:br/>
        <w:t> </w:t>
      </w:r>
    </w:p>
    <w:p>
      <w:pPr>
        <w:pStyle w:val="TextBody"/>
        <w:bidi w:val="0"/>
        <w:spacing w:before="240" w:after="283"/>
        <w:jc w:val="left"/>
        <w:rPr>
          <w:rFonts w:ascii="Times New Roman" w:hAnsi="Times New Roman"/>
          <w:sz w:val="20"/>
        </w:rPr>
      </w:pPr>
      <w:r>
        <w:rPr>
          <w:rFonts w:ascii="Times New Roman" w:hAnsi="Times New Roman"/>
          <w:b/>
          <w:color w:val="000000"/>
          <w:sz w:val="20"/>
        </w:rPr>
        <w:t>4. Fair Value Measurements</w:t>
      </w:r>
      <w:r>
        <w:rPr>
          <w:rFonts w:ascii="Times New Roman" w:hAnsi="Times New Roman"/>
          <w:color w:val="000000"/>
          <w:sz w:val="20"/>
        </w:rPr>
        <w:t xml:space="preserve"> </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 xml:space="preserve">The following tables detail information about the Company’s financial assets and liabilities measured at fair value on a recurring basis and indicate the level of inputs used in such measurements (in thousands): </w:t>
      </w:r>
    </w:p>
    <w:tbl>
      <w:tblPr>
        <w:tblW w:w="7320" w:type="dxa"/>
        <w:jc w:val="left"/>
        <w:tblInd w:w="0" w:type="dxa"/>
        <w:tblLayout w:type="fixed"/>
        <w:tblCellMar>
          <w:top w:w="28" w:type="dxa"/>
          <w:left w:w="28" w:type="dxa"/>
          <w:bottom w:w="28" w:type="dxa"/>
          <w:right w:w="28" w:type="dxa"/>
        </w:tblCellMar>
      </w:tblPr>
      <w:tblGrid>
        <w:gridCol w:w="2616"/>
        <w:gridCol w:w="146"/>
        <w:gridCol w:w="211"/>
        <w:gridCol w:w="676"/>
        <w:gridCol w:w="146"/>
        <w:gridCol w:w="146"/>
        <w:gridCol w:w="211"/>
        <w:gridCol w:w="676"/>
        <w:gridCol w:w="146"/>
        <w:gridCol w:w="146"/>
        <w:gridCol w:w="239"/>
        <w:gridCol w:w="391"/>
        <w:gridCol w:w="146"/>
        <w:gridCol w:w="146"/>
        <w:gridCol w:w="211"/>
        <w:gridCol w:w="676"/>
        <w:gridCol w:w="391"/>
      </w:tblGrid>
      <w:tr>
        <w:trPr/>
        <w:tc>
          <w:tcPr>
            <w:tcW w:w="2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1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Restricted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1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1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Treasuries and agencies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38,276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1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40,948</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10,247</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51,195</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ind w:left="0" w:right="0" w:firstLine="979"/>
        <w:jc w:val="center"/>
        <w:rPr/>
      </w:pPr>
      <w:r>
        <w:rPr/>
        <w:t> </w:t>
      </w:r>
    </w:p>
    <w:tbl>
      <w:tblPr>
        <w:tblW w:w="7215" w:type="dxa"/>
        <w:jc w:val="left"/>
        <w:tblInd w:w="0" w:type="dxa"/>
        <w:tblLayout w:type="fixed"/>
        <w:tblCellMar>
          <w:top w:w="28" w:type="dxa"/>
          <w:left w:w="28" w:type="dxa"/>
          <w:bottom w:w="28" w:type="dxa"/>
          <w:right w:w="28" w:type="dxa"/>
        </w:tblCellMar>
      </w:tblPr>
      <w:tblGrid>
        <w:gridCol w:w="2616"/>
        <w:gridCol w:w="146"/>
        <w:gridCol w:w="211"/>
        <w:gridCol w:w="676"/>
        <w:gridCol w:w="146"/>
        <w:gridCol w:w="146"/>
        <w:gridCol w:w="211"/>
        <w:gridCol w:w="571"/>
        <w:gridCol w:w="146"/>
        <w:gridCol w:w="146"/>
        <w:gridCol w:w="239"/>
        <w:gridCol w:w="391"/>
        <w:gridCol w:w="146"/>
        <w:gridCol w:w="146"/>
        <w:gridCol w:w="211"/>
        <w:gridCol w:w="676"/>
        <w:gridCol w:w="391"/>
      </w:tblGrid>
      <w:tr>
        <w:trPr/>
        <w:tc>
          <w:tcPr>
            <w:tcW w:w="2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1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Treasuries and agencies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1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1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Restricted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1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Treasuries and agencies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25,867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1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39,715</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8,814</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48,529</w:t>
            </w:r>
          </w:p>
        </w:tc>
        <w:tc>
          <w:tcPr>
            <w:tcW w:w="3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ind w:left="0" w:right="0" w:firstLine="979"/>
        <w:jc w:val="center"/>
        <w:rPr/>
      </w:pPr>
      <w:r>
        <w:rPr/>
        <w:t> </w:t>
      </w:r>
    </w:p>
    <w:p>
      <w:pPr>
        <w:pStyle w:val="TextBody"/>
        <w:bidi w:val="0"/>
        <w:ind w:left="0" w:right="0" w:firstLine="979"/>
        <w:jc w:val="left"/>
        <w:rPr>
          <w:rFonts w:ascii="Times New Roman" w:hAnsi="Times New Roman"/>
          <w:color w:val="000000"/>
          <w:sz w:val="20"/>
        </w:rPr>
      </w:pPr>
      <w:r>
        <w:rPr>
          <w:rFonts w:ascii="Times New Roman" w:hAnsi="Times New Roman"/>
          <w:color w:val="000000"/>
          <w:sz w:val="20"/>
        </w:rPr>
        <w:t xml:space="preserve">Level 1 financial instruments are comprised of investments in money market funds and U.S. treasuries and agencies. Level 2 financial instruments are comprised of corporate debt securities and commercial paper. </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 xml:space="preserve">There were no transfers between Level 1, Level 2 and Level 3 of the fair value hierarchy for any of the periods presented. </w:t>
      </w:r>
    </w:p>
    <w:p>
      <w:pPr>
        <w:pStyle w:val="TextBody"/>
        <w:bidi w:val="0"/>
        <w:ind w:left="0" w:right="0" w:firstLine="979"/>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b/>
          <w:color w:val="000000"/>
          <w:sz w:val="20"/>
        </w:rPr>
      </w:pPr>
      <w:r>
        <w:rPr>
          <w:rFonts w:ascii="Times New Roman" w:hAnsi="Times New Roman"/>
          <w:b/>
          <w:color w:val="000000"/>
          <w:sz w:val="20"/>
        </w:rPr>
        <w:t>5. Balance Sheet Components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Property and equipment, net</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Property and equipment, net consist of the following (in thousands):</w:t>
        <w:br/>
        <w:t> </w:t>
      </w:r>
    </w:p>
    <w:tbl>
      <w:tblPr>
        <w:tblW w:w="8252" w:type="dxa"/>
        <w:jc w:val="left"/>
        <w:tblInd w:w="0" w:type="dxa"/>
        <w:tblLayout w:type="fixed"/>
        <w:tblCellMar>
          <w:top w:w="28" w:type="dxa"/>
          <w:left w:w="28" w:type="dxa"/>
          <w:bottom w:w="28" w:type="dxa"/>
          <w:right w:w="28" w:type="dxa"/>
        </w:tblCellMar>
      </w:tblPr>
      <w:tblGrid>
        <w:gridCol w:w="5546"/>
        <w:gridCol w:w="146"/>
        <w:gridCol w:w="211"/>
        <w:gridCol w:w="631"/>
        <w:gridCol w:w="166"/>
        <w:gridCol w:w="146"/>
        <w:gridCol w:w="274"/>
        <w:gridCol w:w="821"/>
        <w:gridCol w:w="311"/>
      </w:tblGrid>
      <w:tr>
        <w:trPr/>
        <w:tc>
          <w:tcPr>
            <w:tcW w:w="5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5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Laboratory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4,259</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1,655</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Office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5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property and equipment excluding construction-in-progress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6,245</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5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Property and equipment excluding construction-in-progress,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Construction-in-progress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Depreciation and amortization expense totaled $0.2 million and $0.3 million for the three and six months ended June 30, 2026, respectively. Depreciation and amortization expense totaled $0.2 million and $0.5 million for the three and six months ended June 30, 2025, respectively.</w:t>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Accrued expenses and other current liabilities</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 xml:space="preserve">Accrued expenses and other current liabilities consist of the following (in thousands): </w:t>
      </w:r>
    </w:p>
    <w:p>
      <w:pPr>
        <w:pStyle w:val="TextBody"/>
        <w:bidi w:val="0"/>
        <w:jc w:val="left"/>
        <w:rPr/>
      </w:pPr>
      <w:r>
        <w:rPr/>
        <w:t> </w:t>
      </w:r>
    </w:p>
    <w:tbl>
      <w:tblPr>
        <w:tblW w:w="6767" w:type="dxa"/>
        <w:jc w:val="left"/>
        <w:tblInd w:w="0" w:type="dxa"/>
        <w:tblLayout w:type="fixed"/>
        <w:tblCellMar>
          <w:top w:w="28" w:type="dxa"/>
          <w:left w:w="28" w:type="dxa"/>
          <w:bottom w:w="28" w:type="dxa"/>
          <w:right w:w="28" w:type="dxa"/>
        </w:tblCellMar>
      </w:tblPr>
      <w:tblGrid>
        <w:gridCol w:w="4261"/>
        <w:gridCol w:w="146"/>
        <w:gridCol w:w="211"/>
        <w:gridCol w:w="571"/>
        <w:gridCol w:w="146"/>
        <w:gridCol w:w="146"/>
        <w:gridCol w:w="294"/>
        <w:gridCol w:w="801"/>
        <w:gridCol w:w="191"/>
      </w:tblGrid>
      <w:tr>
        <w:trPr/>
        <w:tc>
          <w:tcPr>
            <w:tcW w:w="4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Payroll and related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professional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preclinical and clinical trial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6. Evaluation, Collaboration and License, and Collaborative Arrangements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Chugai Collaboration and License Agreement</w:t>
      </w:r>
    </w:p>
    <w:p>
      <w:pPr>
        <w:pStyle w:val="TextBody"/>
        <w:bidi w:val="0"/>
        <w:spacing w:before="240" w:after="283"/>
        <w:ind w:left="0" w:right="0" w:firstLine="990"/>
        <w:jc w:val="left"/>
        <w:rPr>
          <w:rFonts w:ascii="Times New Roman" w:hAnsi="Times New Roman"/>
          <w:color w:val="000000"/>
          <w:sz w:val="20"/>
        </w:rPr>
      </w:pPr>
      <w:r>
        <w:rPr>
          <w:rFonts w:ascii="Times New Roman" w:hAnsi="Times New Roman"/>
          <w:color w:val="000000"/>
          <w:sz w:val="20"/>
        </w:rPr>
        <w:t xml:space="preserve">In October 2025, the Company entered into a Collaboration and License Agreement (the “Chugai Collaboration and License Agreement”) with Chugai Pharmaceutical Co., Ltd. (“Chugai”). Under the Chugai Collaboration and License Agreement, the Company and Chugai will collaborate to develop, manufacture, seek regulatory approvals for and, if approved, commercialize a product (the “Chugai Product” or “RT-117”) combining Chugai’s antibody (the “Compound”), which is in development for hemophilia, and the RaniPill HC oral delivery device (the “Device”) for use in humans. Under the Chugai Collaboration and License Agreement, the Company received a $10.0 million upfront payment and is eligible to receive up to $18.0 million in technology transfer milestones (of which $10.0 million is subject to the customer's option), up to $57.0 million in regulatory and development milestones, up to $100.0 million in a series of sales-based milestones, contingent upon approval and the commercial success of the Chugai Product, and single digit royalties on net sales upon approval and successful commercialization of the Chugai Product. </w:t>
      </w:r>
    </w:p>
    <w:p>
      <w:pPr>
        <w:pStyle w:val="TextBody"/>
        <w:bidi w:val="0"/>
        <w:spacing w:before="240" w:after="283"/>
        <w:ind w:left="0" w:right="0" w:firstLine="990"/>
        <w:jc w:val="left"/>
        <w:rPr>
          <w:rFonts w:ascii="Times New Roman" w:hAnsi="Times New Roman"/>
          <w:color w:val="000000"/>
          <w:sz w:val="20"/>
        </w:rPr>
      </w:pPr>
      <w:r>
        <w:rPr>
          <w:rFonts w:ascii="Times New Roman" w:hAnsi="Times New Roman"/>
          <w:color w:val="000000"/>
          <w:sz w:val="20"/>
        </w:rPr>
        <w:t xml:space="preserve">Under the Chugai Collaboration and License Agreement, the Company granted Chugai an exclusive, worldwide right and license to certain intellectual property owned by the Company to research, develop, register, manufacture, use, sell, offer to sell, import, export, commercialize, and market the Chugai Product. Chugai granted the Company a non-exclusive, worldwide right and license to certain intellectual property owned by Chugai to manufacture and supply the Device and Chugai Product to Chugai and to perform activities under the Chugai Collaboration and License Agreement. Both parties have the right to sublicense subject to certain conditions.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990"/>
        <w:jc w:val="left"/>
        <w:rPr>
          <w:rFonts w:ascii="Times New Roman" w:hAnsi="Times New Roman"/>
          <w:color w:val="000000"/>
          <w:sz w:val="20"/>
        </w:rPr>
      </w:pPr>
      <w:r>
        <w:rPr>
          <w:rFonts w:ascii="Times New Roman" w:hAnsi="Times New Roman"/>
          <w:color w:val="000000"/>
          <w:sz w:val="20"/>
        </w:rPr>
        <w:t xml:space="preserve">In addition, Chugai has a one-time limited option to replace the Compound with a different compound subject to certain terms and conditions, a time-limited right of first refusal with respect to a select group of additional targets, and a time-limited option to extend its rights to up to five of the additional drug targets, each exercisable upon payment of a $5.0 million additional target fee, under similar deal terms as the Chugai Collaboration and License Agreement. </w:t>
      </w:r>
    </w:p>
    <w:p>
      <w:pPr>
        <w:pStyle w:val="TextBody"/>
        <w:bidi w:val="0"/>
        <w:spacing w:before="240" w:after="283"/>
        <w:ind w:left="0" w:right="0" w:firstLine="990"/>
        <w:jc w:val="left"/>
        <w:rPr>
          <w:rFonts w:ascii="Times New Roman" w:hAnsi="Times New Roman"/>
          <w:color w:val="000000"/>
          <w:sz w:val="20"/>
        </w:rPr>
      </w:pPr>
      <w:r>
        <w:rPr>
          <w:rFonts w:ascii="Times New Roman" w:hAnsi="Times New Roman"/>
          <w:color w:val="000000"/>
          <w:sz w:val="20"/>
        </w:rPr>
        <w:t>The parties have the right to terminate the Chugai Collaboration and License Agreement at any time through mutual written consent. Chugai has the unilateral right to terminate the Chugai Collaboration and License Agreement at will, without cause, by providing the Company with 60 days’ prior written notice. Upon termination, Chugai must wind down development, regulatory, and commercial activities and continue paying royalties on any remaining net sales made during the wind-down period. Further, both the Company and Chugai retain their ownership of intellectual property, program inventions, and the license automatically becomes exclusive, irrevocable, perpetual, and fully paid</w:t>
        <w:noBreakHyphen/>
        <w:t xml:space="preserve">up in favor of Chugai, unless Chugai terminated the Agreement without cause. </w:t>
      </w:r>
    </w:p>
    <w:p>
      <w:pPr>
        <w:pStyle w:val="TextBody"/>
        <w:bidi w:val="0"/>
        <w:spacing w:before="240" w:after="283"/>
        <w:ind w:left="0" w:right="0" w:firstLine="979"/>
        <w:jc w:val="left"/>
        <w:rPr>
          <w:rFonts w:ascii="Times New Roman" w:hAnsi="Times New Roman"/>
          <w:sz w:val="20"/>
        </w:rPr>
      </w:pPr>
      <w:r>
        <w:rPr>
          <w:rFonts w:ascii="Times New Roman" w:hAnsi="Times New Roman"/>
          <w:color w:val="000000"/>
          <w:sz w:val="20"/>
        </w:rPr>
        <w:t xml:space="preserve">The Company determined that the Chugai Collaboration and License Agreement falls within the scope of Accounting Standards Codification ("ASC") Topic 808: </w:t>
      </w:r>
      <w:r>
        <w:rPr>
          <w:rFonts w:ascii="Times New Roman" w:hAnsi="Times New Roman"/>
          <w:i/>
          <w:color w:val="000000"/>
          <w:sz w:val="20"/>
        </w:rPr>
        <w:t xml:space="preserve">Collaborative Arrangements </w:t>
      </w:r>
      <w:r>
        <w:rPr>
          <w:rFonts w:ascii="Times New Roman" w:hAnsi="Times New Roman"/>
          <w:color w:val="000000"/>
          <w:sz w:val="20"/>
        </w:rPr>
        <w:t xml:space="preserve">("ASC 808"), with certain elements accounted for under ASC Topic 606, </w:t>
      </w:r>
      <w:r>
        <w:rPr>
          <w:rFonts w:ascii="Times New Roman" w:hAnsi="Times New Roman"/>
          <w:i/>
          <w:color w:val="000000"/>
          <w:sz w:val="20"/>
        </w:rPr>
        <w:t>Revenue from Contracts with Customer</w:t>
      </w:r>
      <w:r>
        <w:rPr>
          <w:rFonts w:ascii="Times New Roman" w:hAnsi="Times New Roman"/>
          <w:color w:val="000000"/>
          <w:sz w:val="20"/>
        </w:rPr>
        <w:t xml:space="preserve"> ("ASC 606"). Specifically, the exclusive license granted to Chugai, technology transfer of a sterile manufacturing process, sales-based milestones, and royalties are accounted for under ASC 606, while the development related activities are accounted for as collaborative arrangements under ASC 808. </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Under ASC 606, the Company concluded there is one combined performance obligation, primarily consisting of the exclusive license, the information transfer of the Company's intellectual property, and the sterile manufacturing process research and know-how transfer. The combined performance obligation conveys a right to use the Company's functional intellectual property, which has significant standalone value as Chugai has exclusive rights to use the Compound within the RaniPill. The performance obligation is a stand ready obligation that is satisfied over time by providing Chugai with ongoing access to the Company's leadership throughout the period of delivery of regulatory feedback on the sterile manufacturing process, in order to answer regulatory questions when and if they are asked.</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The Company uses the time based (straight line) measure of progress to recognize revenue for the arrangement over time as the performance obligation is satisfied, which is the period from license issuance through the period over which sterile manufacturing process research activities and the corresponding know-how transfer occur. Accordingly, the Company expects to recognize the initial $10.0 million transaction price between the execution of the arrangement through the expected completion date of the sterile manufacturing process transfer.</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 xml:space="preserve">As of December 31, 2025, the transaction price primarily consisted of the $10.0 million upfront payment. Additional variable considerations including development milestones have been excluded from the initial transaction price because achievement is not considered probable and is fully constrained due to uncertainties outside the Company's control. </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Based on its assessment as of June 30, 2026, the Company concluded that there were no changes in facts or circumstances that would result in any milestone</w:t>
        <w:noBreakHyphen/>
        <w:t xml:space="preserve">related variable consideration becoming probable of achievement. As such, no variable consideration was included in the transaction price as of June 30, 2026. The Company will reassess milestone-related variable consideration each reporting period and will update the transaction price once it becomes probable and the associated constraint is lifted. Any milestone consideration included in the transaction price will be recognized when the milestone is achieved or consistent with the pattern of recognition of the associated performance obligation, including through cumulative catch-up adjustments, as applicable. </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 xml:space="preserve">For the three and six months ended June 30, 2026, the Company recognized $1.7 million and $3.4 million of revenue, respectively, on the condensed consolidated statement of operations. As of June 30, 2026, $5.1 million in revenue was deferred under this agreement as current deferred revenue on the condensed consolidated balance sheet. As of June 30, 2026, of the $10.0 million upfront payment, $8.0 million was received in cash and $2.0 million remains in accounts receivable relating to tax withheld by the Japanese tax authorities, which is expected to be refunded to the Company upon submission and acceptance of the required residency certificate. The Company submitted the required residency certificate in July 2026. The Company expects to collect the full amount and does not view the withholding as impacting the collectability assessment under ASC 606.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Evaluation Arrangement</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In August 2024, the Company entered into a contract with Chugai to conduct evaluation services of certain Chugai compounds for oral delivery using the RaniPill HC (the "Chugai Research Agreement"), which was concluded to be a single performance obligation with an enforceable right to payment. The Company received an up-front payment of $0.6 million upon execution of the contract. Upon completion of the evaluation services, in April 2025, the Company was paid a final $0.6 million for an aggregate total of $1.2 million due under the contract. In addition, if agreed upon, the agreement allows for joint filing of certain intellectual property protection in which all associated expenses will be shared equally. Chugai has the ability to terminate the agreement at any time by providing 10 days’ written notice after the effective date of the contract. The contract can be terminated for cause by either party based on uncured material breach by the other party. Upon early termination, all ongoing activities under the agreement and all mutual collaboration, development and commercialization licenses and sublicenses will terminate. For the three and six months ended June 30, 2025, $0 and $0.2 million in contract revenue was recognized for evaluation services performed, respectively. As of June 30, 2026, no contract asset or contract liability was outstanding under the Chugai Research Agreement, as all consideration received had been recognized as revenue in proportion to the services performed.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ProGen Co., Ltd.</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In June 2024, the Company and ProGen Co., Ltd. (“ProGen”) entered into a Collaboration Agreement (the “Collaboration Agreement”). Under the Collaboration Agreement, the Company and ProGen will collaborate to manufacture, develop, seek regulatory approvals for and, if approved, commercialize a product (the “Product” or “RT-114”) combining ProGen’s GLP-1/GLP-2 dual agonist compound, PG-102, and the RaniPill HC oral delivery device in the field of weight management (including without limitation obesity, weight reduction and weight maintenance) in humans (the “Collaboration”).</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Under the Collaboration Agreement, development costs, as well as operating profits and losses from the commercialization of the Product, will be equally shared by the Company and ProGen. The Company and ProGen each granted to the other party an exclusive right and license (except with respect to the other party’s affiliates and sublicensees) to certain intellectual property to develop the Product for weight management and an exclusive right and license to seek regulatory approval for, and to use, sell, offer to sell, import and commercialize the Product in their assigned territories. The parties share responsibility for the development of RT-114 worldwide, with the Company leading such development for preclinical activities through Phase 1 clinical trials. After initiation of the first Phase 2 clinical trial, the Company will lead development and commercialization of the Product in the United States, Canada, Europe (including the United Kingdom) and Australia, and ProGen will lead development and commercialization in all other countries.</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Each party has the right to opt-out of the Collaboration (“Opt-Out”) at any time upon prior written notice to the other party. Following an Opt-Out, the continuing party shall have sole right to develop, conduct regulatory activities for and commercialize the Product on a worldwide basis. The Opt-Out party shall share all development costs and operating profit (or loss) through the effective date of the Opt-Out, and all costs to complete the conduct of any clinical trials of Product that have been initiated prior to delivery of the Opt-Out notice, even if the costs are incurred or the trials are completed after the effective date of the Opt-Out. The continuing party shall pay to the Opt-Out party low single to mid-single digit royalties on net sales of the Product made after the Opt-Out date depending on when the Opt-Out occurs.</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The Company determined that the Collaboration Agreement is not a contract with a customer and is therefore accounted for under ASC 808. The Company evaluates the presentation of amounts due from ProGen based on the nature of each separate activity. Reimbursements from ProGen are recognized as contra-research and development expense on the Consolidated Statement of Operations once earned and collectability is assured. For the three and six months ended June 30, 2026, reimbursement due from ProGen recorded as contra-research and development expense was $0.1 million and $0.4 million, respectively. For the three and six months ended June 30, 2025, reimbursement due from ProGen recorded as contra-research and development expense was de minimis.</w:t>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7. Related Party Transactions</w:t>
      </w:r>
      <w:r>
        <w:rPr>
          <w:rFonts w:ascii="Times New Roman" w:hAnsi="Times New Roman"/>
          <w:color w:val="000000"/>
          <w:sz w:val="20"/>
        </w:rPr>
        <w:t xml:space="preserve"> </w:t>
      </w:r>
    </w:p>
    <w:p>
      <w:pPr>
        <w:pStyle w:val="TextBody"/>
        <w:bidi w:val="0"/>
        <w:spacing w:before="240" w:after="283"/>
        <w:ind w:left="0" w:right="0" w:firstLine="979"/>
        <w:jc w:val="left"/>
        <w:rPr>
          <w:rFonts w:ascii="Times New Roman" w:hAnsi="Times New Roman"/>
          <w:sz w:val="20"/>
        </w:rPr>
      </w:pPr>
      <w:r>
        <w:rPr>
          <w:rFonts w:ascii="Times New Roman" w:hAnsi="Times New Roman"/>
          <w:color w:val="000000"/>
          <w:sz w:val="20"/>
        </w:rPr>
        <w:t>The founder and Chairman of the Company is the father of the Company’s Chief Executive Officer and the brother of the</w:t>
      </w:r>
      <w:r>
        <w:rPr>
          <w:rFonts w:ascii="Times New Roman" w:hAnsi="Times New Roman"/>
          <w:color w:val="000000"/>
          <w:sz w:val="20"/>
          <w:u w:val="single"/>
        </w:rPr>
        <w:t xml:space="preserve"> </w:t>
      </w:r>
      <w:r>
        <w:rPr>
          <w:rFonts w:ascii="Times New Roman" w:hAnsi="Times New Roman"/>
          <w:color w:val="000000"/>
          <w:sz w:val="20"/>
        </w:rPr>
        <w:t xml:space="preserve">Company’s Chief Scientific Officer. Thus, the Company's Chief Scientific Officer is also the uncle of the Company’s Chief Executive Officer. </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 xml:space="preserve">InCube Labs, LLC (“ICL”) is wholly-owned by the Company’s founder and Chairman and his family.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Service Agreements</w:t>
      </w:r>
      <w:r>
        <w:rPr>
          <w:rFonts w:ascii="Times New Roman" w:hAnsi="Times New Roman"/>
          <w:color w:val="000000"/>
          <w:sz w:val="20"/>
        </w:rPr>
        <w:t xml:space="preserve"> </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In April 2022, Rani LLC entered into a service agreement for a facility in San Jose, California. In March 2024, the Company entered into an amendment to increase the size of the rental space from 23,000 square feet to 24,000 square feet (such agreement, as amended, the “RMS-ICL Service Agreement”). The RMS-ICL Service Agreement has a twelve-month term and will automatically renew for successive twelve-month periods unless terminated (Note 8). Rani LLC or ICL may terminate services under the RMS-ICL Service Agreement upon 60 days' notice to the other party, except for occupancy which requires six months’ notice. On June 24, 2026, the Company determined it would not exercise its renewal option and provided the notice to terminate the occupancy portion of the RMS-ICL Service Agreement for its San Jose facility. The occupancy arrangement is expected to terminate effective December 31, 2026. The RMS-ICL Service Agreement specifies the scope of services to be provided as well as the methods for determining the costs of services. ICL administrative fees and research and development expenses are billed or charged on a monthly basis by ICL or Rani LLC, respectively, as well as allocations of expenses based upon Rani LLC’s utilization of ICL’s facilities and equipment.</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 xml:space="preserve">The table below details the amounts charged by ICL for services and rent, net of the amount that the Company charged ICL, which is included in the condensed consolidated statements of operations (in thousands): </w:t>
      </w:r>
    </w:p>
    <w:p>
      <w:pPr>
        <w:pStyle w:val="TextBody"/>
        <w:bidi w:val="0"/>
        <w:jc w:val="left"/>
        <w:rPr/>
      </w:pPr>
      <w:r>
        <w:rPr/>
        <w:t> </w:t>
      </w:r>
    </w:p>
    <w:p>
      <w:pPr>
        <w:pStyle w:val="TextBody"/>
        <w:bidi w:val="0"/>
        <w:jc w:val="left"/>
        <w:rPr/>
      </w:pPr>
      <w:r>
        <w:rPr/>
        <w:t> </w:t>
      </w:r>
    </w:p>
    <w:tbl>
      <w:tblPr>
        <w:tblW w:w="7312" w:type="dxa"/>
        <w:jc w:val="left"/>
        <w:tblInd w:w="0" w:type="dxa"/>
        <w:tblLayout w:type="fixed"/>
        <w:tblCellMar>
          <w:top w:w="28" w:type="dxa"/>
          <w:left w:w="28" w:type="dxa"/>
          <w:bottom w:w="28" w:type="dxa"/>
          <w:right w:w="28" w:type="dxa"/>
        </w:tblCellMar>
      </w:tblPr>
      <w:tblGrid>
        <w:gridCol w:w="2311"/>
        <w:gridCol w:w="146"/>
        <w:gridCol w:w="303"/>
        <w:gridCol w:w="605"/>
        <w:gridCol w:w="238"/>
        <w:gridCol w:w="209"/>
        <w:gridCol w:w="303"/>
        <w:gridCol w:w="605"/>
        <w:gridCol w:w="166"/>
        <w:gridCol w:w="146"/>
        <w:gridCol w:w="277"/>
        <w:gridCol w:w="553"/>
        <w:gridCol w:w="218"/>
        <w:gridCol w:w="191"/>
        <w:gridCol w:w="277"/>
        <w:gridCol w:w="553"/>
        <w:gridCol w:w="21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 xml:space="preserve">As of June 30, 2026, one of the Company's facilities was owned by an entity affiliated with the Company’s Chairman (Note 8). The Company pays for the use of this facility through the RMS-ICL Service Agreement.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Exclusive License Agreement</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In June 2021, ICL and the Company, through Rani LLC, entered into an Amended and Restated Exclusive License Agreement which replaced the 2012 Exclusive License Agreement between ICL and Rani LLC, as amended in 2013, and terminated the 2012 Intellectual Property Agreement between ICL and Rani LLC, as amended in June 2013. Under the Amended and Restated Exclusive License Agreement, the Company has a fully paid, exclusive license under certain scheduled patents related to optional features of the device and certain other scheduled patents to exploit products covered by those patents in the field of oral delivery of sensors, small molecule drugs or biologic drugs including, any peptide, antibody, protein, cell therapy, gene therapy or vaccine. The Company covers patent-related expenses and, after a certain period, the Company will have the right to acquire four specified United States patent families from ICL by making a one-time payment of $0.3 million to ICL for each United States patent family that the Company desires to acquire, up to $1.0 million in the aggregate. This payment will not become an obligation until the fifth anniversary of the Amended and Restated Exclusive License Agreement. The Amended and Restated Exclusive License Agreement will terminate when there are no remaining valid claims of the patents licensed under the Amended and Restated Exclusive License Agreement. Additionally, the Company may terminate the Amended and Restated Exclusive License Agreement in its entirety or as to any particular licensed patent upon notification to ICL of such intent to terminate.</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 xml:space="preserve">In November 2025, as part of a strategic focusing of the Company's resources, the Company notified ICL that it is terminating the Amended and Restated Exclusive License Agreement in its entirety. The termination became effective on January 18, 2026, and the Company no longer has any obligations to ICL under the Amended and Restated Exclusive License Agreement.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Non-Exclusive License Agreement between Rani and ICL (“Non-Exclusive License Agreement”)</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In June 2021, the Company, through Rani LLC, entered into the Non-Exclusive License Agreement with ICL a related party, pursuant to which the Company granted ICL a non-exclusive, fully-paid license under specified patents that were assigned from ICL to the Company. Additionally, the Company agreed not to license these patents to a third party in a specific field outside the field of oral delivery of sensors, small molecule drugs or biologic drugs including, any peptide, antibody, protein, cell therapy, gene therapy or vaccine, if ICL can prove that it or its sublicensee has been in active development of a product covered by such patents in that specific field. ICL may grant sublicenses under this license to third parties only with the Company’s prior approval. The Non-Exclusive License Agreement will continue in perpetuity unless earlier terminated.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Rani LLC Agreement</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 xml:space="preserve">The Company operates its business through Rani LLC. In connection with the IPO, the Company and the Continuing LLC Owners, including ICL and its affiliates, entered an LLC agreement (the “Rani LLC Agreement”). As part of the Private Placement, the Rani LLC Agreement was amended effective as of December 31, 2025 (the “Amended Rani LLC Agreement”). The governance of Rani LLC, and the rights and obligations of the holders of LLC Interests, are set forth in the Amended Rani LLC Agreement. As Continuing LLC Owners, ICL and its affiliates are entitled to exchange, subject to the terms of the Amended Rani LLC Agreement, Paired Interests for Class A common stock of the Company; provided that, at the Company’s election, the Company may effect a direct exchange of such Class A common stock or make a cash payment equal to a volume weighted average market price of one share of Class A common stock for each Paired Interest redeemed. </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During each of the six months ended June 30, 2026 and 2025, no related parties that are parties to the Amended Rani LLC Agreement exchanged any Paired Interests, for an equal number of shares of the Company's Class A common stock.</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8. Leases</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In November 2023, Rani LLC and BKM South Bay 240, LLC (“Landlord”) entered into the Standard Industrial/Commercial Multi-Tenant Lease - Net (the “Lease”). Pursuant to the terms of the Lease, Rani LLC is leasing approximately 33,000 square feet of space in Fremont, California, which is part of a two-building project (the “Project”). The initial term of the Lease commenced in February 2024, and the duration of the initial term is 63 months. Subject to certain conditions, Rani LLC has an option to renew the Lease for one additional 5-year term at the then-prevailing market rate. The monthly base rent for the initial term of the Lease is approximately $95,000 per month, subject to a 4% increase each year. Rani LLC is also responsible for the payment of additional rent to cover its share of common area operating expenses, including taxes, insurance, utilities, and repair and maintenance of the premises and common areas of the Project.</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In addition, the Company pays for the use of its office, laboratory and manufacturing facility in San Jose, California as part of the RMS-ICL Service Agreement. In March 2024, the Company entered into an amendment to increase the size of the rental space from 23,000 square feet to 24,000 square feet. The RMS-ICL Service Agreement has a twelve-month term and will automatically renew for successive twelve-month periods unless Rani LLC or ICL terminate occupancy under the RMS-ICL Service Agreement upon six months’ notice. On June 24, 2026, the Company determined it would not exercise its renewal option and provided the notice to terminate the occupancy portion of the RMS-ICL Service Agreement for its San Jose facility. The occupancy arrangement is expected to terminate effective December 31, 2026.</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The Company's leases are accounted for as operating leases and require certain fixed payments of real estate taxes and insurance in addition to future minimum lease payments, and certain variable payments of common area maintenance costs and building utilities. Variable lease payments are expensed in the period in which the obligation for those payments is incurred. These variable lease costs are payments that vary in amount beyond the commencement date, for reasons other than passage of time. Variable lease payments are excluded from the total operating lease expense and immaterial for the periods presented.</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Supplemental information on the Company’s condensed consolidated balance sheet and statements of cash flows as of June 30, 2026 and 2025 and for the six months ended June 30, 2026 and 2025, respectively, related to the Company's leases was as follows (in thousands):</w:t>
      </w:r>
    </w:p>
    <w:p>
      <w:pPr>
        <w:pStyle w:val="TextBody"/>
        <w:bidi w:val="0"/>
        <w:jc w:val="both"/>
        <w:rPr/>
      </w:pPr>
      <w:r>
        <w:rPr/>
        <w:t> </w:t>
      </w:r>
    </w:p>
    <w:tbl>
      <w:tblPr>
        <w:tblW w:w="6229" w:type="dxa"/>
        <w:jc w:val="left"/>
        <w:tblInd w:w="0" w:type="dxa"/>
        <w:tblLayout w:type="fixed"/>
        <w:tblCellMar>
          <w:top w:w="28" w:type="dxa"/>
          <w:left w:w="28" w:type="dxa"/>
          <w:bottom w:w="28" w:type="dxa"/>
          <w:right w:w="28" w:type="dxa"/>
        </w:tblCellMar>
      </w:tblPr>
      <w:tblGrid>
        <w:gridCol w:w="4126"/>
        <w:gridCol w:w="146"/>
        <w:gridCol w:w="146"/>
        <w:gridCol w:w="466"/>
        <w:gridCol w:w="271"/>
        <w:gridCol w:w="146"/>
        <w:gridCol w:w="146"/>
        <w:gridCol w:w="466"/>
        <w:gridCol w:w="316"/>
      </w:tblGrid>
      <w:tr>
        <w:trPr/>
        <w:tc>
          <w:tcPr>
            <w:tcW w:w="4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remaining lease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tbl>
      <w:tblPr>
        <w:tblW w:w="6851" w:type="dxa"/>
        <w:jc w:val="left"/>
        <w:tblInd w:w="0" w:type="dxa"/>
        <w:tblLayout w:type="fixed"/>
        <w:tblCellMar>
          <w:top w:w="28" w:type="dxa"/>
          <w:left w:w="28" w:type="dxa"/>
          <w:bottom w:w="28" w:type="dxa"/>
          <w:right w:w="28" w:type="dxa"/>
        </w:tblCellMar>
      </w:tblPr>
      <w:tblGrid>
        <w:gridCol w:w="4246"/>
        <w:gridCol w:w="146"/>
        <w:gridCol w:w="280"/>
        <w:gridCol w:w="560"/>
        <w:gridCol w:w="194"/>
        <w:gridCol w:w="194"/>
        <w:gridCol w:w="280"/>
        <w:gridCol w:w="560"/>
        <w:gridCol w:w="391"/>
      </w:tblGrid>
      <w:tr>
        <w:trPr/>
        <w:tc>
          <w:tcPr>
            <w:tcW w:w="4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amounts included in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cash flows used for 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As of June 30, 2026, minimum annual rental payments under the Company’s operating lease agreements are as follows (in thousands), excluding short-term leases:</w:t>
      </w:r>
    </w:p>
    <w:p>
      <w:pPr>
        <w:pStyle w:val="TextBody"/>
        <w:bidi w:val="0"/>
        <w:jc w:val="both"/>
        <w:rPr/>
      </w:pPr>
      <w:r>
        <w:rPr/>
        <w:t> </w:t>
      </w:r>
    </w:p>
    <w:tbl>
      <w:tblPr>
        <w:tblW w:w="5875" w:type="dxa"/>
        <w:jc w:val="left"/>
        <w:tblInd w:w="0" w:type="dxa"/>
        <w:tblLayout w:type="fixed"/>
        <w:tblCellMar>
          <w:top w:w="28" w:type="dxa"/>
          <w:left w:w="28" w:type="dxa"/>
          <w:bottom w:w="28" w:type="dxa"/>
          <w:right w:w="28" w:type="dxa"/>
        </w:tblCellMar>
      </w:tblPr>
      <w:tblGrid>
        <w:gridCol w:w="4536"/>
        <w:gridCol w:w="146"/>
        <w:gridCol w:w="211"/>
        <w:gridCol w:w="571"/>
        <w:gridCol w:w="411"/>
      </w:tblGrid>
      <w:tr>
        <w:trPr/>
        <w:tc>
          <w:tcPr>
            <w:tcW w:w="4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Year ending December 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3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2026 (remaining six months)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3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3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3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3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undiscounted future minimum lease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4,043</w:t>
            </w:r>
          </w:p>
        </w:tc>
        <w:tc>
          <w:tcPr>
            <w:tcW w:w="411"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3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3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operating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3,549</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3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Less: Current portion of operating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3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liability, less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2,220</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left"/>
        <w:rPr>
          <w:rFonts w:ascii="Times New Roman" w:hAnsi="Times New Roman"/>
          <w:b/>
          <w:color w:val="000000"/>
          <w:sz w:val="20"/>
        </w:rPr>
      </w:pPr>
      <w:r>
        <w:rPr>
          <w:rFonts w:ascii="Times New Roman" w:hAnsi="Times New Roman"/>
          <w:b/>
          <w:color w:val="000000"/>
          <w:sz w:val="20"/>
        </w:rPr>
        <w:t>9. Warrants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May 2026 Securities Purchase Agreement</w:t>
      </w:r>
    </w:p>
    <w:p>
      <w:pPr>
        <w:pStyle w:val="TextBody"/>
        <w:bidi w:val="0"/>
        <w:spacing w:before="240" w:after="283"/>
        <w:ind w:left="0" w:right="0" w:firstLine="990"/>
        <w:jc w:val="left"/>
        <w:rPr>
          <w:rFonts w:ascii="Times New Roman" w:hAnsi="Times New Roman"/>
          <w:color w:val="000000"/>
          <w:sz w:val="20"/>
        </w:rPr>
      </w:pPr>
      <w:r>
        <w:rPr>
          <w:rFonts w:ascii="Times New Roman" w:hAnsi="Times New Roman"/>
          <w:color w:val="000000"/>
          <w:sz w:val="20"/>
        </w:rPr>
        <w:t>In May 2026, the Company entered into a securities purchase agreement (the "May 2026 Securities Purchase Agreement"), with several institutional investors, relating to the issuance and sale of 12,476,637 shares of Class A common stock, par value $0.0001 per share, and pre-funded warrants to purchase 6,214,953 shares of Class A common stock (the "May 2026 Pre-Funded Warrants"). The May 2026 Pre-Funded Warrants are exercisable immediately following the closing date of the offering, have no expiration date and remain exercisable until exercised in full, and have an exercise price of $0.0001 per share. The May 2026 Pre-Funded Warrants are equity classified on the Company's condensed consolidated balance sheet. The offering price was $1.07 per share of Class A common stock, and $1.0699 per May 2026 Pre-Funded Warrant for total gross proceeds of $20.0 million. The Company incurred issuance costs of approximately $1.6 million. As of June 30, 2026, all May 2026 Pre-Funded Warrants were outstanding.</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Private Placement</w:t>
      </w:r>
    </w:p>
    <w:p>
      <w:pPr>
        <w:pStyle w:val="TextBody"/>
        <w:bidi w:val="0"/>
        <w:spacing w:before="240" w:after="283"/>
        <w:ind w:left="0" w:right="0" w:firstLine="994"/>
        <w:jc w:val="left"/>
        <w:rPr>
          <w:rFonts w:ascii="Times New Roman" w:hAnsi="Times New Roman"/>
          <w:color w:val="000000"/>
          <w:sz w:val="20"/>
        </w:rPr>
      </w:pPr>
      <w:r>
        <w:rPr>
          <w:rFonts w:ascii="Times New Roman" w:hAnsi="Times New Roman"/>
          <w:color w:val="000000"/>
          <w:sz w:val="20"/>
        </w:rPr>
        <w:t xml:space="preserve">In October 2025, the Company entered into a securities purchase agreement (the "Private Placement") with (i) certain institutional and accredited investors (the “Institutional Investors”) and (ii) Mir Imran, chairman of the Company’s Board of Directors (the “Affiliated Investor” and, together with the Institutional Investors, each, a “Purchaser” and, together, the “Purchasers”), pursuant to which the Company issued and sold (i) 42,633,337 shares (the “Shares”) of its Class A common stock, par value $0.0001 per share (the “Class A Common Stock”), (ii) warrants to purchase up to an aggregate of 125,000,004 shares of Class A Common Stock or pre-funded warrants (the “Common Warrants”) and (iii) pre-funded warrants to purchase up to an aggregate of 82,366,667 shares of Class A Common Stock (the “Pre-Funded Warrants”). The Common Warrants and Pre-Funded Warrants are classified as equity on the Company’s condensed consolidated balance sheet. The Common Warrants include certain rights upon “fundamental transactions,” as described in the warrant agreement, including the right of the holders thereof to receive from the Company or a successor entity the same type or form of consideration (and in the same proportion) that is being offered and paid to the holders of Class A common stock in such fundamental transaction in the amount of the Black Scholes value of the unexercised portion of the applicable warrants on the date of the consummation of the fundamental transactions. The purchase price of the Shares to the Institutional Investors is $0.48 per share, and the purchase price of the Shares to the Affiliated Investor is $0.605 per share. The purchase price of the Pre-Funded Warrants to the Purchasers is $0.4799 per Pre-Funded Warrant. The aggregate gross proceeds to the Company from the closing of the Private Placement were approximately $60.3 million (including conversion of $6.0 million of the previously outstanding loan's principal balance), before deducting placement agent fees and other expenses payable by the Company of approximately $4.5 million, and excluding the proceeds, if any, from the exercise of the Common Warrants. </w:t>
      </w:r>
    </w:p>
    <w:p>
      <w:pPr>
        <w:pStyle w:val="TextBody"/>
        <w:bidi w:val="0"/>
        <w:spacing w:before="240" w:after="283"/>
        <w:ind w:left="0" w:right="0" w:firstLine="994"/>
        <w:jc w:val="left"/>
        <w:rPr>
          <w:rFonts w:ascii="Times New Roman" w:hAnsi="Times New Roman"/>
          <w:color w:val="000000"/>
          <w:sz w:val="20"/>
        </w:rPr>
      </w:pPr>
      <w:r>
        <w:rPr>
          <w:rFonts w:ascii="Times New Roman" w:hAnsi="Times New Roman"/>
          <w:color w:val="000000"/>
          <w:sz w:val="20"/>
        </w:rPr>
        <w:t xml:space="preserve">The Common Warrants became exercisable following the effective date of stockholder approval in December 2025 and have a term of five years following the initial exercise date. The Common Warrants purchased by the Purchasers have an exercise price of $0.48 per share. The Pre-Funded Warrants are exercisable immediately following the closing, have an unlimited term and an exercise price of $0.0001 per share. In January 2026, a Purchaser exercised 2,100,000 shares of Pre-Funded Warrants on a cashless basis. As of June 30, 2026, there were 80,266,667 shares of Pre-Funded Warrants outstanding.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Service Warrants</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In May 2025, in conjunction with a service agreement, the Company issued warrants to purchase 300,000 shares of the Company's Class A common stock, $0.0001 par value per share ("Service Warrants") to a third party vendor. The value of the Service Warrants was expensed immediately as a general and administrative cost. The Service Warrants are exercisable for a period of five years from the issuance date, at an exercise price per share equal to $0.70. The Service Warrants are classified as equity on the Company's condensed consolidated balance sheet. The Service Warrants include certain rights upon “fundamental transactions,” as described in the warrant agreement, including the right of the holders thereof to receive from the Company or a successor entity the same type or form of consideration (and in the same proportion) that is being offered and paid to the holders of Class A common stock in such fundamental transaction in the amount of the Black Scholes value of the unexercised portion of the applicable warrants on the date of the consummation of the fundamental transactions. In February 2026, the service agreement was terminated, however the issued Service Warrants remain outstanding with terms unchanged. As of June 30, 2026, all of the Service Warrants were outstanding.</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Letter Agreement</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In May 2025, the Company entered into a letter agreement (the “Letter Agreement”) with an existing institutional investor (the “Equity Investor”) pursuant to which the Equity Investor exercised for cash all outstanding Series B and Series C warrants, which had been previously issued in July 2024 and October 2024, respectively, at a reduced exercise price of $0.65 per share, for net proceeds of $3.9 million in consideration for the Company’s issuance of a new Series D common stock warrant (the “Series D Warrants”) to purchase an aggregate of 13,160,172 shares of Class A common stock, $0.0001 par value per share (the “Class A Common Stock”). Modification accounting was only performed on the warrants that were actually exercised pursuant to the Letter Agreement as it represented a short-term inducement. On the modification date, the Company remeasured the warrants at the reduced exercise price and recognized a $1.3 million inducement charge in the condensed consolidated statements of changes in stockholders' equity.</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The Series D Warrants were exercisable immediately following stockholder approval, and will expire five years from the date of stockholder approval and have an exercise price of $0.65 per share. The Series D Warrants include certain rights upon “fundamental transactions,” as described in the Series D Warrant agreement, including the right of the holders thereof to receive from the Company or a successor entity the same type or form of consideration (and in the same proportion) that is being offered and paid to the holders of Class A common stock in such fundamental transaction in the amount of the Black Scholes value of the unexercised portion of the applicable Series D Warrants on the date of the consummation of the fundamental transactions. The Series D Warrant is classified as equity on the Company's condensed consolidated balance sheet. In October 2025, pursuant to the Letter Agreement, the equity investor exercised the Series D Warrants to purchase 6,967,150 shares of Class A Common Stock for cash proceeds of $4.5 million. As of June 30, 2026, there were 6,193,022 Series D Warrants outstanding.</w:t>
      </w:r>
    </w:p>
    <w:p>
      <w:pPr>
        <w:pStyle w:val="TextBody"/>
        <w:bidi w:val="0"/>
        <w:spacing w:before="240" w:after="283"/>
        <w:ind w:left="0" w:right="0" w:firstLine="979"/>
        <w:jc w:val="left"/>
        <w:rPr>
          <w:rFonts w:ascii="Times New Roman" w:hAnsi="Times New Roman"/>
          <w:sz w:val="20"/>
        </w:rPr>
      </w:pPr>
      <w:r>
        <w:rPr>
          <w:rFonts w:ascii="Times New Roman" w:hAnsi="Times New Roman"/>
          <w:color w:val="000000"/>
          <w:sz w:val="20"/>
        </w:rPr>
        <w:t>Pursuant to the terms of the Letter Agreement, in the event that the exercise of the Series B and Series C warrants would have otherwise caused a holder to exceed the beneficial ownership limitations set forth in the existing warrant, the Company issued the number of shares that would not cause a holder to exceed such beneficial ownership limitation and agreed to hold such balance of shares of Class A Common Stock in abeyance. Accordingly, an aggregate of 1,161,000 shares of Class A Common Stock from the exercise of the Series B and Series C warrants were held in abe</w:t>
      </w:r>
      <w:r>
        <w:rPr>
          <w:rFonts w:ascii="Times New Roman" w:hAnsi="Times New Roman"/>
          <w:color w:val="212529"/>
          <w:sz w:val="20"/>
        </w:rPr>
        <w:t>yance (the “Abeyance Shares”) with such Abey</w:t>
      </w:r>
      <w:r>
        <w:rPr>
          <w:rFonts w:ascii="Times New Roman" w:hAnsi="Times New Roman"/>
          <w:color w:val="000000"/>
          <w:sz w:val="20"/>
        </w:rPr>
        <w:t>ance Shares evidenced through the holder’s existing warrants and which are deemed to be prepaid. The Abeyance Shares were to be held until notice is received by the holder that the balance of the shares of Class A Common Stock may be issued in compliance with such beneficial ownership limitations and may be exercised pursuant to a notice of exercise from the holder. The Abeyance Shares were subsequently released and considered shares of Class A Common Stock in July 2025.</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Loan and Security Agreement Warrants</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In August 2022, in conjunction with a loan and security agreement, the Company issued warrants to purchase 76,336 shares of the Company's Class A common stock. The warrants are exercisable for a period of five years from the grant date, as may be adjusted for certain anti-dilution adjustments, dividends, stock splits, and reverse stock splits, at an exercise price per share equal to $11.79, which may be net share settled at the option of the holder. The warrants are classified as equity on the Company’s condensed consolidated balance sheet. In September 2025, the Company modified the exercise price of the warrants to $0.50 in consideration for a deferral of a principal repayment due in October 2025. There were no other changes to the terms of the warrant agreement. On the modification date, the Company remeasured the warrants at the reduced exercise price and recognized an additional $15 thousand as interest expense in the condensed consolidated statements of operations. As of June 30, 2026, there were 76,336 warrants outstanding.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Warrant activity</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 xml:space="preserve">A summary of warrant activity during the periods indicated is as follows: </w:t>
      </w:r>
    </w:p>
    <w:p>
      <w:pPr>
        <w:pStyle w:val="TextBody"/>
        <w:bidi w:val="0"/>
        <w:ind w:left="0" w:right="0" w:firstLine="979"/>
        <w:jc w:val="left"/>
        <w:rPr/>
      </w:pPr>
      <w:r>
        <w:rPr/>
        <w:t> </w:t>
      </w:r>
    </w:p>
    <w:tbl>
      <w:tblPr>
        <w:tblW w:w="10205" w:type="dxa"/>
        <w:jc w:val="left"/>
        <w:tblInd w:w="0" w:type="dxa"/>
        <w:tblLayout w:type="fixed"/>
        <w:tblCellMar>
          <w:top w:w="28" w:type="dxa"/>
          <w:left w:w="28" w:type="dxa"/>
          <w:bottom w:w="28" w:type="dxa"/>
          <w:right w:w="28" w:type="dxa"/>
        </w:tblCellMar>
      </w:tblPr>
      <w:tblGrid>
        <w:gridCol w:w="1949"/>
        <w:gridCol w:w="146"/>
        <w:gridCol w:w="163"/>
        <w:gridCol w:w="1281"/>
        <w:gridCol w:w="146"/>
        <w:gridCol w:w="146"/>
        <w:gridCol w:w="491"/>
        <w:gridCol w:w="1086"/>
        <w:gridCol w:w="146"/>
        <w:gridCol w:w="146"/>
        <w:gridCol w:w="451"/>
        <w:gridCol w:w="1444"/>
        <w:gridCol w:w="146"/>
        <w:gridCol w:w="146"/>
        <w:gridCol w:w="408"/>
        <w:gridCol w:w="1514"/>
        <w:gridCol w:w="396"/>
      </w:tblGrid>
      <w:tr>
        <w:trPr/>
        <w:tc>
          <w:tcPr>
            <w:tcW w:w="19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19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Warrants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 Contractual Term (in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Intrinsic Value (in thousands)</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131,569,362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113,345</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49"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949"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131,569,362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35,719</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 xml:space="preserve">A summary of pre-funded warrant activity during the periods indicated is as follows: </w:t>
      </w:r>
    </w:p>
    <w:p>
      <w:pPr>
        <w:pStyle w:val="TextBody"/>
        <w:bidi w:val="0"/>
        <w:ind w:left="0" w:right="0" w:firstLine="979"/>
        <w:jc w:val="left"/>
        <w:rPr/>
      </w:pPr>
      <w:r>
        <w:rPr/>
        <w:t> </w:t>
      </w:r>
    </w:p>
    <w:tbl>
      <w:tblPr>
        <w:tblW w:w="8020" w:type="dxa"/>
        <w:jc w:val="left"/>
        <w:tblInd w:w="0" w:type="dxa"/>
        <w:tblLayout w:type="fixed"/>
        <w:tblCellMar>
          <w:top w:w="28" w:type="dxa"/>
          <w:left w:w="28" w:type="dxa"/>
          <w:bottom w:w="28" w:type="dxa"/>
          <w:right w:w="28" w:type="dxa"/>
        </w:tblCellMar>
      </w:tblPr>
      <w:tblGrid>
        <w:gridCol w:w="2941"/>
        <w:gridCol w:w="146"/>
        <w:gridCol w:w="211"/>
        <w:gridCol w:w="1499"/>
        <w:gridCol w:w="166"/>
        <w:gridCol w:w="146"/>
        <w:gridCol w:w="599"/>
        <w:gridCol w:w="1921"/>
        <w:gridCol w:w="391"/>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Number of </w:t>
              <w:br/>
              <w:t>Pre-Funded Warrants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Exercise Price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82,366,667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6,214,953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0.0001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0.0001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86,481,620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0"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pPr>
      <w:r>
        <w:rPr/>
        <w:t> </w:t>
      </w:r>
    </w:p>
    <w:p>
      <w:pPr>
        <w:pStyle w:val="TextBody"/>
        <w:bidi w:val="0"/>
        <w:spacing w:before="40" w:after="283"/>
        <w:jc w:val="left"/>
        <w:rPr>
          <w:rFonts w:ascii="Times New Roman" w:hAnsi="Times New Roman"/>
          <w:b/>
          <w:color w:val="000000"/>
          <w:sz w:val="20"/>
        </w:rPr>
      </w:pPr>
      <w:r>
        <w:rPr>
          <w:rFonts w:ascii="Times New Roman" w:hAnsi="Times New Roman"/>
          <w:b/>
          <w:color w:val="000000"/>
          <w:sz w:val="20"/>
        </w:rPr>
        <w:t>10. Stockholders’ Equity</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As of June 30, 2026, Rani Holdings held approximately 82% of the Class A Units of Rani LLC, and approximately 18% of the outstanding Class A Units of Rani LLC are held by the Continuing LLC Owners. From the date of the Organizational Transactions to June 30, 2026, 5,378,539 Paired Interests and 362,821 non-corresponding Class A Units of Rani LLC were exchanged for an equal number of shares of the Company's Class A common stock. For each of the six months ended June 30, 2026 and 2025, none of the Continuing LLC Owners executed an exchange of any Paired Interests and none of non-corresponding Class A Units of Rani LLC, for either period. In accordance with the Amended Rani LLC Agreement, Rani LLC also issues a corresponding Class A Unit to Rani Holdings for each share of common stock issued by Rani Holdings. This increases Rani Holdings’ ownership in Rani LLC.</w:t>
      </w:r>
    </w:p>
    <w:p>
      <w:pPr>
        <w:pStyle w:val="TextBody"/>
        <w:bidi w:val="0"/>
        <w:spacing w:before="240" w:after="240"/>
        <w:jc w:val="left"/>
        <w:rPr>
          <w:rFonts w:ascii="Times New Roman" w:hAnsi="Times New Roman"/>
          <w:b/>
          <w:i/>
          <w:color w:val="000000"/>
          <w:sz w:val="20"/>
        </w:rPr>
      </w:pPr>
      <w:r>
        <w:rPr>
          <w:rFonts w:ascii="Times New Roman" w:hAnsi="Times New Roman"/>
          <w:b/>
          <w:i/>
          <w:color w:val="000000"/>
          <w:sz w:val="20"/>
        </w:rPr>
        <w:t>2026 Equity Inducement Plan</w:t>
      </w:r>
    </w:p>
    <w:p>
      <w:pPr>
        <w:pStyle w:val="TextBody"/>
        <w:bidi w:val="0"/>
        <w:spacing w:before="0" w:after="240"/>
        <w:ind w:left="0" w:right="0" w:firstLine="979"/>
        <w:jc w:val="left"/>
        <w:rPr>
          <w:rFonts w:ascii="Times New Roman" w:hAnsi="Times New Roman"/>
          <w:color w:val="000000"/>
          <w:sz w:val="20"/>
        </w:rPr>
      </w:pPr>
      <w:r>
        <w:rPr>
          <w:rFonts w:ascii="Times New Roman" w:hAnsi="Times New Roman"/>
          <w:color w:val="000000"/>
          <w:sz w:val="20"/>
        </w:rPr>
        <w:t xml:space="preserve">On June 28, 2026, the Company’s Board of Directors adopted the 2026 Equity Inducement Plan (the "Inducement Plan") and reserved 5,500,000 shares of its Class A common stock for issuance thereunder. The Inducement Plan is intended to provide inducement awards to individuals who were not previously employees or directors of the Company, or who are commencing employment following a bona fide period of non-employment, as an inducement material to such individual's entering into employment with the Company. The terms and conditions of the Inducement Plan are substantially similar to those of the Company’s 2021 Equity Incentive Plan. </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11. Stock-Based Compensation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Stock Options</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 xml:space="preserve">A summary of stock option activity during the periods indicated is as follows: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66"/>
        <w:gridCol w:w="146"/>
        <w:gridCol w:w="216"/>
        <w:gridCol w:w="1540"/>
        <w:gridCol w:w="166"/>
        <w:gridCol w:w="146"/>
        <w:gridCol w:w="484"/>
        <w:gridCol w:w="1069"/>
        <w:gridCol w:w="146"/>
        <w:gridCol w:w="146"/>
        <w:gridCol w:w="444"/>
        <w:gridCol w:w="1422"/>
        <w:gridCol w:w="146"/>
        <w:gridCol w:w="146"/>
        <w:gridCol w:w="492"/>
        <w:gridCol w:w="1334"/>
        <w:gridCol w:w="396"/>
      </w:tblGrid>
      <w:tr>
        <w:trPr/>
        <w:tc>
          <w:tcPr>
            <w:tcW w:w="1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1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Stock Option Awards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 Contractual Term (in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Intrinsic Value (in thousands)</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12,867,236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5,067</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6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9,095,726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76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76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(868,829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20,994,133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2,390</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8,473,452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988</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12,520,681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1,402</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ind w:left="0" w:right="0" w:firstLine="979"/>
        <w:jc w:val="left"/>
        <w:rPr>
          <w:rFonts w:ascii="Times New Roman" w:hAnsi="Times New Roman"/>
          <w:sz w:val="20"/>
        </w:rPr>
      </w:pPr>
      <w:r>
        <w:rPr>
          <w:rFonts w:ascii="Times New Roman" w:hAnsi="Times New Roman"/>
          <w:color w:val="000000"/>
          <w:sz w:val="20"/>
        </w:rPr>
        <w:t>As of June 30, 2026, there was $11.9</w:t>
      </w:r>
      <w:r>
        <w:rPr>
          <w:rFonts w:ascii="Times New Roman" w:hAnsi="Times New Roman"/>
          <w:color w:val="FF0000"/>
          <w:sz w:val="20"/>
        </w:rPr>
        <w:t xml:space="preserve"> </w:t>
      </w:r>
      <w:r>
        <w:rPr>
          <w:rFonts w:ascii="Times New Roman" w:hAnsi="Times New Roman"/>
          <w:color w:val="000000"/>
          <w:sz w:val="20"/>
        </w:rPr>
        <w:t>million of unrecognized stock-based compensation expense related to stock options which is expected to be recognized over a weighted-average period of approximately 3.1 years.</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In June 2026, the Company modified stock options in connection with the departure of its former Chief Financial Officer. The modification included (i) the accelerated vesting for 443,163 unvested stock options, which was accounted for as a Type III (improbable-to-probable) modification, and (ii) an extension of the post</w:t>
        <w:noBreakHyphen/>
        <w:t xml:space="preserve">termination exercise periods for vested options, which was accounted for as a Type I (probable-to-probable) modification. As a result, the Company recorded an aggregate incremental fair value of approximately $0.6 million, which was recorded as stock-based compensation expense and additional paid-in-capital on the Company’s condensed consolidated statement of operations and balance sheet, respectively, as of June 30, 2026. </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The Company uses the Black-Scholes option pricing model to estimate the fair value of each stock option award on the date of grant. The assumptions and estimates are as follows:</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Expected term</w:t>
      </w:r>
      <w:r>
        <w:rPr>
          <w:color w:val="000000"/>
        </w:rPr>
        <w:t xml:space="preserve"> </w:t>
      </w:r>
      <w:r>
        <w:rPr>
          <w:rFonts w:ascii="Times New Roman" w:hAnsi="Times New Roman"/>
          <w:color w:val="000000"/>
          <w:sz w:val="20"/>
        </w:rPr>
        <w:t>- The expected term represents the period of time that stock option awards are expected to remain outstanding. The Company estimates the expected term as the midpoint between actual or expected vesting date and the contractual term.</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Expected volatility</w:t>
      </w:r>
      <w:r>
        <w:rPr>
          <w:color w:val="000000"/>
        </w:rPr>
        <w:t xml:space="preserve"> </w:t>
      </w:r>
      <w:r>
        <w:rPr>
          <w:rFonts w:ascii="Times New Roman" w:hAnsi="Times New Roman"/>
          <w:color w:val="000000"/>
          <w:sz w:val="20"/>
        </w:rPr>
        <w:t>- The expected volatility was derived from the historical stock volatilities of peer public companies within the Company's industry that are considered to be comparable businesses over a period equivalent to the expected term of the stock option awards, since there has been limited trading history of the Company's stock.</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Risk-free interest rate</w:t>
      </w:r>
      <w:r>
        <w:rPr>
          <w:color w:val="000000"/>
        </w:rPr>
        <w:t xml:space="preserve"> </w:t>
      </w:r>
      <w:r>
        <w:rPr>
          <w:rFonts w:ascii="Times New Roman" w:hAnsi="Times New Roman"/>
          <w:color w:val="000000"/>
          <w:sz w:val="20"/>
        </w:rPr>
        <w:t>- The risk-free interest rate is based on the U.S. Treasury yield curve in effect at the date of grant for zero-coupon U.S. Treasury notes with maturities approximately equal to the stock option awards’ expected term.</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Expected dividend yield</w:t>
      </w:r>
      <w:r>
        <w:rPr>
          <w:color w:val="000000"/>
        </w:rPr>
        <w:t xml:space="preserve"> </w:t>
      </w:r>
      <w:r>
        <w:rPr>
          <w:rFonts w:ascii="Times New Roman" w:hAnsi="Times New Roman"/>
          <w:color w:val="000000"/>
          <w:sz w:val="20"/>
        </w:rPr>
        <w:t>- The expected dividend yield is zero as the Company has no plans to make dividend payments.</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 xml:space="preserve">The following table sets forth the weighted average assumptions used in estimating the fair value of stock option awards on the grant date: </w:t>
      </w:r>
    </w:p>
    <w:p>
      <w:pPr>
        <w:pStyle w:val="TextBody"/>
        <w:bidi w:val="0"/>
        <w:jc w:val="left"/>
        <w:rPr/>
      </w:pPr>
      <w:r>
        <w:rPr/>
        <w:t> </w:t>
      </w:r>
    </w:p>
    <w:tbl>
      <w:tblPr>
        <w:tblW w:w="3459" w:type="dxa"/>
        <w:jc w:val="left"/>
        <w:tblInd w:w="0" w:type="dxa"/>
        <w:tblLayout w:type="fixed"/>
        <w:tblCellMar>
          <w:top w:w="28" w:type="dxa"/>
          <w:left w:w="28" w:type="dxa"/>
          <w:bottom w:w="28" w:type="dxa"/>
          <w:right w:w="28" w:type="dxa"/>
        </w:tblCellMar>
      </w:tblPr>
      <w:tblGrid>
        <w:gridCol w:w="2131"/>
        <w:gridCol w:w="146"/>
        <w:gridCol w:w="146"/>
        <w:gridCol w:w="574"/>
        <w:gridCol w:w="146"/>
        <w:gridCol w:w="316"/>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Restricted Stock Units</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 xml:space="preserve">A summary of restricted stock unit (“RSU”) activity during the periods indicated is as follows: </w:t>
      </w:r>
    </w:p>
    <w:tbl>
      <w:tblPr>
        <w:tblW w:w="9910" w:type="dxa"/>
        <w:jc w:val="left"/>
        <w:tblInd w:w="0" w:type="dxa"/>
        <w:tblLayout w:type="fixed"/>
        <w:tblCellMar>
          <w:top w:w="28" w:type="dxa"/>
          <w:left w:w="28" w:type="dxa"/>
          <w:bottom w:w="28" w:type="dxa"/>
          <w:right w:w="28" w:type="dxa"/>
        </w:tblCellMar>
      </w:tblPr>
      <w:tblGrid>
        <w:gridCol w:w="2596"/>
        <w:gridCol w:w="146"/>
        <w:gridCol w:w="375"/>
        <w:gridCol w:w="2160"/>
        <w:gridCol w:w="166"/>
        <w:gridCol w:w="146"/>
        <w:gridCol w:w="1223"/>
        <w:gridCol w:w="2707"/>
        <w:gridCol w:w="39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1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270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Restricted Stock Units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Grant-Date Fair Value per Share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348,702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(178,558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167,206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ind w:left="0" w:right="0" w:firstLine="979"/>
        <w:jc w:val="left"/>
        <w:rPr>
          <w:rFonts w:ascii="Times New Roman" w:hAnsi="Times New Roman"/>
          <w:sz w:val="20"/>
        </w:rPr>
      </w:pPr>
      <w:r>
        <w:rPr>
          <w:rFonts w:ascii="Times New Roman" w:hAnsi="Times New Roman"/>
          <w:color w:val="000000"/>
          <w:sz w:val="20"/>
        </w:rPr>
        <w:t>As of June 30, 2026, there was $0.8 million of unrecognized stock-based compensation expense related to RSUs which is expected to be recognized over a weighted-average period of approximately</w:t>
      </w:r>
      <w:r>
        <w:rPr>
          <w:rFonts w:ascii="Times New Roman" w:hAnsi="Times New Roman"/>
          <w:color w:val="FF0000"/>
          <w:sz w:val="20"/>
        </w:rPr>
        <w:t xml:space="preserve"> </w:t>
      </w:r>
      <w:r>
        <w:rPr>
          <w:rFonts w:ascii="Times New Roman" w:hAnsi="Times New Roman"/>
          <w:color w:val="000000"/>
          <w:sz w:val="20"/>
        </w:rPr>
        <w:t>0.7 years. The total fair value of RSUs vested was $0.2 million for the six months ended June 30, 2026.</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Stock-Based Compensation Expense</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 xml:space="preserve">The following table summarizes the components of stock-based compensation expense resulting from the grant of stock options, RSUs and the Employee Stock Purchase Plan (“ESPP”), recorded in the Company’s condensed consolidated statement of operations and comprehensive loss (in thousands): </w:t>
      </w:r>
    </w:p>
    <w:tbl>
      <w:tblPr>
        <w:tblW w:w="5951" w:type="dxa"/>
        <w:jc w:val="left"/>
        <w:tblInd w:w="0" w:type="dxa"/>
        <w:tblLayout w:type="fixed"/>
        <w:tblCellMar>
          <w:top w:w="28" w:type="dxa"/>
          <w:left w:w="28" w:type="dxa"/>
          <w:bottom w:w="28" w:type="dxa"/>
          <w:right w:w="28" w:type="dxa"/>
        </w:tblCellMar>
      </w:tblPr>
      <w:tblGrid>
        <w:gridCol w:w="3146"/>
        <w:gridCol w:w="146"/>
        <w:gridCol w:w="235"/>
        <w:gridCol w:w="637"/>
        <w:gridCol w:w="162"/>
        <w:gridCol w:w="162"/>
        <w:gridCol w:w="235"/>
        <w:gridCol w:w="637"/>
        <w:gridCol w:w="591"/>
      </w:tblGrid>
      <w:tr>
        <w:trPr/>
        <w:tc>
          <w:tcPr>
            <w:tcW w:w="3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31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1,330</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3,178</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14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4,508</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7,217</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sz w:val="20"/>
        </w:rPr>
      </w:pPr>
      <w:r>
        <w:rPr>
          <w:rFonts w:ascii="Times New Roman" w:hAnsi="Times New Roman"/>
          <w:b/>
          <w:color w:val="000000"/>
          <w:sz w:val="20"/>
        </w:rPr>
        <w:t>12. Commitments and Contingencies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Leases</w:t>
      </w:r>
      <w:r>
        <w:rPr>
          <w:rFonts w:ascii="Times New Roman" w:hAnsi="Times New Roman"/>
          <w:color w:val="000000"/>
          <w:sz w:val="20"/>
        </w:rPr>
        <w:t xml:space="preserve"> </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The Company enters into lease arrangements for office and laboratory facilities under operating leases accounted for in accordance with ASC 842 "Leases" ("ASC 842"). The Company’s future minimum lease payments under operating leases are presented within the lease footnote (Note 8).</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The Company’s lease liabilities represent a contractual commitment to make future payments over the lease term. As of June 30, 2026, the Company had no additional significant lease commitments outside of those recognized as operating lease liabilities on the condensed consolidated balance sheets.</w:t>
      </w:r>
    </w:p>
    <w:p>
      <w:pPr>
        <w:pStyle w:val="TextBody"/>
        <w:bidi w:val="0"/>
        <w:spacing w:before="240" w:after="283"/>
        <w:jc w:val="left"/>
        <w:rPr>
          <w:rFonts w:ascii="Times New Roman" w:hAnsi="Times New Roman"/>
          <w:sz w:val="20"/>
        </w:rPr>
      </w:pPr>
      <w:r>
        <w:rPr>
          <w:rFonts w:ascii="Times New Roman" w:hAnsi="Times New Roman"/>
          <w:b/>
          <w:i/>
          <w:color w:val="000000"/>
          <w:sz w:val="20"/>
        </w:rPr>
        <w:t>Legal Proceedings</w:t>
      </w:r>
      <w:r>
        <w:rPr>
          <w:rFonts w:ascii="Times New Roman" w:hAnsi="Times New Roman"/>
          <w:color w:val="000000"/>
          <w:sz w:val="20"/>
        </w:rPr>
        <w:t xml:space="preserve"> </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In the ordinary course of business, the Company may be subject to legal proceedings, claims and litigation as the Company operates in an industry susceptible to patent legal claims. The Company accounts for estimated losses with respect to legal proceedings and claims when such losses are probable and estimable. Legal costs associated with these matters are expensed when incurred.</w:t>
      </w:r>
    </w:p>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b/>
          <w:color w:val="000000"/>
          <w:sz w:val="20"/>
        </w:rPr>
        <w:t>13. Income Taxes</w:t>
      </w:r>
      <w:r>
        <w:rPr>
          <w:rFonts w:ascii="Times New Roman" w:hAnsi="Times New Roman"/>
          <w:color w:val="000000"/>
          <w:sz w:val="20"/>
        </w:rPr>
        <w:t xml:space="preserve"> </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The Company’s effective income tax rate was zero for each of the six months ended June 30, 2026 and 2025. As a result of the Company’s history of operating losses, the Company believes that recognition of the deferred tax assets arising from such future income tax benefits is currently not likely to be realized and, accordingly, has recognized a full valuation allowance on its deferred tax assets. There were no material changes to uncertain tax positions for the six months ended June 30, 2026 and 2025, and the Company does not anticipate material changes within the next twelve months.</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b/>
          <w:color w:val="000000"/>
          <w:sz w:val="20"/>
        </w:rPr>
        <w:t>14. Net Loss Per Share</w:t>
      </w:r>
      <w:r>
        <w:rPr>
          <w:rFonts w:ascii="Times New Roman" w:hAnsi="Times New Roman"/>
          <w:color w:val="000000"/>
          <w:sz w:val="20"/>
        </w:rPr>
        <w:t xml:space="preserve"> </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 xml:space="preserve">The following table sets forth the computation of basic and diluted net loss per Class A common share attributable to Rani Holdings (in thousands, except per share data):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5264"/>
        <w:gridCol w:w="146"/>
        <w:gridCol w:w="223"/>
        <w:gridCol w:w="827"/>
        <w:gridCol w:w="175"/>
        <w:gridCol w:w="223"/>
        <w:gridCol w:w="716"/>
        <w:gridCol w:w="166"/>
        <w:gridCol w:w="146"/>
        <w:gridCol w:w="211"/>
        <w:gridCol w:w="781"/>
        <w:gridCol w:w="166"/>
        <w:gridCol w:w="211"/>
        <w:gridCol w:w="736"/>
        <w:gridCol w:w="214"/>
      </w:tblGrid>
      <w:tr>
        <w:trPr/>
        <w:tc>
          <w:tcPr>
            <w:tcW w:w="52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52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939"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94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52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Class A common share attributable to Rani Therapeutics Holdings,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(7,391</w:t>
            </w:r>
          </w:p>
        </w:tc>
        <w:tc>
          <w:tcPr>
            <w:tcW w:w="1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(13,956</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Class A common shares outstanding—basic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187,168</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34,999</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Class A common share attributable to Rani Therapeutics Holdings, Inc.—basic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(0.40</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40"/>
        <w:ind w:left="0" w:right="0" w:firstLine="994"/>
        <w:jc w:val="left"/>
        <w:rPr>
          <w:rFonts w:ascii="Times New Roman" w:hAnsi="Times New Roman"/>
          <w:color w:val="000000"/>
          <w:sz w:val="20"/>
        </w:rPr>
      </w:pPr>
      <w:r>
        <w:rPr>
          <w:rFonts w:ascii="Times New Roman" w:hAnsi="Times New Roman"/>
          <w:color w:val="000000"/>
          <w:sz w:val="20"/>
        </w:rPr>
        <w:t>*The pre-funded warrants (Note 9) are considered outstanding shares in the basic earnings per share calculation given their nominal exercise price (as of the beginning of the period or the date of the grant, whichever is earlier).</w:t>
      </w:r>
    </w:p>
    <w:p>
      <w:pPr>
        <w:pStyle w:val="TextBody"/>
        <w:bidi w:val="0"/>
        <w:ind w:left="0" w:right="0" w:firstLine="979"/>
        <w:jc w:val="left"/>
        <w:rPr>
          <w:rFonts w:ascii="Times New Roman" w:hAnsi="Times New Roman"/>
          <w:color w:val="000000"/>
          <w:sz w:val="20"/>
        </w:rPr>
      </w:pPr>
      <w:r>
        <w:rPr>
          <w:rFonts w:ascii="Times New Roman" w:hAnsi="Times New Roman"/>
          <w:color w:val="000000"/>
          <w:sz w:val="20"/>
        </w:rPr>
        <w:t>The following table shows the total outstanding securities considered anti-dilutive and therefore excluded from the computation of diluted net loss per Class A common share attributable to Rani Holdings (in thousands):</w:t>
      </w:r>
    </w:p>
    <w:tbl>
      <w:tblPr>
        <w:tblW w:w="5323" w:type="dxa"/>
        <w:jc w:val="left"/>
        <w:tblInd w:w="0" w:type="dxa"/>
        <w:tblLayout w:type="fixed"/>
        <w:tblCellMar>
          <w:top w:w="28" w:type="dxa"/>
          <w:left w:w="28" w:type="dxa"/>
          <w:bottom w:w="28" w:type="dxa"/>
          <w:right w:w="28" w:type="dxa"/>
        </w:tblCellMar>
      </w:tblPr>
      <w:tblGrid>
        <w:gridCol w:w="3091"/>
        <w:gridCol w:w="146"/>
        <w:gridCol w:w="146"/>
        <w:gridCol w:w="781"/>
        <w:gridCol w:w="146"/>
        <w:gridCol w:w="146"/>
        <w:gridCol w:w="676"/>
        <w:gridCol w:w="19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Paired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23,970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131,569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13,537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Non-corresponding Class A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issuable pursuant to the 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177,962</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6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52,661</w:t>
            </w:r>
          </w:p>
        </w:tc>
        <w:tc>
          <w:tcPr>
            <w:tcW w:w="1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 xml:space="preserve">Shares of Class B Common Stock do not share in the Company’s earnings and are not participating securities. Accordingly, separate presentation of loss per share of Class B common stock under the two-class method has not been provided. The outstanding shares of Class B Common Stock were determined to be anti-dilutive for the six months ended June 30, 2026. Therefore, they are not included in the computation of net loss per Class A common share attributable to Rani Therapeutics Holdings, Inc.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15. Subsequent Events</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In July 2026, certain Purchasers exercised 2,910,000 shares of Pre-Funded Warrants, resulting in 77,357,166 shares of Pre-Funded Warrants outstanding related to the October 2025 Private Placement. The Company received de minimis proceeds from the exercise.</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9" w:name="item_2_managements_discussion"/>
      <w:bookmarkEnd w:id="9"/>
      <w:r>
        <w:rPr>
          <w:rFonts w:ascii="Times New Roman" w:hAnsi="Times New Roman"/>
          <w:b/>
          <w:color w:val="000000"/>
          <w:sz w:val="20"/>
        </w:rPr>
        <w:t>Item 2. Management’s Discussion and Analysis of Financial Condition and Results of Operations</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MANAGEMENT’S DISCUSSION AND ANALYSIS OF</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FINANCIAL CONDITION AND RESULTS OF OPERATIONS</w:t>
      </w:r>
      <w:r>
        <w:rPr>
          <w:rFonts w:ascii="Times New Roman" w:hAnsi="Times New Roman"/>
          <w:color w:val="000000"/>
          <w:sz w:val="20"/>
        </w:rPr>
        <w:t xml:space="preserve"> </w:t>
      </w:r>
    </w:p>
    <w:p>
      <w:pPr>
        <w:pStyle w:val="TextBody"/>
        <w:bidi w:val="0"/>
        <w:spacing w:before="240" w:after="283"/>
        <w:ind w:left="0" w:right="0" w:firstLine="979"/>
        <w:jc w:val="left"/>
        <w:rPr>
          <w:rFonts w:ascii="Times New Roman" w:hAnsi="Times New Roman"/>
          <w:i/>
          <w:color w:val="000000"/>
          <w:sz w:val="20"/>
        </w:rPr>
      </w:pPr>
      <w:r>
        <w:rPr>
          <w:rFonts w:ascii="Times New Roman" w:hAnsi="Times New Roman"/>
          <w:i/>
          <w:color w:val="000000"/>
          <w:sz w:val="20"/>
        </w:rPr>
        <w:t>You should read the following management's discussion and analysis of our financial condition and results of operations together with our unaudited condensed consolidated financial statements and the related notes and other information included elsewhere in this Quarterly Report on Form 10-Q and the audited consolidated financial statements and notes thereto included in our Annual Report on Form 10-K for the year ended December 31, 2025, as filed with the Securities and Exchange Commission ("SEC"). Some of the information contained in this discussion and analysis or set forth elsewhere in this document, includes forward looking statements that involve risks, uncertainties, and assumptions. Our actual results could differ materially from those discussed in or implied by these forward-looking statements. Factors that could cause or contribute to such differences include, but are not limited to, those discussed in the section titled “Risk Factors” in this Quarterly Report on Form 10-Q and in our Annual Report on Form 10-K for the year ended December 31, 2025. Please also see the section titled “Forward Looking Statements.”</w:t>
      </w:r>
    </w:p>
    <w:p>
      <w:pPr>
        <w:pStyle w:val="TextBody"/>
        <w:bidi w:val="0"/>
        <w:spacing w:before="240" w:after="283"/>
        <w:ind w:left="0" w:right="0" w:firstLine="979"/>
        <w:jc w:val="left"/>
        <w:rPr>
          <w:rFonts w:ascii="Times New Roman" w:hAnsi="Times New Roman"/>
          <w:i/>
          <w:color w:val="000000"/>
          <w:sz w:val="20"/>
        </w:rPr>
      </w:pPr>
      <w:r>
        <w:rPr>
          <w:rFonts w:ascii="Times New Roman" w:hAnsi="Times New Roman"/>
          <w:i/>
          <w:color w:val="000000"/>
          <w:sz w:val="20"/>
        </w:rPr>
        <w:t>The following discussion contains references to the three and six months ended June 30, 2026 and 2025, respectively, which represents the condensed consolidated financial results of Rani Therapeutics Holdings, Inc. (the "Company") and its subsidiary, Rani Therapeutics, LLC (“Rani LLC”) for the three and six months ended June 30, 2026 and 2025, respectively. Unless we state otherwise or the context otherwise requires, the terms “we,” “us,” “our,” and “Rani” and similar references refer to the Company and its consolidated subsidiary.</w:t>
      </w:r>
    </w:p>
    <w:p>
      <w:pPr>
        <w:pStyle w:val="TextBody"/>
        <w:bidi w:val="0"/>
        <w:spacing w:before="24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We are a clinical stage biotherapeutics company focusing on advancing technologies to enable the administration of biologics and drugs orally, to provide patients, physicians, and healthcare systems with a convenient alternative to painful injections. Our technology comprises a drug-agnostic oral delivery platform, the RaniPill capsule, which is designed to deliver a wide variety of drug substances, including antibodies, proteins, peptides, and oligonucleotides. We are advancing a portfolio of oral therapeutics using the RaniPill capsule and we are actively pursuing partnering the technology with third party biopharmaceutical companies for the oral delivery of their biologics and drugs.</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Our technology comprises a drug-agnostic oral delivery platform, the RaniPill capsule, which is designed to deliver a wide variety of drug substances, including antibodies, proteins, peptides, and oligonucleotides. We have two configurations of the platform – the RaniPill GO and the RaniPill HC. The RaniPill GO is designed to deliver up to a 3 mg dose of drug in microtablet form with high bioavailability. We have completed three Phase 1 clinical trials using the RaniPill GO. We are also developing a high-capacity version of the RaniPill capsule known as the RaniPill HC, which is intended to enable delivery of drug payloads up to 200µL in liquid form with high bioavailability. We have tested preclinically the RaniPill HC with multiple therapeutics, including multiple different antibodies and peptides. In December 2025, we initiated a Phase 1 clinical trial with the RT-114, a RaniPill HC capsule, containing a bispecific GLP-1/GLP-2 receptor agonist (PG-102) in collaboration with ProGen.</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We believe the RaniPill capsule technology could enable us to deliver most biologics currently on the market with convenient, oral dosing.</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We do not have any products approved for sale, and we have not yet generated any revenue from sales of a commercial product. Our ability to generate product revenue sufficient to achieve profitability, if ever, will depend on the successful development of the RaniPill capsule, which we expect will take a number of years. Given our stage of development, we have not yet established a commercial organization or distribution capabilities, and we have no experience as a company in marketing drugs or a drug-delivery platform. When, and if, any of our product candidates are approved for commercialization, we plan to develop a commercialization infrastructure or engage commercial sales organizations or distributors for those products in the United States, Europe, Asia, and potentially in certain other key markets. We may also rely on partnerships to provide commercialization infrastructure, including sales, marketing, and commercial distribution.</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 xml:space="preserve">As is common with biotechnology companies, we rely on third-party suppliers for the supply of raw materials and active pharmaceutical ingredients ("APIs") and drug substances required for the production of our product candidates. In addition, we work with third parties to manufacture and develop biologics and drugs for inclusion in the RaniPill capsule. Design work, prototyping and pilot manufacturing are performed in house, and we have utilized third-party engineering firms to assist with the design of manufacturing lines that support our supply of the RaniPill capsule. Certain of our suppliers of components and materials are single source suppliers. We believe our vertically integrated manufacturing strategy will offer significant advantages, including rapid product iteration, control over our product quality and the ability to rapidly scale our manufacturing capacity. This capability also allows us to develop future generations of products while maintaining the confidentiality of our intellectual property. Our vertically integrated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manufacturing strategy will result in material future capital outlays and fixed costs related to constructing and operating a manufacturing facility. We have invested and plan to continue to invest in automated manufacturing production lines for the RaniPill capsule. Those assets deemed to have an alternative future use have been capitalized as property and equipment while those projects related to our assets determined to not have an alternative future use have been expensed as research and development costs.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Financial Update</w:t>
      </w:r>
    </w:p>
    <w:p>
      <w:pPr>
        <w:pStyle w:val="TextBody"/>
        <w:bidi w:val="0"/>
        <w:spacing w:before="240" w:after="283"/>
        <w:ind w:left="0" w:right="0" w:firstLine="990"/>
        <w:jc w:val="left"/>
        <w:rPr>
          <w:rFonts w:ascii="Times New Roman" w:hAnsi="Times New Roman"/>
          <w:color w:val="000000"/>
          <w:sz w:val="20"/>
        </w:rPr>
      </w:pPr>
      <w:r>
        <w:rPr>
          <w:rFonts w:ascii="Times New Roman" w:hAnsi="Times New Roman"/>
          <w:color w:val="000000"/>
          <w:sz w:val="20"/>
        </w:rPr>
        <w:t xml:space="preserve">In May 2026, we entered into a securities purchase agreement (the "May 2026 Securities Purchase Agreement") with several institutional investors, relating to the issuance and sale of 12,476,637 shares of Class A common stock, par value $0.0001 per share, and pre-funded warrants to purchase 6,214,953 shares of Class A common stock (the "May 2026 Pre-Funded Warrants"). The May 2026 Pre-Funded Warrants are exercisable immediately, have no expiration date and remain exercisable until exercised in full, and have an exercise price of $0.0001 per share. The offering price was $1.07 per share of Class A common stock, and $1.0699 per May 2026 Pre-Funded Warrant for total gross proceeds of $20.0 million. We incurred issuance costs of approximately $1.6 million. As of June 30, 2026, all May 2026 Pre-Funded Warrants were outstanding.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Clinical Update</w:t>
      </w:r>
    </w:p>
    <w:p>
      <w:pPr>
        <w:pStyle w:val="TextBody"/>
        <w:bidi w:val="0"/>
        <w:spacing w:before="240" w:after="283"/>
        <w:ind w:left="0" w:right="0" w:firstLine="990"/>
        <w:jc w:val="left"/>
        <w:rPr>
          <w:rFonts w:ascii="Times New Roman" w:hAnsi="Times New Roman"/>
          <w:color w:val="000000"/>
          <w:sz w:val="20"/>
        </w:rPr>
      </w:pPr>
      <w:r>
        <w:rPr>
          <w:rFonts w:ascii="Times New Roman" w:hAnsi="Times New Roman"/>
          <w:color w:val="000000"/>
          <w:sz w:val="20"/>
        </w:rPr>
        <w:t>In December 2025, we initiated a Phase 1 clinical trial with RT-114, a RaniPill HC capsule containing a bispecific GLP-1/GLP-2 receptor agonist (PG-102) in collaboration with ProGen, to evaluate the safety, tolerability, bioavailability, and pharmacokinetics / pharmacodynamics of single and multiple doses of RT-114 for the treatment of obesity. The single-center Phase 1 study of RT-114 is being conducted in Australia.</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Recent Developments</w:t>
      </w:r>
    </w:p>
    <w:p>
      <w:pPr>
        <w:pStyle w:val="TextBody"/>
        <w:bidi w:val="0"/>
        <w:spacing w:before="240" w:after="283"/>
        <w:ind w:left="0" w:right="0" w:firstLine="979"/>
        <w:jc w:val="left"/>
        <w:rPr>
          <w:rFonts w:ascii="Times New Roman" w:hAnsi="Times New Roman"/>
          <w:sz w:val="20"/>
        </w:rPr>
      </w:pPr>
      <w:r>
        <w:rPr>
          <w:rFonts w:ascii="Times New Roman" w:hAnsi="Times New Roman"/>
          <w:i/>
          <w:color w:val="000000"/>
          <w:sz w:val="20"/>
        </w:rPr>
        <w:t>Phase 1a Data for RT-114</w:t>
      </w:r>
      <w:r>
        <w:rPr>
          <w:rFonts w:ascii="Times New Roman" w:hAnsi="Times New Roman"/>
          <w:color w:val="000000"/>
          <w:sz w:val="20"/>
        </w:rPr>
        <w:t>. On July 15, 2026, we announced positive initial data from the single-dose, open-label Phase 1a portion of our ongoing Phase 1 clinical trial of RT-114. Thirty healthy volunteers were randomized to receive an identical 12 mg dose of PG-102, delivered either orally via RT-114 or by subcutaneous injection. Oral RT-114 achieved bioavailability exceeding 150% relative to the matched subcutaneous dose, with an elimination half-life of 5.6 days for oral RT-114 versus 5.3 days for the subcutaneous arm. No serious adverse events were reported in either arm, and no adverse events were attributed to the RaniPill capsule itself; treatment-related adverse events (nausea, vomiting, and diarrhea) were mild, transient and consistent with the known profile of GLP-1/GLP-2 dual agonists.</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Based on these results, we expanded the Phase 1a study to include an additional cohort of 15 healthy volunteers, each receiving two separate 12 mg doses of PG-102 via the RaniPill (24 mg total administered dose), to further characterize the oral-to-subcutaneous pharmacokinetic relationship ahead of dose selection for the planned Phase 1b portion of the study. The first participants in the Phase 1a study expansion cohort have been dosed. The Phase 1b study will assess the safety, tolerability, and pharmacodynamic effect of eight weeks of repeat dosing with RT-114 in patients with obesity, and is expected to begin in 2026, with data anticipated in 2027.</w:t>
      </w:r>
    </w:p>
    <w:p>
      <w:pPr>
        <w:pStyle w:val="TextBody"/>
        <w:bidi w:val="0"/>
        <w:spacing w:before="240" w:after="283"/>
        <w:ind w:left="0" w:right="0" w:firstLine="979"/>
        <w:jc w:val="left"/>
        <w:rPr>
          <w:rFonts w:ascii="Times New Roman" w:hAnsi="Times New Roman"/>
          <w:sz w:val="20"/>
        </w:rPr>
      </w:pPr>
      <w:r>
        <w:rPr>
          <w:rFonts w:ascii="Times New Roman" w:hAnsi="Times New Roman"/>
          <w:i/>
          <w:color w:val="000000"/>
          <w:sz w:val="20"/>
        </w:rPr>
        <w:t>PegBio Collaboration</w:t>
      </w:r>
      <w:r>
        <w:rPr>
          <w:rFonts w:ascii="Times New Roman" w:hAnsi="Times New Roman"/>
          <w:color w:val="000000"/>
          <w:sz w:val="20"/>
        </w:rPr>
        <w:t xml:space="preserve">. On July 9, 2026, we entered into a research and development collaboration agreement with PegBio Co., Ltd. to explore oral delivery of multiple novel candidates from PegBio’s obesity and metabolic disease pipeline using the RaniPill platform. Under the agreement, we and PegBio will collaborate on preclinical development of RaniPill formulations for molecules selected from PegBio’s portfolio, with the goal of advancing the most promising candidates into clinical development. No consideration was exchanged between the parties in connection with entering into the agreement. This collaboration builds on our growing obesity franchise alongside RT-114 and our completed preclinical work evaluating other obesity candidates including semaglutide.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Relationship with InCube Labs, LLC</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See Note 7 to the condensed consolidated financial statements contained in Part I, Item 1 of this Quarterly Report on Form 10-Q for additional information.</w:t>
      </w:r>
    </w:p>
    <w:p>
      <w:pPr>
        <w:pStyle w:val="TextBody"/>
        <w:bidi w:val="0"/>
        <w:spacing w:before="24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The results of operations presented below should be reviewed in conjunction with the condensed consolidated financial statements and notes included elsewhere in this Quarterly Report on Form 10-Q. For information with respect to recent accounting pronouncements that are of significance or potential significance to us, see “Note 2. Summary of Significant Accounting Policies” in the “Notes to the Unaudited Condensed Consolidated Financial Statements” contained in Part I, Item 1 of this Quarterly Report on Form 10-Q.</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Comparison of the three months ended June 30, 2026 and 2025</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The following table summarizes our results of operations (in thousands):</w:t>
      </w:r>
    </w:p>
    <w:tbl>
      <w:tblPr>
        <w:tblW w:w="9084" w:type="dxa"/>
        <w:jc w:val="left"/>
        <w:tblInd w:w="0" w:type="dxa"/>
        <w:tblLayout w:type="fixed"/>
        <w:tblCellMar>
          <w:top w:w="28" w:type="dxa"/>
          <w:left w:w="28" w:type="dxa"/>
          <w:bottom w:w="28" w:type="dxa"/>
          <w:right w:w="28" w:type="dxa"/>
        </w:tblCellMar>
      </w:tblPr>
      <w:tblGrid>
        <w:gridCol w:w="4681"/>
        <w:gridCol w:w="146"/>
        <w:gridCol w:w="211"/>
        <w:gridCol w:w="676"/>
        <w:gridCol w:w="166"/>
        <w:gridCol w:w="146"/>
        <w:gridCol w:w="211"/>
        <w:gridCol w:w="736"/>
        <w:gridCol w:w="166"/>
        <w:gridCol w:w="146"/>
        <w:gridCol w:w="146"/>
        <w:gridCol w:w="571"/>
        <w:gridCol w:w="166"/>
        <w:gridCol w:w="916"/>
      </w:tblGrid>
      <w:tr>
        <w:trPr/>
        <w:tc>
          <w:tcPr>
            <w:tcW w:w="4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57" w:type="dxa"/>
            <w:gridSpan w:val="1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income and other,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expense and other,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Net loss attributable to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Rani Therapeutics Holdings,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ind w:left="979" w:right="0" w:hanging="0"/>
        <w:jc w:val="left"/>
        <w:rPr/>
      </w:pPr>
      <w:r>
        <w:rPr/>
        <w:t> </w:t>
      </w:r>
    </w:p>
    <w:p>
      <w:pPr>
        <w:pStyle w:val="TextBody"/>
        <w:bidi w:val="0"/>
        <w:ind w:left="979" w:right="0" w:hanging="0"/>
        <w:jc w:val="left"/>
        <w:rPr>
          <w:rFonts w:ascii="Times New Roman" w:hAnsi="Times New Roman"/>
          <w:color w:val="000000"/>
          <w:sz w:val="20"/>
        </w:rPr>
      </w:pPr>
      <w:r>
        <w:rPr>
          <w:rFonts w:ascii="Times New Roman" w:hAnsi="Times New Roman"/>
          <w:color w:val="000000"/>
          <w:sz w:val="20"/>
        </w:rPr>
        <w:t>* Not meaningful</w:t>
      </w:r>
    </w:p>
    <w:p>
      <w:pPr>
        <w:pStyle w:val="TextBody"/>
        <w:bidi w:val="0"/>
        <w:jc w:val="left"/>
        <w:rPr/>
      </w:pPr>
      <w:r>
        <w:rPr/>
        <w:t> </w:t>
      </w:r>
    </w:p>
    <w:p>
      <w:pPr>
        <w:pStyle w:val="TextBody"/>
        <w:bidi w:val="0"/>
        <w:spacing w:before="40" w:after="283"/>
        <w:ind w:left="979" w:right="0" w:hanging="0"/>
        <w:jc w:val="left"/>
        <w:rPr>
          <w:rFonts w:ascii="Times New Roman" w:hAnsi="Times New Roman"/>
          <w:i/>
          <w:color w:val="000000"/>
          <w:sz w:val="20"/>
        </w:rPr>
      </w:pPr>
      <w:r>
        <w:rPr>
          <w:rFonts w:ascii="Times New Roman" w:hAnsi="Times New Roman"/>
          <w:i/>
          <w:color w:val="000000"/>
          <w:sz w:val="20"/>
        </w:rPr>
        <w:t>Contract Revenue</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Contract revenue of $1.7 million for the three months ended June 30, 2026, was attributable to the Chugai Collaboration and License Agreement entered into in October 2025. There was no contract revenue for the same period in 2025.</w:t>
      </w:r>
    </w:p>
    <w:p>
      <w:pPr>
        <w:pStyle w:val="TextBody"/>
        <w:bidi w:val="0"/>
        <w:jc w:val="left"/>
        <w:rPr/>
      </w:pPr>
      <w:r>
        <w:rPr/>
        <w:t> </w:t>
      </w:r>
    </w:p>
    <w:p>
      <w:pPr>
        <w:pStyle w:val="TextBody"/>
        <w:bidi w:val="0"/>
        <w:spacing w:before="40" w:after="283"/>
        <w:ind w:left="979" w:right="0" w:hanging="0"/>
        <w:jc w:val="left"/>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 xml:space="preserve">The following table reflects our research and development costs by nature of expense (in thousands): </w:t>
      </w:r>
    </w:p>
    <w:p>
      <w:pPr>
        <w:pStyle w:val="TextBody"/>
        <w:bidi w:val="0"/>
        <w:ind w:left="979" w:right="0" w:hanging="0"/>
        <w:jc w:val="left"/>
        <w:rPr/>
      </w:pPr>
      <w:r>
        <w:rPr/>
        <w:t> </w:t>
      </w:r>
    </w:p>
    <w:tbl>
      <w:tblPr>
        <w:tblW w:w="7377" w:type="dxa"/>
        <w:jc w:val="left"/>
        <w:tblInd w:w="0" w:type="dxa"/>
        <w:tblLayout w:type="fixed"/>
        <w:tblCellMar>
          <w:top w:w="28" w:type="dxa"/>
          <w:left w:w="28" w:type="dxa"/>
          <w:bottom w:w="28" w:type="dxa"/>
          <w:right w:w="28" w:type="dxa"/>
        </w:tblCellMar>
      </w:tblPr>
      <w:tblGrid>
        <w:gridCol w:w="4576"/>
        <w:gridCol w:w="146"/>
        <w:gridCol w:w="257"/>
        <w:gridCol w:w="697"/>
        <w:gridCol w:w="178"/>
        <w:gridCol w:w="178"/>
        <w:gridCol w:w="257"/>
        <w:gridCol w:w="697"/>
        <w:gridCol w:w="391"/>
      </w:tblGrid>
      <w:tr>
        <w:trPr/>
        <w:tc>
          <w:tcPr>
            <w:tcW w:w="4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Payroll, stock-based compensation and related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3,665</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Facilities, materials and supplies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1,131</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Third-party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5,017</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The decrease of $0.5 million in research and development expenses in the three months ended June 30, 2026, as compared to the same period in 2025, was primarily attributed to lower compensation costs of $0.4 million and $0.1 million reduction in facilities, materials and supplies.</w:t>
      </w:r>
    </w:p>
    <w:p>
      <w:pPr>
        <w:pStyle w:val="TextBody"/>
        <w:bidi w:val="0"/>
        <w:ind w:left="979" w:right="0" w:hanging="0"/>
        <w:jc w:val="left"/>
        <w:rPr/>
      </w:pPr>
      <w:r>
        <w:rPr/>
        <w:t> </w:t>
      </w:r>
    </w:p>
    <w:p>
      <w:pPr>
        <w:pStyle w:val="TextBody"/>
        <w:bidi w:val="0"/>
        <w:spacing w:before="40" w:after="283"/>
        <w:ind w:left="979" w:right="0" w:hanging="0"/>
        <w:jc w:val="left"/>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The increase of $0.5 million in general and administrative expenses in the three months ended June 30, 2026, as compared to the same period in 2025, was primarily attributed to higher compensation costs of $0.3 million and increase of $0.2 million in third-party services.</w:t>
      </w:r>
    </w:p>
    <w:p>
      <w:pPr>
        <w:pStyle w:val="TextBody"/>
        <w:bidi w:val="0"/>
        <w:spacing w:before="240" w:after="283"/>
        <w:ind w:left="979" w:right="0" w:hanging="0"/>
        <w:jc w:val="left"/>
        <w:rPr>
          <w:rFonts w:ascii="Times New Roman" w:hAnsi="Times New Roman"/>
          <w:i/>
          <w:color w:val="000000"/>
          <w:sz w:val="20"/>
        </w:rPr>
      </w:pPr>
      <w:r>
        <w:rPr>
          <w:rFonts w:ascii="Times New Roman" w:hAnsi="Times New Roman"/>
          <w:i/>
          <w:color w:val="000000"/>
          <w:sz w:val="20"/>
        </w:rPr>
        <w:t>Other Income (Expense), Net</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 xml:space="preserve">The increase of $1.2 million in other income (expense), net, in the three months ended June 30, 2026, as compared to the same period in 2025, was primarily attributed to an increase in interest income of $0.3 million from our investment in marketable securities and a decrease in interest expense of $0.9 million.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Comparison of the six months ended June 30, 2026 and 2025</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The following table summarizes our results of operations (in thousands):</w:t>
      </w:r>
    </w:p>
    <w:p>
      <w:pPr>
        <w:pStyle w:val="TextBody"/>
        <w:bidi w:val="0"/>
        <w:ind w:left="979" w:right="0" w:hanging="0"/>
        <w:jc w:val="left"/>
        <w:rPr/>
      </w:pPr>
      <w:r>
        <w:rPr/>
        <w:t> </w:t>
      </w:r>
    </w:p>
    <w:tbl>
      <w:tblPr>
        <w:tblW w:w="9294" w:type="dxa"/>
        <w:jc w:val="left"/>
        <w:tblInd w:w="0" w:type="dxa"/>
        <w:tblLayout w:type="fixed"/>
        <w:tblCellMar>
          <w:top w:w="28" w:type="dxa"/>
          <w:left w:w="28" w:type="dxa"/>
          <w:bottom w:w="28" w:type="dxa"/>
          <w:right w:w="28" w:type="dxa"/>
        </w:tblCellMar>
      </w:tblPr>
      <w:tblGrid>
        <w:gridCol w:w="4681"/>
        <w:gridCol w:w="146"/>
        <w:gridCol w:w="211"/>
        <w:gridCol w:w="736"/>
        <w:gridCol w:w="166"/>
        <w:gridCol w:w="146"/>
        <w:gridCol w:w="211"/>
        <w:gridCol w:w="736"/>
        <w:gridCol w:w="166"/>
        <w:gridCol w:w="146"/>
        <w:gridCol w:w="146"/>
        <w:gridCol w:w="721"/>
        <w:gridCol w:w="166"/>
        <w:gridCol w:w="916"/>
      </w:tblGrid>
      <w:tr>
        <w:trPr/>
        <w:tc>
          <w:tcPr>
            <w:tcW w:w="4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7" w:type="dxa"/>
            <w:gridSpan w:val="1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income and other,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expense and other,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Net loss attributable to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Rani Therapeutics Holdings,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40" w:after="283"/>
        <w:ind w:left="979" w:right="0" w:hanging="0"/>
        <w:jc w:val="left"/>
        <w:rPr>
          <w:rFonts w:ascii="Times New Roman" w:hAnsi="Times New Roman"/>
          <w:i/>
          <w:color w:val="000000"/>
          <w:sz w:val="20"/>
        </w:rPr>
      </w:pPr>
      <w:r>
        <w:rPr>
          <w:rFonts w:ascii="Times New Roman" w:hAnsi="Times New Roman"/>
          <w:i/>
          <w:color w:val="000000"/>
          <w:sz w:val="20"/>
        </w:rPr>
        <w:t>Contract Revenue</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Contract revenue of $3.4 million for the six months ended June 30, 2026, was attributable to the Chugai Collaboration and License Agreement entered into in October 2025. There was $0.2 million in contract revenue for the same period in 2025 attributable to evaluation services performed for the evaluation agreement with Chugai.</w:t>
      </w:r>
    </w:p>
    <w:p>
      <w:pPr>
        <w:pStyle w:val="TextBody"/>
        <w:bidi w:val="0"/>
        <w:ind w:left="979" w:right="0" w:hanging="0"/>
        <w:jc w:val="left"/>
        <w:rPr/>
      </w:pPr>
      <w:r>
        <w:rPr/>
        <w:t> </w:t>
      </w:r>
    </w:p>
    <w:p>
      <w:pPr>
        <w:pStyle w:val="TextBody"/>
        <w:bidi w:val="0"/>
        <w:spacing w:before="40" w:after="283"/>
        <w:ind w:left="979" w:right="0" w:hanging="0"/>
        <w:jc w:val="left"/>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 xml:space="preserve">The following table reflects our research and development costs by nature of expense (in thousands): </w:t>
      </w:r>
    </w:p>
    <w:p>
      <w:pPr>
        <w:pStyle w:val="TextBody"/>
        <w:bidi w:val="0"/>
        <w:ind w:left="979" w:right="0" w:hanging="0"/>
        <w:jc w:val="left"/>
        <w:rPr/>
      </w:pPr>
      <w:r>
        <w:rPr/>
        <w:t> </w:t>
      </w:r>
    </w:p>
    <w:tbl>
      <w:tblPr>
        <w:tblW w:w="7181" w:type="dxa"/>
        <w:jc w:val="left"/>
        <w:tblInd w:w="0" w:type="dxa"/>
        <w:tblLayout w:type="fixed"/>
        <w:tblCellMar>
          <w:top w:w="28" w:type="dxa"/>
          <w:left w:w="28" w:type="dxa"/>
          <w:bottom w:w="28" w:type="dxa"/>
          <w:right w:w="28" w:type="dxa"/>
        </w:tblCellMar>
      </w:tblPr>
      <w:tblGrid>
        <w:gridCol w:w="4576"/>
        <w:gridCol w:w="146"/>
        <w:gridCol w:w="211"/>
        <w:gridCol w:w="677"/>
        <w:gridCol w:w="146"/>
        <w:gridCol w:w="146"/>
        <w:gridCol w:w="211"/>
        <w:gridCol w:w="677"/>
        <w:gridCol w:w="391"/>
      </w:tblGrid>
      <w:tr>
        <w:trPr/>
        <w:tc>
          <w:tcPr>
            <w:tcW w:w="4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Payroll, stock-based compensation and related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Facilities, materials and supplies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Third-party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12,075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The decrease of $1.9 million in research and development expenses in the six months ended June 30, 2026, as compared to the same period in 2025, was primarily attributed to lower compensation costs of $1.5 million, $0.3 million reduction in facilities, materials and supplies and $0.1 million reduction in third-party services.</w:t>
      </w:r>
    </w:p>
    <w:p>
      <w:pPr>
        <w:pStyle w:val="TextBody"/>
        <w:bidi w:val="0"/>
        <w:spacing w:before="240" w:after="283"/>
        <w:ind w:left="0" w:right="0" w:firstLine="979"/>
        <w:jc w:val="left"/>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The decrease of $0.2 million in general and administrative expenses in the six months ended June 30, 2026, as compared to the same period in 2025, was primarily attributed to lower compensation costs of $0.9 million and $0.1 million reduction in facilities, materials and supplies offset by an increase of $0.8 million in third-party services.</w:t>
      </w:r>
    </w:p>
    <w:p>
      <w:pPr>
        <w:pStyle w:val="TextBody"/>
        <w:bidi w:val="0"/>
        <w:spacing w:before="240" w:after="283"/>
        <w:ind w:left="979" w:right="0" w:hanging="0"/>
        <w:jc w:val="left"/>
        <w:rPr>
          <w:rFonts w:ascii="Times New Roman" w:hAnsi="Times New Roman"/>
          <w:sz w:val="20"/>
        </w:rPr>
      </w:pPr>
      <w:r>
        <w:rPr>
          <w:rFonts w:ascii="Times New Roman" w:hAnsi="Times New Roman"/>
          <w:i/>
          <w:color w:val="000000"/>
          <w:sz w:val="20"/>
        </w:rPr>
        <w:t>Other Income (Expense), Net</w:t>
      </w:r>
      <w:r>
        <w:rPr>
          <w:rFonts w:ascii="Times New Roman" w:hAnsi="Times New Roman"/>
          <w:color w:val="000000"/>
          <w:sz w:val="20"/>
        </w:rPr>
        <w:t xml:space="preserve"> </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 xml:space="preserve">The increase of $2.2 million in other income (expense), net, in the six months ended June 30, 2026, as compared to the same period in 2025, was primarily attributed to an increase in interest income of $0.5 million from our investment in marketable securities and decrease in interest expense of $1.7 million.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Overview</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We have incurred recurring losses and negative cash flows from operations since inception, including net loss of $16.4 million for the six months ended June 30, 2026. As of June 30, 2026, we had an accumulated deficit of $147.0 million and for the six months ended June 30, 2026, had negative cash flows from operations of $15.5 million. As of June 30, 2026, our cash, cash equivalents and marketable securities totaled $53.4 million. We expect to continue to incur losses for the foreseeable future, and our net losses may fluctuate significantly from period to period, depending on the timing of and expenditures on our planned research and development activities.</w:t>
      </w:r>
    </w:p>
    <w:p>
      <w:pPr>
        <w:pStyle w:val="TextBody"/>
        <w:bidi w:val="0"/>
        <w:spacing w:before="240" w:after="283"/>
        <w:ind w:left="0" w:right="0" w:firstLine="990"/>
        <w:jc w:val="left"/>
        <w:rPr>
          <w:rFonts w:ascii="Times New Roman" w:hAnsi="Times New Roman"/>
          <w:color w:val="000000"/>
          <w:sz w:val="20"/>
        </w:rPr>
      </w:pPr>
      <w:r>
        <w:rPr>
          <w:rFonts w:ascii="Times New Roman" w:hAnsi="Times New Roman"/>
          <w:color w:val="000000"/>
          <w:sz w:val="20"/>
        </w:rPr>
        <w:t>In May 2026, we entered into the May 2026 Securities Purchase Agreement with several institutional investors, relating to the issuance and sale of 12,476,637 shares of Class A common stock, par value $0.0001 per share, and pre-funded warrants to purchase 6,214,953 shares of Class A common stock (the "May 2026 Pre-Funded Warrants"). The May 2026 Pre-Funded Warrants are exercisable immediately, have no expiration date and remain exercisable until exercised in full, and have an exercise price of $0.0001 per share. The offering price was $1.07 per share of Class A common stock, and $1.0699 per May 2026 Pre-Funded Warrant for total gross proceeds of $20.0 million. We incurred issuance costs of approximately $1.6 million. As of June 30, 2026, all May 2026 Pre-Funded Warrants were outstanding.</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 xml:space="preserve">Based on our current operating plans and assumptions, we believe that our cash, cash equivalents, and marketable securities will be sufficient to fund our operations through at least twelve months from the date that our condensed consolidated financial statements for the six months ended June 30, 2026 are issued.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Future Funding Requirements</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We will need to raise substantial additional funds in the future in order to complete the development of the RaniPill platform, to complete the clinical development of our product candidates and seek regulatory approval thereof, to expand our manufacturing capabilities, to further develop the RaniPill technology and to commercialize any of our product candidates.</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To date, we have not generated any commercial product revenue. We do not expect to generate any commercial product revenue unless and until we obtain regulatory approval and commercialize any of our product candidates, and we do not know when, or if at all, that will occur. We will continue to require additional capital to develop our product candidates and fund operations for the foreseeable future. Our primary uses of cash are to fund our operations, which consist primarily of research and development expenses related to our programs, manufacturing automation and scaleup, and general and administrative expenses. We expect our expenses to continue to increase in connection with our ongoing activities as we continue to advance the RaniPill technology and our product candidates.</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We may seek to raise capital through equity offerings or debt financings, which may include collaboration agreements, or other arrangements with other companies, or through other sources of financing. Adequate additional funding may not be available to us on acceptable terms or at all. Our failure to raise capital as and when needed could have a negative impact on our consolidated financial condition and our ability to pursue our business strategies. We anticipate that we will need to raise substantial additional capital, the requirements of which will depend on many factors, including:</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progress, costs, trial design, results of and timing of our preclinical studies and clinical trials; </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our current collaborations, including those with Chugai and ProGen, and our ability to receive expected milestones under these collaborations;</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progress, costs, and results of our research pipeline; </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willingness of the FDA, or other regulatory authorities to accept data from our clinical trials, as well as data from our completed and planned clinical trials and preclinical studies and other work, as the basis for review and approval of our product candidates or collaborator drugs or biologics paired with the RaniPill technology for various indications;</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outcome, costs, and timing of seeking and obtaining FDA and any other regulatory approvals; </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and characteristics of product candidates that we pursue; </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manufacture sufficient quantities of the RaniPill capsules; </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need to expand our research and development activities;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associated with manufacturing our product candidates, including establishing commercial supplies and sales, marketing, and distribution capabilities; </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associated with securing and establishing commercial infrastructure; </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of acquiring, licensing, or investing in businesses, product candidates, and technologies; </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 </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need and ability to retain key management and hire scientific, technical, business, and engineering personnel; </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effect of competing drugs and product candidates and other market developments; </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receipt, and amount of sales from our potential products, if approved; </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establish strategic collaborations; </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need to implement additional internal systems and infrastructure, including financial and reporting systems;</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security breaches, data losses or other disruptions affecting our information systems;</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realize savings from any restructuring plans or cost-containment measures we may implement; and</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economic and other terms, timing of and success of any collaboration, licensing, or other arrangements which we may enter in the future.</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If we raise additional capital through debt financing, we may be subject to covenants that restrict our operations including limitations on our ability to incur liens or additional debt, pay dividends, make certain investments, and engage in certain merger, consolidation, or asset sale transactions. Any debt financing or additional equity that we raise may contain terms that are not favorable to us. If we raise funds through collaborations, we may have to relinquish valuable rights to our technologies, future revenue streams, research programs, product candidates or grant licenses on terms that may not be favorable to us. If we are unable to raise additional funds when needed, we may be required to delay, reduce, or terminate some or all of our development programs and clinical trials or delay investments in our manufacturing scale-up and automation. In addition, our ability to raise additional capital may be adversely impacted by potential worsening global economic conditions and the recent disruptions to and volatility in the credit and financial markets in the U.S. and worldwide resulting from the effects of ongoing military conflicts, inflationary pressures, potential future bank failures, or otherwise. In this regard, the ongoing Russia-Ukraine military conflict and the ongoing military conflict involving the U.S., Israel and Iran have created extreme volatility in the global credit and financial markets and have had and may continue to have further global economic consequences, including continued disruptions of the global supply chain and energy markets, which could continue to drive inflationary pressures and increase global recession risk.</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The following table summarizes our cash, cash equivalents and marketable securities:</w:t>
      </w:r>
    </w:p>
    <w:p>
      <w:pPr>
        <w:pStyle w:val="TextBody"/>
        <w:bidi w:val="0"/>
        <w:jc w:val="left"/>
        <w:rPr/>
      </w:pPr>
      <w:r>
        <w:rPr/>
        <w:t> </w:t>
      </w:r>
    </w:p>
    <w:tbl>
      <w:tblPr>
        <w:tblW w:w="7312" w:type="dxa"/>
        <w:jc w:val="left"/>
        <w:tblInd w:w="0" w:type="dxa"/>
        <w:tblLayout w:type="fixed"/>
        <w:tblCellMar>
          <w:top w:w="28" w:type="dxa"/>
          <w:left w:w="28" w:type="dxa"/>
          <w:bottom w:w="28" w:type="dxa"/>
          <w:right w:w="28" w:type="dxa"/>
        </w:tblCellMar>
      </w:tblPr>
      <w:tblGrid>
        <w:gridCol w:w="4601"/>
        <w:gridCol w:w="146"/>
        <w:gridCol w:w="211"/>
        <w:gridCol w:w="676"/>
        <w:gridCol w:w="146"/>
        <w:gridCol w:w="146"/>
        <w:gridCol w:w="260"/>
        <w:gridCol w:w="835"/>
        <w:gridCol w:w="291"/>
      </w:tblGrid>
      <w:tr>
        <w:trPr/>
        <w:tc>
          <w:tcPr>
            <w:tcW w:w="4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18,618</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31,091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60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cash, cash equivalents and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53,391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49,709</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b/>
          <w:i/>
          <w:color w:val="000000"/>
          <w:sz w:val="20"/>
        </w:rPr>
        <w:t>Cash Flows</w:t>
      </w:r>
      <w:r>
        <w:rPr>
          <w:rFonts w:ascii="Times New Roman" w:hAnsi="Times New Roman"/>
          <w:color w:val="000000"/>
          <w:sz w:val="20"/>
        </w:rPr>
        <w:t xml:space="preserve"> </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 xml:space="preserve">The following table summarizes our cash flows for the periods presented (in thousands): </w:t>
      </w:r>
    </w:p>
    <w:p>
      <w:pPr>
        <w:pStyle w:val="TextBody"/>
        <w:bidi w:val="0"/>
        <w:jc w:val="left"/>
        <w:rPr/>
      </w:pPr>
      <w:r>
        <w:rPr/>
        <w:t> </w:t>
      </w:r>
    </w:p>
    <w:tbl>
      <w:tblPr>
        <w:tblW w:w="9134" w:type="dxa"/>
        <w:jc w:val="left"/>
        <w:tblInd w:w="0" w:type="dxa"/>
        <w:tblLayout w:type="fixed"/>
        <w:tblCellMar>
          <w:top w:w="28" w:type="dxa"/>
          <w:left w:w="28" w:type="dxa"/>
          <w:bottom w:w="28" w:type="dxa"/>
          <w:right w:w="28" w:type="dxa"/>
        </w:tblCellMar>
      </w:tblPr>
      <w:tblGrid>
        <w:gridCol w:w="6571"/>
        <w:gridCol w:w="146"/>
        <w:gridCol w:w="211"/>
        <w:gridCol w:w="736"/>
        <w:gridCol w:w="166"/>
        <w:gridCol w:w="146"/>
        <w:gridCol w:w="211"/>
        <w:gridCol w:w="736"/>
        <w:gridCol w:w="211"/>
      </w:tblGrid>
      <w:tr>
        <w:trPr/>
        <w:tc>
          <w:tcPr>
            <w:tcW w:w="6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(13,945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23,942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(decrease)/increase in cash, cash equivalents and restricted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Operating Activities</w:t>
      </w:r>
      <w:r>
        <w:rPr>
          <w:rFonts w:ascii="Times New Roman" w:hAnsi="Times New Roman"/>
          <w:color w:val="000000"/>
          <w:sz w:val="20"/>
        </w:rPr>
        <w:t xml:space="preserve"> </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Net cash used in operating activities for the six months ended June 30, 2026 was $15.5 million, which was primarily attributable to a net loss of $16.4 million and net accretion and amortization of investments in marketable securities of $0.5 million, partially offset by stock-based compensation expense of $4.5 million, non-cash operating lease expense of $1.0 million and depreciation and amortization expense of $0.3 million. Additionally, there was an increase in accounts payable of $0.3 million, prepaid expenses and other current assets of $0.5 million and a decrease in deferred revenue of $3.4 million, operating lease liabilities of $1.0 million and accrued expenses and other current liabilities of $0.8 million for the six months ended June 30, 2026.</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Net cash used in operating activities for the six months ended June 30, 2025 was $13.9 million, which was primarily attributable to a net loss of $24.0 million and net accretion and amortization of investments in marketable securities of $0.2 million, partially offset by stock-based compensation expense of $7.2 million and depreciation and amortization expense of $0.5 million. Additionally, there was an increase in accounts payable of $0.4 million, accrued expenses and other current liabilities of $0.6 million and a decrease in contract asset of $0.4 million and prepaid expenses and other current assets of $0.8 million for the six months ended June 30, 2025.</w:t>
      </w:r>
    </w:p>
    <w:p>
      <w:pPr>
        <w:pStyle w:val="TextBody"/>
        <w:bidi w:val="0"/>
        <w:spacing w:before="240" w:after="283"/>
        <w:jc w:val="left"/>
        <w:rPr>
          <w:rFonts w:ascii="Times New Roman" w:hAnsi="Times New Roman"/>
          <w:sz w:val="20"/>
        </w:rPr>
      </w:pPr>
      <w:r>
        <w:rPr>
          <w:rFonts w:ascii="Times New Roman" w:hAnsi="Times New Roman"/>
          <w:b/>
          <w:i/>
          <w:color w:val="000000"/>
          <w:sz w:val="20"/>
        </w:rPr>
        <w:t>Investing Activities</w:t>
      </w:r>
      <w:r>
        <w:rPr>
          <w:rFonts w:ascii="Times New Roman" w:hAnsi="Times New Roman"/>
          <w:color w:val="000000"/>
          <w:sz w:val="20"/>
        </w:rPr>
        <w:t xml:space="preserve"> </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 xml:space="preserve">For the six months ended June 30, 2026, net cash used in investing activities was $17.0 million, which primarily consisted of $41.0 million in proceeds from maturities of marketable securities partially offset by $58.0 million in purchases of marketable securities. </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 xml:space="preserve">For the six months ended June 30, 2025, net cash provided by investing activities was $23.9 million, which primarily consisted of $26.8 million in proceeds from maturities of marketable securities partially offset by $2.7 million in purchases of marketable securities and $0.1 million in purchases of property and equipment. </w:t>
      </w:r>
    </w:p>
    <w:p>
      <w:pPr>
        <w:pStyle w:val="TextBody"/>
        <w:bidi w:val="0"/>
        <w:spacing w:before="240" w:after="283"/>
        <w:jc w:val="left"/>
        <w:rPr>
          <w:rFonts w:ascii="Times New Roman" w:hAnsi="Times New Roman"/>
          <w:sz w:val="20"/>
        </w:rPr>
      </w:pPr>
      <w:r>
        <w:rPr>
          <w:rFonts w:ascii="Times New Roman" w:hAnsi="Times New Roman"/>
          <w:b/>
          <w:i/>
          <w:color w:val="000000"/>
          <w:sz w:val="20"/>
        </w:rPr>
        <w:t>Financing Activities</w:t>
      </w:r>
      <w:r>
        <w:rPr>
          <w:rFonts w:ascii="Times New Roman" w:hAnsi="Times New Roman"/>
          <w:color w:val="000000"/>
          <w:sz w:val="20"/>
        </w:rPr>
        <w:t xml:space="preserve"> </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For the six months ended June 30, 2026, net cash provided by financing activities was $18.8 million, which primarily consisted of net proceeds from issuance of common stock and pre-funded warrants in connection with the May 2026 Securities Purchase Agreement of $18.7 million and the exercise of stock options of $0.1 million.</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For the six months ended June 30, 2025, net cash used in financing activities was $3.5 million, which primarily consisted of repayment of debt of $7.5 million offset by the exercise of warrants of $3.9 million.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Contractual Obligations and Other Commitments</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As of June 30, 2026, there have been no material changes to our contractual obligations and other commitments compared to those disclosed in our Annual Report on Form 10-K.</w:t>
      </w:r>
    </w:p>
    <w:p>
      <w:pPr>
        <w:pStyle w:val="TextBody"/>
        <w:bidi w:val="0"/>
        <w:spacing w:before="240" w:after="120"/>
        <w:ind w:left="0" w:right="0" w:firstLine="979"/>
        <w:jc w:val="left"/>
        <w:rPr>
          <w:rFonts w:ascii="Times New Roman" w:hAnsi="Times New Roman"/>
          <w:color w:val="000000"/>
          <w:sz w:val="20"/>
        </w:rPr>
      </w:pPr>
      <w:r>
        <w:rPr>
          <w:rFonts w:ascii="Times New Roman" w:hAnsi="Times New Roman"/>
          <w:color w:val="000000"/>
          <w:sz w:val="20"/>
        </w:rPr>
        <w:t>The following table summarizes our contractual obligations and commitments as of June 30, 2026 (in thousands):</w:t>
      </w:r>
    </w:p>
    <w:tbl>
      <w:tblPr>
        <w:tblW w:w="5171" w:type="dxa"/>
        <w:jc w:val="left"/>
        <w:tblInd w:w="0" w:type="dxa"/>
        <w:tblLayout w:type="fixed"/>
        <w:tblCellMar>
          <w:top w:w="28" w:type="dxa"/>
          <w:left w:w="28" w:type="dxa"/>
          <w:bottom w:w="28" w:type="dxa"/>
          <w:right w:w="28" w:type="dxa"/>
        </w:tblCellMar>
      </w:tblPr>
      <w:tblGrid>
        <w:gridCol w:w="1666"/>
        <w:gridCol w:w="146"/>
        <w:gridCol w:w="211"/>
        <w:gridCol w:w="571"/>
        <w:gridCol w:w="146"/>
        <w:gridCol w:w="146"/>
        <w:gridCol w:w="247"/>
        <w:gridCol w:w="669"/>
        <w:gridCol w:w="146"/>
        <w:gridCol w:w="146"/>
        <w:gridCol w:w="239"/>
        <w:gridCol w:w="647"/>
        <w:gridCol w:w="19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Short-term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Long-term</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Operating leases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8" w:space="1" w:color="000000"/>
        </w:pBdr>
        <w:bidi w:val="0"/>
        <w:spacing w:before="120" w:after="283"/>
        <w:ind w:left="0" w:right="9360" w:hanging="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(1) Represents operating lease payments. See Note 8 to the condensed consolidated financial statements contained in Part I, Item 1 of this Quarterly Report on Form 10-Q for additional information.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We prepare our condensed consolidated financial statements in accordance with U.S. generally accepted accounting principles, which require our management to make estimates that affect the reported amounts of assets, liabilities and disclosures of contingent assets and liabilities at the balance sheet dates, as well as the reported amounts of revenues and expenses during the reporting periods. We base our estimates on our own historical experience and other assumptions that we believe are reasonable after taking account of our circumstances and expectations for the future based on available information. To the extent that there are material differences between these estimates and actual results, our financial condition or results of operations would be affected.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We consider an accounting estimate to be critical if: (i) the accounting estimate requires us to make assumptions about matters that were highly uncertain at the time the accounting estimate was made, and (ii) changes in the estimate that are reasonably likely to occur from period to period or use of different estimates that we reasonably could have used in the current period, would have a material impact on our financial condition or results of operations. There are items within our condensed consolidated financial statements that require estimation but are not deemed critical, as defined above.</w:t>
      </w:r>
    </w:p>
    <w:p>
      <w:pPr>
        <w:pStyle w:val="TextBody"/>
        <w:bidi w:val="0"/>
        <w:spacing w:before="240" w:after="283"/>
        <w:jc w:val="left"/>
        <w:rPr>
          <w:rFonts w:ascii="Times New Roman" w:hAnsi="Times New Roman"/>
          <w:sz w:val="20"/>
        </w:rPr>
      </w:pPr>
      <w:r>
        <w:rPr>
          <w:rFonts w:ascii="Times New Roman" w:hAnsi="Times New Roman"/>
          <w:b/>
          <w:i/>
          <w:color w:val="000000"/>
          <w:sz w:val="20"/>
        </w:rPr>
        <w:t>Recently Adopted Accounting Standards</w:t>
      </w:r>
      <w:r>
        <w:rPr>
          <w:rFonts w:ascii="Times New Roman" w:hAnsi="Times New Roman"/>
          <w:color w:val="000000"/>
          <w:sz w:val="20"/>
        </w:rPr>
        <w:t xml:space="preserve"> </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See Note 2 to the condensed consolidated financial statements contained in Part I, Item 1 of this Quarterly Report on Form 10-Q for additional information.</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Other Information</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JOBS Act Accounting Election</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We are an “emerging growth company” within the meaning of the Jumpstart Our Business Startups Act of 2012 (the “JOBS Act”). The JOBS Act permits an emerging growth company like us to take advantage of an extended transition period to comply with new or revised accounting standards applicable to public companies. We are electing to use this extended transition period and we will therefore comply with new or revised accounting standards on the earlier of (i) when they apply to private companies; or (ii) when we lose our emerging growth company status. As a result, our financial statements may not be comparable with companies that comply with public company effective dates for accounting standards. We also rely on other exemptions provided by the JOBS Act, including not being required to comply with the auditor attestation requirements of Section 404(b) of the Sarbanes-Oxley Act unless we cease to be an emerging growth company.</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We will remain an emerging growth company until the earliest of (1) December 31, 2026 (the last day of the fiscal year following the fifth anniversary of the closing of our IPO), (2) the last day of the fiscal year in which we have total annual gross revenue of at least $1.235 billion, (3) the last day of the fiscal year in which we are deemed to be a “large accelerated filer” as defined in Rule 12b-2 under the Securities Exchange Act of 1934, as amended (the “Exchange Act”), which would occur if the market value of our Class A common stock held by non-affiliates exceeded $700.0 million as of the last business day of the second fiscal quarter of such year or (4) the date on which we have issued more than $1.0 billion in non-convertible debt securities during the prior three-year period.</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10" w:name="item3_quantitative"/>
      <w:bookmarkEnd w:id="10"/>
      <w:r>
        <w:rPr>
          <w:rFonts w:ascii="Times New Roman" w:hAnsi="Times New Roman"/>
          <w:b/>
          <w:color w:val="000000"/>
          <w:sz w:val="20"/>
        </w:rPr>
        <w:t>Item 3. Quantitative and Qualitative Disclosures About Market Risk</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We are a smaller reporting company as defined by Rule 12b-2 of the Exchange Act and are not required to provide the information required under this item.</w:t>
      </w:r>
    </w:p>
    <w:p>
      <w:pPr>
        <w:pStyle w:val="TextBody"/>
        <w:bidi w:val="0"/>
        <w:spacing w:before="240" w:after="283"/>
        <w:jc w:val="left"/>
        <w:rPr>
          <w:rFonts w:ascii="Times New Roman" w:hAnsi="Times New Roman"/>
          <w:b/>
          <w:color w:val="000000"/>
          <w:sz w:val="20"/>
        </w:rPr>
      </w:pPr>
      <w:bookmarkStart w:id="11" w:name="item4_controlsandprocedures"/>
      <w:bookmarkEnd w:id="11"/>
      <w:r>
        <w:rPr>
          <w:rFonts w:ascii="Times New Roman" w:hAnsi="Times New Roman"/>
          <w:b/>
          <w:color w:val="000000"/>
          <w:sz w:val="20"/>
        </w:rPr>
        <w:t>Item 4. Controls and Procedures</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 xml:space="preserve">Under the supervision and with the participation of our management, including our Chief Executive Officer and Chief Financial Officer, we evaluated the effectiveness of our disclosure controls and procedures pursuant to Rule 13a-15(e) and 15(d)-15(e) under the Exchange Act as of the end of the period covered by this Quarterly Report on Form 10-Q.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Chief Executive Officer and the Chief Financial Officer, to allow timely decisions regarding required disclosures.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upon their evaluation, our Chief Executive Officer and Chief Financial Officer concluded that, solely as a result of the material weakness previously identified by management and described in our Annual Report on Form 10-K for the fiscal year ended December 31, 2025, our disclosure controls and procedures were not effective as of June 30, 2026.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Previously Identified Material Weakness</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As described in Part II, Item 9A, Controls and Procedures, of our Annual Report on Form 10-K for the fiscal year ended December 31, 2025, we previously identified a material weakness related to the design and implementation effectiveness of the control related to the accounting for certain significant and complex or unusual transactions. While the material weakness did not result in a misstatement of our previously filed annual or interim consolidated financial statements, this material weakness, until remediated, could result in a material misstatement to one or more accounts or disclosures that would not be prevented or detected on a timely basis.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Remediation</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 xml:space="preserve">During the three months ended June 30, 2026, we continued to implement remediation measures designed to strengthen our internal control over financial reporting and remediate previously identified material weakness. These measures include revising policies and procedures and implementing additional training to enhance our risk assessment and review processes related to significant and complex transactions, particularly in evolving and growing areas of our business. </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 xml:space="preserve">These remediation efforts are subject to ongoing senior management review, as well as oversight by the Audit Committee of our Board of Directors. The material weakness will not be considered remediated until the relevant control has been designed and implemented effectively for a sufficient period of time and management has concluded, through testing, that the control is effective. We will continue to monitor the effectiveness of our remediation efforts and make additional improvements as management deems necessary. </w:t>
      </w:r>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Except as noted above, there were no changes in our internal control over financial reporting, as such term is defined in Rules 13a-15(f) and 15d-15(f) under the Exchange Act, during the three months ended June 30, 2026 that have materially affected, or are reasonably likely to materially affect, our internal control over financial reporting.</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Inherent Limitations on Effectiveness of Controls</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 xml:space="preserve">Our management, including our Chief Executive Officer and Chief Financial Officer, believes that our disclosure controls and procedures over financial reporting are designed to provide reasonable assurance of achieving their objectives and are effective at the reasonable assurance level. However, our management does not expect that our disclosure controls and procedures will prevent or detect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2" w:name="part_ii_other_information"/>
      <w:bookmarkEnd w:id="12"/>
      <w:r>
        <w:rPr>
          <w:rFonts w:ascii="Times New Roman" w:hAnsi="Times New Roman"/>
          <w:b/>
          <w:color w:val="000000"/>
          <w:sz w:val="20"/>
        </w:rPr>
        <w:t>PART II—OTHER INFORMATION</w:t>
      </w:r>
    </w:p>
    <w:p>
      <w:pPr>
        <w:pStyle w:val="TextBody"/>
        <w:bidi w:val="0"/>
        <w:spacing w:before="240" w:after="283"/>
        <w:jc w:val="left"/>
        <w:rPr>
          <w:rFonts w:ascii="Times New Roman" w:hAnsi="Times New Roman"/>
          <w:b/>
          <w:color w:val="000000"/>
          <w:sz w:val="20"/>
        </w:rPr>
      </w:pPr>
      <w:bookmarkStart w:id="13" w:name="item_1_legal_proceedings"/>
      <w:bookmarkEnd w:id="13"/>
      <w:r>
        <w:rPr>
          <w:rFonts w:ascii="Times New Roman" w:hAnsi="Times New Roman"/>
          <w:b/>
          <w:color w:val="000000"/>
          <w:sz w:val="20"/>
        </w:rPr>
        <w:t>Item 1. Legal Proceedings</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 xml:space="preserve">From time to time, we may become involved in litigation or other legal proceedings. We are not currently a party to any litigation or legal proceedings that, in the opinion of our management, are likely to have a material adverse effect on our business. Regardless of outcome, litigation can have an adverse impact on us because of defense and settlement costs, diversion of management resources, and other factors. </w:t>
      </w:r>
    </w:p>
    <w:p>
      <w:pPr>
        <w:pStyle w:val="TextBody"/>
        <w:bidi w:val="0"/>
        <w:spacing w:before="240" w:after="283"/>
        <w:jc w:val="left"/>
        <w:rPr>
          <w:rFonts w:ascii="Times New Roman" w:hAnsi="Times New Roman"/>
          <w:b/>
          <w:color w:val="000000"/>
          <w:sz w:val="20"/>
        </w:rPr>
      </w:pPr>
      <w:bookmarkStart w:id="14" w:name="item_1a_risk_factors"/>
      <w:bookmarkEnd w:id="14"/>
      <w:r>
        <w:rPr>
          <w:rFonts w:ascii="Times New Roman" w:hAnsi="Times New Roman"/>
          <w:b/>
          <w:color w:val="000000"/>
          <w:sz w:val="20"/>
        </w:rPr>
        <w:t>Item 1A. Risk Factors</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Other than described below, management believes that there have been no significant changes to the risk factors associated with our business as compared to those disclosed in Part 1, Item 1A of our Annual Report on Form 10-K for the year ended December 31, 2025.</w:t>
      </w:r>
    </w:p>
    <w:p>
      <w:pPr>
        <w:pStyle w:val="TextBody"/>
        <w:bidi w:val="0"/>
        <w:spacing w:before="240" w:after="283"/>
        <w:ind w:left="0" w:right="0" w:firstLine="979"/>
        <w:jc w:val="left"/>
        <w:rPr>
          <w:rFonts w:ascii="Times New Roman" w:hAnsi="Times New Roman"/>
          <w:b/>
          <w:i/>
          <w:color w:val="000000"/>
          <w:sz w:val="20"/>
        </w:rPr>
      </w:pPr>
      <w:r>
        <w:rPr>
          <w:rFonts w:ascii="Times New Roman" w:hAnsi="Times New Roman"/>
          <w:b/>
          <w:i/>
          <w:color w:val="000000"/>
          <w:sz w:val="20"/>
        </w:rPr>
        <w:t>We currently do not meet, and may not regain compliance with, the listing standards of the Nasdaq Stock Market LLC, or Nasdaq, and as a result our Class A common stock may be delisted. Delisting could adversely affect the liquidity of our Class A common stock and the market price of our Class A common stock could decrease, and our ability to obtain sufficient additional capital to fund our operations and to continue to operate as a going concern would be substantially impaired.</w:t>
      </w:r>
    </w:p>
    <w:p>
      <w:pPr>
        <w:pStyle w:val="TextBody"/>
        <w:bidi w:val="0"/>
        <w:spacing w:before="240" w:after="240"/>
        <w:ind w:left="0" w:right="0" w:firstLine="979"/>
        <w:jc w:val="left"/>
        <w:rPr>
          <w:rFonts w:ascii="Times New Roman" w:hAnsi="Times New Roman"/>
          <w:color w:val="000000"/>
          <w:sz w:val="20"/>
        </w:rPr>
      </w:pPr>
      <w:r>
        <w:rPr>
          <w:rFonts w:ascii="Times New Roman" w:hAnsi="Times New Roman"/>
          <w:color w:val="000000"/>
          <w:sz w:val="20"/>
        </w:rPr>
        <w:t xml:space="preserve">Our Class A common stock is currently listed on the Nasdaq Global Market, which has minimum requirements that a company must meet in order to remain listed. These requirements include maintaining a minimum closing bid price of $1.00 per share, which closing bid price cannot fall below $1.00 per share for a period of more than 30 consecutive trading days, or the Bid Price Requirement. On May 11, 2026, we received a deficiency notice, or the Notice, from the Listing Qualifications Staff, or the Staff, of Nasdaq notifying us that, for the last 30 consecutive business days, the bid price of our Class A common stock had closed below $1.00 per share, thereby failing to satisfy the Bid Price Requirement set forth in the continued listing requirements of Nasdaq Listing Rule 5450(a)(1). The Notice has no immediate effect on the listing of our Class A common stock on the Nasdaq Global Market. In accordance with Nasdaq Listing Rule 5810(c)(3)(A), we have 180 calendar days, or until November 9, 2026, to regain compliance with the Bid Price Requirement by having shares of our Class A common stock maintain a minimum closing bid price of at least $1.00 per share for a minimum of 10 consecutive trading days. In the event we do not regain compliance with the Bid Price Requirement prior to the expiration of the compliance period, our Class A common stock may be subject to a delisting action by Nasdaq. </w:t>
      </w:r>
    </w:p>
    <w:p>
      <w:pPr>
        <w:pStyle w:val="TextBody"/>
        <w:bidi w:val="0"/>
        <w:spacing w:before="0" w:after="240"/>
        <w:ind w:left="0" w:right="0" w:firstLine="979"/>
        <w:jc w:val="left"/>
        <w:rPr>
          <w:rFonts w:ascii="Times New Roman" w:hAnsi="Times New Roman"/>
          <w:color w:val="000000"/>
          <w:sz w:val="20"/>
        </w:rPr>
      </w:pPr>
      <w:r>
        <w:rPr>
          <w:rFonts w:ascii="Times New Roman" w:hAnsi="Times New Roman"/>
          <w:color w:val="000000"/>
          <w:sz w:val="20"/>
        </w:rPr>
        <w:t>Alternatively, we may be eligible for an additional 180-calendar day compliance period if we elect to transfer to the Nasdaq Capital Market to take advantage of the additional compliance period offered on that market. To qualify, we will be required to meet the continued listing requirement for market value of publicly held shares and all other initial listing standards, with the exception of the Bid Price Requirement, and will need to provide written notice of our intention to cure the deficiency during the second compliance period by effecting a reverse stock split if necessary. If we do not regain compliance within the compliance period(s), including any extensions that may be granted by Nasdaq, then the Class A common stock will be subject to delisting. We intend to monitor the closing bid price of our Class A common stock and consider our available options to resolve the noncompliance with the Bid Price Requirement. There can be no assurance that we will be able to regain compliance with the Nasdaq Global Market’s continued listing requirements or that Nasdaq will grant us a further extension of time to regain compliance, if applicable.</w:t>
      </w:r>
    </w:p>
    <w:p>
      <w:pPr>
        <w:pStyle w:val="TextBody"/>
        <w:bidi w:val="0"/>
        <w:spacing w:before="0" w:after="240"/>
        <w:ind w:left="0" w:right="0" w:firstLine="979"/>
        <w:jc w:val="left"/>
        <w:rPr>
          <w:rFonts w:ascii="Times New Roman" w:hAnsi="Times New Roman"/>
          <w:color w:val="000000"/>
          <w:sz w:val="20"/>
        </w:rPr>
      </w:pPr>
      <w:r>
        <w:rPr>
          <w:rFonts w:ascii="Times New Roman" w:hAnsi="Times New Roman"/>
          <w:color w:val="000000"/>
          <w:sz w:val="20"/>
        </w:rPr>
        <w:t>A reverse stock split may allow us to meet the Bid Price Requirement, but we cannot assure you that a reverse stock split will be approved by our stockholders or that any reverse stock split, if implemented, will be sufficient to enable us to maintain our Nasdaq listing. Additionally, if a reverse stock split is implemented, there can be no assurance that the market price per post-split share of our Class A common stock following the reverse stock split will remain unchanged or will increase in proportion to the reduction in the number of pre-split shares of our Class A common stock outstanding before the reverse stock split. The liquidity of the shares of our Class A common stock may be affected adversely by any reverse stock split given the reduced number of shares of our Class A common stock that will be outstanding following such reverse stock split. Furthermore, following any reverse stock split, the resulting market price of our Class A common stock may not attract new investors and may not satisfy the investing requirements of those investors.</w:t>
      </w:r>
    </w:p>
    <w:p>
      <w:pPr>
        <w:pStyle w:val="TextBody"/>
        <w:bidi w:val="0"/>
        <w:spacing w:before="0" w:after="240"/>
        <w:ind w:left="0" w:right="0" w:firstLine="979"/>
        <w:jc w:val="left"/>
        <w:rPr>
          <w:rFonts w:ascii="Times New Roman" w:hAnsi="Times New Roman"/>
          <w:color w:val="000000"/>
          <w:sz w:val="20"/>
        </w:rPr>
      </w:pPr>
      <w:r>
        <w:rPr>
          <w:rFonts w:ascii="Times New Roman" w:hAnsi="Times New Roman"/>
          <w:color w:val="000000"/>
          <w:sz w:val="20"/>
        </w:rPr>
        <w:t>In the event that our Class A common stock is delisted from Nasdaq as a result of our failure to regain compliance with the Bid Price Requirement, as a result of Nasdaq not granting us an extension or the panel not granting us a favorable decision or due to our failure to continue to comply with any other requirement for continued listing on Nasdaq, trading of our Class A common stock could be conducted in the over-the-counter market or on an electronic bulletin board established for unlisted securities such as the Pink Sheets or the OTC Bulletin Board, but there can be no assurance that our Class A common stock will be eligible for trading on such alternative exchange or market.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ind w:left="0" w:right="0" w:firstLine="979"/>
        <w:jc w:val="left"/>
        <w:rPr>
          <w:rFonts w:ascii="Times New Roman" w:hAnsi="Times New Roman"/>
          <w:color w:val="000000"/>
          <w:sz w:val="20"/>
        </w:rPr>
      </w:pPr>
      <w:r>
        <w:rPr>
          <w:rFonts w:ascii="Times New Roman" w:hAnsi="Times New Roman"/>
          <w:color w:val="000000"/>
          <w:sz w:val="20"/>
        </w:rPr>
        <w:t>Additionally, if our Class A common stock is delisted from Nasdaq, the liquidity of our Class A common stock would be adversely affected, the market price of our Class A common stock could decrease, our ability to obtain sufficient additional capital to fund our operations and to continue to operate as a going concern would be substantially impaired and transactions in our Class A common stock could lose federal preemption of state securities laws. Furthermore, there could also be a further reduction in our coverage by securities analysts and the news media and broker-dealers may be deterred from making a market in or otherwise seeking or generating interest in our Class A common stock, which could cause the price of our Class A common stock to decline further. Moreover, delisting may also negatively affect our collaborators’, vendors’, suppliers’ and employees’ confidence in us and employee morale.</w:t>
      </w:r>
    </w:p>
    <w:p>
      <w:pPr>
        <w:pStyle w:val="TextBody"/>
        <w:bidi w:val="0"/>
        <w:jc w:val="left"/>
        <w:rPr>
          <w:rFonts w:ascii="Times New Roman" w:hAnsi="Times New Roman"/>
          <w:b/>
          <w:color w:val="000000"/>
          <w:sz w:val="20"/>
        </w:rPr>
      </w:pPr>
      <w:bookmarkStart w:id="15" w:name="item_2_unregistered"/>
      <w:bookmarkEnd w:id="15"/>
      <w:r>
        <w:rPr>
          <w:rFonts w:ascii="Times New Roman" w:hAnsi="Times New Roman"/>
          <w:b/>
          <w:color w:val="000000"/>
          <w:sz w:val="20"/>
        </w:rPr>
        <w:t>Item 2. Unregistered Sales of Equity Securities and Use of Proceeds</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b/>
          <w:color w:val="000000"/>
          <w:sz w:val="20"/>
        </w:rPr>
      </w:pPr>
      <w:bookmarkStart w:id="16" w:name="item_3_defaults_upon_senior_securities"/>
      <w:bookmarkEnd w:id="16"/>
      <w:r>
        <w:rPr>
          <w:rFonts w:ascii="Times New Roman" w:hAnsi="Times New Roman"/>
          <w:b/>
          <w:color w:val="000000"/>
          <w:sz w:val="20"/>
        </w:rPr>
        <w:t>Item 3. Defaults Upon Senior Securities</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b/>
          <w:color w:val="000000"/>
          <w:sz w:val="20"/>
        </w:rPr>
      </w:pPr>
      <w:bookmarkStart w:id="17" w:name="item_4_mine_safety_disclosures"/>
      <w:bookmarkEnd w:id="17"/>
      <w:r>
        <w:rPr>
          <w:rFonts w:ascii="Times New Roman" w:hAnsi="Times New Roman"/>
          <w:b/>
          <w:color w:val="000000"/>
          <w:sz w:val="20"/>
        </w:rPr>
        <w:t>Item 4. Mine Safety Disclosures</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left"/>
        <w:rPr>
          <w:rFonts w:ascii="Times New Roman" w:hAnsi="Times New Roman"/>
          <w:b/>
          <w:color w:val="000000"/>
          <w:sz w:val="20"/>
        </w:rPr>
      </w:pPr>
      <w:bookmarkStart w:id="18" w:name="item_5_other_information"/>
      <w:bookmarkEnd w:id="18"/>
      <w:r>
        <w:rPr>
          <w:rFonts w:ascii="Times New Roman" w:hAnsi="Times New Roman"/>
          <w:b/>
          <w:color w:val="000000"/>
          <w:sz w:val="20"/>
        </w:rPr>
        <w:t>Item 5. Other Information</w:t>
      </w:r>
    </w:p>
    <w:p>
      <w:pPr>
        <w:pStyle w:val="TextBody"/>
        <w:bidi w:val="0"/>
        <w:spacing w:before="240" w:after="360"/>
        <w:ind w:left="0" w:right="0" w:firstLine="979"/>
        <w:jc w:val="left"/>
        <w:rPr>
          <w:rFonts w:ascii="Times New Roman" w:hAnsi="Times New Roman"/>
          <w:color w:val="000000"/>
          <w:sz w:val="20"/>
        </w:rPr>
      </w:pPr>
      <w:r>
        <w:rPr>
          <w:rFonts w:ascii="Times New Roman" w:hAnsi="Times New Roman"/>
          <w:color w:val="000000"/>
          <w:sz w:val="20"/>
        </w:rPr>
        <w:t>During the three months ended June 30, 2026, none of our directors or officers (as defined in Rule 16a-1(f) under the Exchange Act) adopted or terminated any “Rule 10b5-1 trading arrangement” or “non-Rule 10b5-1 trading arrangement,” as those terms are defined in Item 408 of Regulation S-K.</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9" w:name="item_6_exhibits"/>
      <w:bookmarkEnd w:id="19"/>
      <w:r>
        <w:rPr>
          <w:rFonts w:ascii="Times New Roman" w:hAnsi="Times New Roman"/>
          <w:b/>
          <w:color w:val="000000"/>
          <w:sz w:val="20"/>
        </w:rPr>
        <w:t>Item 6. Exhibits</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 xml:space="preserve">The following is a list of all exhibits filed or furnished as part of this report: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69"/>
        <w:gridCol w:w="146"/>
        <w:gridCol w:w="9290"/>
      </w:tblGrid>
      <w:tr>
        <w:trPr/>
        <w:tc>
          <w:tcPr>
            <w:tcW w:w="7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90" w:type="dxa"/>
            <w:tcBorders/>
            <w:vAlign w:val="center"/>
          </w:tcPr>
          <w:p>
            <w:pPr>
              <w:pStyle w:val="TableContents"/>
              <w:bidi w:val="0"/>
              <w:spacing w:before="0" w:after="283"/>
              <w:jc w:val="left"/>
              <w:rPr>
                <w:sz w:val="4"/>
                <w:szCs w:val="4"/>
              </w:rPr>
            </w:pPr>
            <w:r>
              <w:rPr>
                <w:sz w:val="4"/>
                <w:szCs w:val="4"/>
              </w:rPr>
            </w:r>
          </w:p>
        </w:tc>
      </w:tr>
      <w:tr>
        <w:trPr/>
        <w:tc>
          <w:tcPr>
            <w:tcW w:w="769"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90"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Amended and Restated Certificate of Incorporation of the Registrant as currently in effect (incorporated by reference to Exhibit 3.1 to the Registrant’s Current Report on Form 8-K dated December 31, 2025, filed with the SEC on January 2, 2026).</w:t>
              </w:r>
            </w:hyperlink>
          </w:p>
        </w:tc>
      </w:tr>
      <w:tr>
        <w:trPr/>
        <w:tc>
          <w:tcPr>
            <w:tcW w:w="7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Amended and Restated Bylaws of the Registrant as currently in effect (incorporated by reference to Exhibit 3.2 to the Registrant’s Current Report on Form 8-K dated December 31, 2025, filed with the SEC on January 2, 2026).</w:t>
              </w:r>
            </w:hyperlink>
          </w:p>
        </w:tc>
      </w:tr>
      <w:tr>
        <w:trPr/>
        <w:tc>
          <w:tcPr>
            <w:tcW w:w="7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Pre-Funded Common Stock Purchase Warrant (incorporated by reference to Exhibit 4.1 to the Registrant’s Current Report on Form 8-K dated May 26, 2026).</w:t>
              </w:r>
            </w:hyperlink>
          </w:p>
        </w:tc>
      </w:tr>
      <w:tr>
        <w:trPr/>
        <w:tc>
          <w:tcPr>
            <w:tcW w:w="7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10.1</w:t>
            </w:r>
            <w:r>
              <w:rPr>
                <w:rFonts w:ascii="Times New Roman" w:hAnsi="Times New Roman"/>
                <w:color w:val="000000"/>
                <w:sz w:val="20"/>
                <w:u w:val="single"/>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Offer Letter, by and between Rani Therapeutics LLC and Nicholas Maestas dated June 24, 2026 (incorporated by reference to Exhibit 10.1 to the Registrant’s Current Report on Form 8-K dated June 24, 2026).</w:t>
              </w:r>
            </w:hyperlink>
          </w:p>
        </w:tc>
      </w:tr>
      <w:tr>
        <w:trPr/>
        <w:tc>
          <w:tcPr>
            <w:tcW w:w="7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10.2</w:t>
            </w:r>
            <w:r>
              <w:rPr>
                <w:rFonts w:ascii="Times New Roman" w:hAnsi="Times New Roman"/>
                <w:color w:val="000000"/>
                <w:sz w:val="20"/>
                <w:u w:val="single"/>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Rani Therapeutics Holdings, Inc. 2026 Equity Inducement Plan (incorporated by reference to Exhibit 10.2 to the Registrant’s Current Report on Form 8-K dated June 24, 2026).</w:t>
              </w:r>
            </w:hyperlink>
          </w:p>
        </w:tc>
      </w:tr>
      <w:tr>
        <w:trPr/>
        <w:tc>
          <w:tcPr>
            <w:tcW w:w="7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10.3</w:t>
            </w:r>
            <w:r>
              <w:rPr>
                <w:rFonts w:ascii="Times New Roman" w:hAnsi="Times New Roman"/>
                <w:color w:val="000000"/>
                <w:sz w:val="20"/>
                <w:u w:val="single"/>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Form of Stock Option Agreement under Rani Therapeutics Holdings, Inc. 2026 Equity Inducement Plan (incorporated by reference to Exhibit 10.3 to the Registrant’s Current Report on Form 8-K dated June 24, 2026).</w:t>
              </w:r>
            </w:hyperlink>
          </w:p>
        </w:tc>
      </w:tr>
      <w:tr>
        <w:trPr/>
        <w:tc>
          <w:tcPr>
            <w:tcW w:w="7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10.4*</w:t>
            </w:r>
            <w:r>
              <w:rPr>
                <w:rFonts w:ascii="Times New Roman" w:hAnsi="Times New Roman"/>
                <w:color w:val="000000"/>
                <w:sz w:val="20"/>
                <w:u w:val="single"/>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ani-ex10_4.htm">
              <w:r>
                <w:rPr>
                  <w:rStyle w:val="InternetLink"/>
                  <w:rFonts w:ascii="Times New Roman" w:hAnsi="Times New Roman"/>
                  <w:color w:val="0000FF"/>
                  <w:sz w:val="20"/>
                  <w:u w:val="single"/>
                </w:rPr>
                <w:t>Separation Agreement with Svai Sanford dated May 15, 2026</w:t>
              </w:r>
            </w:hyperlink>
          </w:p>
        </w:tc>
      </w:tr>
      <w:tr>
        <w:trPr/>
        <w:tc>
          <w:tcPr>
            <w:tcW w:w="7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ani-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7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ani-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7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ani-ex32_1.htm">
              <w:r>
                <w:rPr>
                  <w:rStyle w:val="InternetLink"/>
                  <w:rFonts w:ascii="Times New Roman" w:hAnsi="Times New Roman"/>
                  <w:color w:val="0000FF"/>
                  <w:sz w:val="20"/>
                  <w:u w:val="single"/>
                </w:rPr>
                <w:t>Certification of Principal Executive Officer and Principal Financial Officer Pursuant to 18 U.S.C. Section 1350, as Adopted Pursuant to Section 906 of the Sarbanes-Oxley Act of 2002.</w:t>
              </w:r>
            </w:hyperlink>
          </w:p>
        </w:tc>
      </w:tr>
      <w:tr>
        <w:trPr/>
        <w:tc>
          <w:tcPr>
            <w:tcW w:w="7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rPr/>
        <w:tc>
          <w:tcPr>
            <w:tcW w:w="7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7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16"/>
        <w:gridCol w:w="9489"/>
      </w:tblGrid>
      <w:tr>
        <w:trPr/>
        <w:tc>
          <w:tcPr>
            <w:tcW w:w="716" w:type="dxa"/>
            <w:tcBorders/>
            <w:vAlign w:val="center"/>
          </w:tcPr>
          <w:p>
            <w:pPr>
              <w:pStyle w:val="TableContents"/>
              <w:bidi w:val="0"/>
              <w:spacing w:before="0" w:after="283"/>
              <w:jc w:val="left"/>
              <w:rPr>
                <w:sz w:val="4"/>
                <w:szCs w:val="4"/>
              </w:rPr>
            </w:pPr>
            <w:r>
              <w:rPr>
                <w:sz w:val="4"/>
                <w:szCs w:val="4"/>
              </w:rPr>
            </w:r>
          </w:p>
        </w:tc>
        <w:tc>
          <w:tcPr>
            <w:tcW w:w="9489" w:type="dxa"/>
            <w:tcBorders/>
            <w:vAlign w:val="center"/>
          </w:tcPr>
          <w:p>
            <w:pPr>
              <w:pStyle w:val="TableContents"/>
              <w:bidi w:val="0"/>
              <w:spacing w:before="0" w:after="283"/>
              <w:jc w:val="left"/>
              <w:rPr>
                <w:sz w:val="4"/>
                <w:szCs w:val="4"/>
              </w:rPr>
            </w:pPr>
            <w:r>
              <w:rPr>
                <w:sz w:val="4"/>
                <w:szCs w:val="4"/>
              </w:rPr>
            </w:r>
          </w:p>
        </w:tc>
      </w:tr>
      <w:tr>
        <w:trPr/>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0"/>
              </w:rPr>
            </w:pPr>
            <w:r>
              <w:rPr>
                <w:rFonts w:ascii="Times New Roman" w:hAnsi="Times New Roman"/>
                <w:color w:val="000000"/>
                <w:sz w:val="20"/>
              </w:rPr>
              <w:t>*</w:t>
            </w:r>
          </w:p>
        </w:tc>
        <w:tc>
          <w:tcPr>
            <w:tcW w:w="9489" w:type="dxa"/>
            <w:tcBorders/>
            <w:shd w:fill="FFFFFF" w:val="clear"/>
            <w:tcMar>
              <w:top w:w="0" w:type="dxa"/>
              <w:left w:w="0" w:type="dxa"/>
              <w:bottom w:w="0" w:type="dxa"/>
              <w:right w:w="0" w:type="dxa"/>
            </w:tcMar>
            <w:vAlign w:val="center"/>
          </w:tcPr>
          <w:p>
            <w:pPr>
              <w:pStyle w:val="TableContents"/>
              <w:pBdr/>
              <w:bidi w:val="0"/>
              <w:spacing w:before="0" w:after="283"/>
              <w:ind w:left="0" w:right="0" w:hanging="490"/>
              <w:jc w:val="left"/>
              <w:rPr>
                <w:rFonts w:ascii="Times New Roman" w:hAnsi="Times New Roman"/>
                <w:color w:val="000000"/>
                <w:sz w:val="20"/>
              </w:rPr>
            </w:pPr>
            <w:r>
              <w:rPr>
                <w:rFonts w:ascii="Times New Roman" w:hAnsi="Times New Roman"/>
                <w:color w:val="000000"/>
                <w:sz w:val="20"/>
              </w:rPr>
              <w:t>Filed herewith.</w:t>
            </w:r>
          </w:p>
        </w:tc>
      </w:tr>
      <w:tr>
        <w:trPr/>
        <w:tc>
          <w:tcPr>
            <w:tcW w:w="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w:t>
            </w:r>
          </w:p>
        </w:tc>
        <w:tc>
          <w:tcPr>
            <w:tcW w:w="94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Management contract or compensation plan or arrangement.</w:t>
            </w:r>
          </w:p>
        </w:tc>
      </w:tr>
      <w:tr>
        <w:trPr/>
        <w:tc>
          <w:tcPr>
            <w:tcW w:w="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certifications attached as Exhibit 32.1 which accompanies this Quarterly Report on Form 10-Q, are not deemed filed with the Securities and Exchange Commission and are not to be incorporated by reference into any filing of the Registrant under the Securities Act of 1933, as amended, or the Securities Exchange Act of 1934, as amended (whether made before or after the date of this Quarterly Report on Form 10-Q), irrespective of any general incorporation language contained in such filing.</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0" w:name="signatures"/>
      <w:bookmarkEnd w:id="20"/>
      <w:r>
        <w:rPr>
          <w:rFonts w:ascii="Times New Roman" w:hAnsi="Times New Roman"/>
          <w:b/>
          <w:color w:val="000000"/>
          <w:sz w:val="20"/>
        </w:rPr>
        <w:t>SIGNATURES</w:t>
      </w:r>
    </w:p>
    <w:p>
      <w:pPr>
        <w:pStyle w:val="TextBody"/>
        <w:bidi w:val="0"/>
        <w:spacing w:before="240" w:after="283"/>
        <w:ind w:left="0" w:right="0" w:firstLine="979"/>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6374" w:type="dxa"/>
        <w:jc w:val="left"/>
        <w:tblInd w:w="0" w:type="dxa"/>
        <w:tblLayout w:type="fixed"/>
        <w:tblCellMar>
          <w:top w:w="28" w:type="dxa"/>
          <w:left w:w="28" w:type="dxa"/>
          <w:bottom w:w="28" w:type="dxa"/>
          <w:right w:w="28" w:type="dxa"/>
        </w:tblCellMar>
      </w:tblPr>
      <w:tblGrid>
        <w:gridCol w:w="1951"/>
        <w:gridCol w:w="146"/>
        <w:gridCol w:w="406"/>
        <w:gridCol w:w="387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Rani Therapeutics Holdings, Inc.</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13,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8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Talat Imran</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Talat Imran</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i/>
                <w:color w:val="000000"/>
                <w:sz w:val="20"/>
              </w:rPr>
              <w:t>Chief Executive Officer</w:t>
            </w:r>
            <w:r>
              <w:rPr>
                <w:rFonts w:ascii="Times New Roman" w:hAnsi="Times New Roman"/>
                <w:color w:val="000000"/>
                <w:sz w:val="20"/>
              </w:rPr>
              <w:t xml:space="preserve">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Executive Officer)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13,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8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Nicholas M. Maestas</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Nicholas M. Maestas</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i/>
                <w:color w:val="000000"/>
                <w:sz w:val="20"/>
              </w:rPr>
              <w:t>Chief Financial Officer</w:t>
            </w:r>
            <w:r>
              <w:rPr>
                <w:rFonts w:ascii="Times New Roman" w:hAnsi="Times New Roman"/>
                <w:color w:val="000000"/>
                <w:sz w:val="20"/>
              </w:rPr>
              <w:t xml:space="preserve">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Financial and Accounting Officer)</w:t>
            </w:r>
          </w:p>
        </w:tc>
      </w:tr>
    </w:tbl>
    <w:p>
      <w:pPr>
        <w:pStyle w:val="TextBody"/>
        <w:bidi w:val="0"/>
        <w:ind w:left="0" w:right="475" w:hanging="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spacing w:before="0" w:after="240"/>
        <w:jc w:val="right"/>
        <w:rPr>
          <w:rFonts w:ascii="Times New Roman" w:hAnsi="Times New Roman"/>
          <w:b/>
          <w:color w:val="000000"/>
          <w:sz w:val="20"/>
        </w:rPr>
      </w:pPr>
      <w:bookmarkStart w:id="21" w:name="rani-ex10_4.htm"/>
      <w:bookmarkStart w:id="22" w:name="ksraniex10_4"/>
      <w:bookmarkEnd w:id="21"/>
      <w:bookmarkEnd w:id="22"/>
      <w:r>
        <w:rPr>
          <w:rFonts w:ascii="Times New Roman" w:hAnsi="Times New Roman"/>
          <w:b/>
          <w:color w:val="000000"/>
          <w:sz w:val="20"/>
        </w:rPr>
        <w:t>Exhibit 10.4</w:t>
      </w:r>
      <w:r>
        <w:br w:type="page"/>
      </w:r>
    </w:p>
    <w:p>
      <w:pPr>
        <w:pStyle w:val="TextBody"/>
        <w:bidi w:val="0"/>
        <w:ind w:left="360" w:right="0" w:hanging="0"/>
        <w:jc w:val="left"/>
        <w:rPr>
          <w:rFonts w:ascii="Times New Roman" w:hAnsi="Times New Roman"/>
          <w:color w:val="231F20"/>
          <w:sz w:val="20"/>
        </w:rPr>
      </w:pPr>
      <w:r>
        <w:rPr>
          <w:rFonts w:ascii="Times New Roman" w:hAnsi="Times New Roman"/>
          <w:color w:val="231F20"/>
          <w:sz w:val="20"/>
        </w:rPr>
        <w:t>May 15, 2026</w:t>
      </w:r>
    </w:p>
    <w:p>
      <w:pPr>
        <w:pStyle w:val="TextBody"/>
        <w:bidi w:val="0"/>
        <w:spacing w:before="202" w:after="283"/>
        <w:jc w:val="left"/>
        <w:rPr/>
      </w:pPr>
      <w:r>
        <w:rPr/>
        <w:t> </w:t>
      </w:r>
    </w:p>
    <w:p>
      <w:pPr>
        <w:pStyle w:val="TextBody"/>
        <w:bidi w:val="0"/>
        <w:ind w:left="360" w:right="0" w:hanging="0"/>
        <w:jc w:val="left"/>
        <w:rPr>
          <w:rFonts w:ascii="Times New Roman" w:hAnsi="Times New Roman"/>
          <w:color w:val="231F20"/>
          <w:sz w:val="20"/>
        </w:rPr>
      </w:pPr>
      <w:r>
        <w:rPr>
          <w:rFonts w:ascii="Times New Roman" w:hAnsi="Times New Roman"/>
          <w:color w:val="231F20"/>
          <w:sz w:val="20"/>
        </w:rPr>
        <w:t>Svai Sanford</w:t>
      </w:r>
    </w:p>
    <w:p>
      <w:pPr>
        <w:pStyle w:val="TextBody"/>
        <w:bidi w:val="0"/>
        <w:spacing w:before="3" w:after="283"/>
        <w:ind w:left="360" w:right="0" w:hanging="0"/>
        <w:jc w:val="left"/>
        <w:rPr>
          <w:rFonts w:ascii="Times New Roman" w:hAnsi="Times New Roman"/>
          <w:color w:val="231F20"/>
          <w:sz w:val="20"/>
        </w:rPr>
      </w:pPr>
      <w:r>
        <w:rPr>
          <w:rFonts w:ascii="Times New Roman" w:hAnsi="Times New Roman"/>
          <w:color w:val="231F20"/>
          <w:sz w:val="20"/>
        </w:rPr>
        <w:t>VIA DOCUSIGN/EMAIL</w:t>
      </w:r>
    </w:p>
    <w:p>
      <w:pPr>
        <w:pStyle w:val="TextBody"/>
        <w:bidi w:val="0"/>
        <w:spacing w:before="4" w:after="283"/>
        <w:jc w:val="left"/>
        <w:rPr/>
      </w:pPr>
      <w:r>
        <w:rPr/>
        <w:t> </w:t>
      </w:r>
    </w:p>
    <w:p>
      <w:pPr>
        <w:pStyle w:val="TextBody"/>
        <w:bidi w:val="0"/>
        <w:ind w:left="360" w:right="0" w:hanging="0"/>
        <w:jc w:val="left"/>
        <w:rPr>
          <w:rFonts w:ascii="Times New Roman" w:hAnsi="Times New Roman"/>
          <w:color w:val="231F20"/>
          <w:sz w:val="20"/>
        </w:rPr>
      </w:pPr>
      <w:r>
        <w:rPr>
          <w:rFonts w:ascii="Times New Roman" w:hAnsi="Times New Roman"/>
          <w:color w:val="231F20"/>
          <w:sz w:val="20"/>
        </w:rPr>
        <w:t>Dear Svai:</w:t>
      </w:r>
    </w:p>
    <w:p>
      <w:pPr>
        <w:pStyle w:val="TextBody"/>
        <w:pBdr/>
        <w:bidi w:val="0"/>
        <w:spacing w:before="234" w:after="283"/>
        <w:ind w:left="359" w:right="355" w:hanging="1"/>
        <w:jc w:val="both"/>
        <w:rPr>
          <w:rFonts w:ascii="Times New Roman" w:hAnsi="Times New Roman"/>
          <w:sz w:val="20"/>
        </w:rPr>
      </w:pPr>
      <w:r>
        <w:rPr>
          <w:rFonts w:ascii="Times New Roman" w:hAnsi="Times New Roman"/>
          <w:color w:val="231F20"/>
          <w:sz w:val="20"/>
        </w:rPr>
        <w:t>This letter sets forth the terms of the mutual separation agreement (the “</w:t>
      </w:r>
      <w:r>
        <w:rPr>
          <w:rFonts w:ascii="Times New Roman" w:hAnsi="Times New Roman"/>
          <w:b/>
          <w:color w:val="231F20"/>
          <w:sz w:val="20"/>
        </w:rPr>
        <w:t>Agreement</w:t>
      </w:r>
      <w:r>
        <w:rPr>
          <w:rFonts w:ascii="Times New Roman" w:hAnsi="Times New Roman"/>
          <w:color w:val="231F20"/>
          <w:sz w:val="20"/>
        </w:rPr>
        <w:t>”) between you and Rani Therapeutics Holdings, Inc. (the “</w:t>
      </w:r>
      <w:r>
        <w:rPr>
          <w:rFonts w:ascii="Times New Roman" w:hAnsi="Times New Roman"/>
          <w:b/>
          <w:color w:val="231F20"/>
          <w:sz w:val="20"/>
        </w:rPr>
        <w:t>Company</w:t>
      </w:r>
      <w:r>
        <w:rPr>
          <w:rFonts w:ascii="Times New Roman" w:hAnsi="Times New Roman"/>
          <w:color w:val="231F20"/>
          <w:sz w:val="20"/>
        </w:rPr>
        <w:t>”), reflecting the parties’ shared decision to transition your employment relationship and facilitate an orderly transfer of your responsibilities to your successor.</w:t>
      </w:r>
    </w:p>
    <w:p>
      <w:pPr>
        <w:pStyle w:val="TextBody"/>
        <w:bidi w:val="0"/>
        <w:spacing w:before="229" w:after="283"/>
        <w:ind w:left="274" w:right="360" w:firstLine="720"/>
        <w:jc w:val="both"/>
        <w:rPr>
          <w:rFonts w:ascii="Times New Roman" w:hAnsi="Times New Roman"/>
          <w:b/>
          <w:color w:val="231F20"/>
          <w:sz w:val="24"/>
        </w:rPr>
      </w:pPr>
      <w:r>
        <w:rPr>
          <w:rFonts w:ascii="Times New Roman" w:hAnsi="Times New Roman"/>
          <w:b/>
          <w:color w:val="231F20"/>
          <w:sz w:val="24"/>
        </w:rPr>
        <w:t>1.</w:t>
      </w:r>
    </w:p>
    <w:p>
      <w:pPr>
        <w:pStyle w:val="TextBody"/>
        <w:bidi w:val="0"/>
        <w:spacing w:before="229" w:after="283"/>
        <w:jc w:val="both"/>
        <w:rPr/>
      </w:pPr>
      <w:r>
        <w:rPr>
          <w:rFonts w:ascii="Times New Roman" w:hAnsi="Times New Roman"/>
          <w:b/>
          <w:color w:val="231F20"/>
          <w:sz w:val="20"/>
        </w:rPr>
        <w:t xml:space="preserve">SEPARATION. </w:t>
      </w:r>
      <w:r>
        <w:rPr>
          <w:rFonts w:ascii="Times New Roman" w:hAnsi="Times New Roman"/>
          <w:color w:val="231F20"/>
          <w:sz w:val="20"/>
        </w:rPr>
        <w:t>Your last day of work with the Company and your employment termination date will be a date to be determined by you and the Company (the “</w:t>
      </w:r>
      <w:r>
        <w:rPr>
          <w:rFonts w:ascii="Times New Roman" w:hAnsi="Times New Roman"/>
          <w:b/>
          <w:color w:val="231F20"/>
          <w:sz w:val="20"/>
        </w:rPr>
        <w:t>Separation Date</w:t>
      </w:r>
      <w:r>
        <w:rPr>
          <w:color w:val="231F20"/>
        </w:rPr>
        <w:t>”</w:t>
      </w:r>
      <w:r>
        <w:rPr>
          <w:rFonts w:ascii="Times New Roman" w:hAnsi="Times New Roman"/>
          <w:color w:val="231F20"/>
          <w:sz w:val="20"/>
        </w:rPr>
        <w:t>). The intent is for the Company to identify your successor in the near term and for you to overlap with that person for some period of time once he/she commences employment with the Company. The Company will provide you with written notice of the Separation Date as soon as reasonably practicable following the identification of your successor and the establishment of his/her first day of employment with the Company. Regardless of when the Separation Date occurs, the Company will continue to pay you your base salary at the rate now in effect through the later of (a) June 30, 2026, and (b) the Separation Date, subject to standard payroll deductions and withholdings, payable in accordance with the Company's regular payroll schedule.</w:t>
      </w:r>
    </w:p>
    <w:p>
      <w:pPr>
        <w:pStyle w:val="TextBody"/>
        <w:bidi w:val="0"/>
        <w:spacing w:before="241" w:after="283"/>
        <w:ind w:left="274" w:right="360" w:firstLine="720"/>
        <w:jc w:val="both"/>
        <w:rPr>
          <w:rFonts w:ascii="Times New Roman" w:hAnsi="Times New Roman"/>
          <w:b/>
          <w:color w:val="231F20"/>
          <w:sz w:val="24"/>
        </w:rPr>
      </w:pPr>
      <w:r>
        <w:rPr>
          <w:rFonts w:ascii="Times New Roman" w:hAnsi="Times New Roman"/>
          <w:b/>
          <w:color w:val="231F20"/>
          <w:sz w:val="24"/>
        </w:rPr>
        <w:t>2.</w:t>
      </w:r>
    </w:p>
    <w:p>
      <w:pPr>
        <w:pStyle w:val="TextBody"/>
        <w:bidi w:val="0"/>
        <w:spacing w:before="241" w:after="283"/>
        <w:jc w:val="both"/>
        <w:rPr/>
      </w:pPr>
      <w:r>
        <w:rPr>
          <w:rFonts w:ascii="Times New Roman" w:hAnsi="Times New Roman"/>
          <w:b/>
          <w:smallCaps/>
          <w:color w:val="231F20"/>
          <w:sz w:val="20"/>
        </w:rPr>
        <w:t xml:space="preserve">Accrued Salary and Paid Time Off. </w:t>
      </w:r>
      <w:r>
        <w:rPr>
          <w:rFonts w:ascii="Times New Roman" w:hAnsi="Times New Roman"/>
          <w:color w:val="231F20"/>
          <w:sz w:val="20"/>
        </w:rPr>
        <w:t>On the Separation Date, the Company will pay you all accrued salary earned through the Separation Date, subject to standard payroll deductions and withholdings. You are entitled to this payment by law. Since the Company has a nonaccrual vacation/PTO policy, you do not have any accrued vacation or other paid time off and thus will not be paid out for any accrued vacation or other paid time off.</w:t>
      </w:r>
    </w:p>
    <w:p>
      <w:pPr>
        <w:pStyle w:val="TextBody"/>
        <w:bidi w:val="0"/>
        <w:spacing w:before="243" w:after="283"/>
        <w:ind w:left="274" w:right="360" w:firstLine="720"/>
        <w:jc w:val="both"/>
        <w:rPr>
          <w:rFonts w:ascii="Times New Roman" w:hAnsi="Times New Roman"/>
          <w:b/>
          <w:color w:val="231F20"/>
          <w:sz w:val="24"/>
        </w:rPr>
      </w:pPr>
      <w:r>
        <w:rPr>
          <w:rFonts w:ascii="Times New Roman" w:hAnsi="Times New Roman"/>
          <w:b/>
          <w:color w:val="231F20"/>
          <w:sz w:val="24"/>
        </w:rPr>
        <w:t>3.</w:t>
      </w:r>
    </w:p>
    <w:p>
      <w:pPr>
        <w:pStyle w:val="TextBody"/>
        <w:bidi w:val="0"/>
        <w:spacing w:before="243" w:after="283"/>
        <w:jc w:val="both"/>
        <w:rPr/>
      </w:pPr>
      <w:r>
        <w:rPr>
          <w:rFonts w:ascii="Times New Roman" w:hAnsi="Times New Roman"/>
          <w:b/>
          <w:color w:val="231F20"/>
          <w:sz w:val="20"/>
        </w:rPr>
        <w:t xml:space="preserve">SEVERANCE BENEFITS. </w:t>
      </w:r>
      <w:r>
        <w:rPr>
          <w:rFonts w:ascii="Times New Roman" w:hAnsi="Times New Roman"/>
          <w:color w:val="231F20"/>
          <w:sz w:val="20"/>
        </w:rPr>
        <w:t xml:space="preserve">Given the circumstances of your separation, subject to your execution and non-revocation of the Separation Date Release attached hereto as </w:t>
      </w:r>
      <w:r>
        <w:rPr>
          <w:rFonts w:ascii="Times New Roman" w:hAnsi="Times New Roman"/>
          <w:b/>
          <w:i/>
          <w:color w:val="231F20"/>
          <w:sz w:val="20"/>
        </w:rPr>
        <w:t>Exhibit A</w:t>
      </w:r>
      <w:r>
        <w:rPr>
          <w:rFonts w:ascii="Times New Roman" w:hAnsi="Times New Roman"/>
          <w:color w:val="231F20"/>
          <w:sz w:val="20"/>
        </w:rPr>
        <w:t>, you are eligible for the following severance benefits pursuant to Section 3 of your Participation Agreement under the Rani Therapeutics Holdings, Inc. Severance and Change in Control Plan (the “</w:t>
      </w:r>
      <w:r>
        <w:rPr>
          <w:rFonts w:ascii="Times New Roman" w:hAnsi="Times New Roman"/>
          <w:b/>
          <w:color w:val="231F20"/>
          <w:sz w:val="20"/>
        </w:rPr>
        <w:t>Plan</w:t>
      </w:r>
      <w:r>
        <w:rPr>
          <w:color w:val="231F20"/>
        </w:rPr>
        <w:t>”</w:t>
      </w:r>
      <w:r>
        <w:rPr>
          <w:rFonts w:ascii="Times New Roman" w:hAnsi="Times New Roman"/>
          <w:color w:val="231F20"/>
          <w:sz w:val="20"/>
        </w:rPr>
        <w:t>):</w:t>
      </w:r>
    </w:p>
    <w:p>
      <w:pPr>
        <w:pStyle w:val="TextBody"/>
        <w:bidi w:val="0"/>
        <w:spacing w:before="240" w:after="283"/>
        <w:ind w:left="360" w:right="346" w:firstLine="1440"/>
        <w:jc w:val="both"/>
        <w:rPr>
          <w:rFonts w:ascii="Times New Roman" w:hAnsi="Times New Roman"/>
          <w:b/>
          <w:color w:val="231F20"/>
          <w:sz w:val="24"/>
        </w:rPr>
      </w:pPr>
      <w:r>
        <w:rPr>
          <w:rFonts w:ascii="Times New Roman" w:hAnsi="Times New Roman"/>
          <w:b/>
          <w:color w:val="231F20"/>
          <w:sz w:val="24"/>
        </w:rPr>
        <w:t>a.</w:t>
      </w:r>
    </w:p>
    <w:p>
      <w:pPr>
        <w:pStyle w:val="TextBody"/>
        <w:bidi w:val="0"/>
        <w:spacing w:before="240" w:after="283"/>
        <w:jc w:val="both"/>
        <w:rPr/>
      </w:pPr>
      <w:r>
        <w:rPr>
          <w:rFonts w:ascii="Times New Roman" w:hAnsi="Times New Roman"/>
          <w:b/>
          <w:color w:val="231F20"/>
          <w:sz w:val="20"/>
        </w:rPr>
        <w:t xml:space="preserve">Base Salary Payment. </w:t>
      </w:r>
      <w:r>
        <w:rPr>
          <w:rFonts w:ascii="Times New Roman" w:hAnsi="Times New Roman"/>
          <w:color w:val="231F20"/>
          <w:sz w:val="20"/>
        </w:rPr>
        <w:t xml:space="preserve">The Company will pay you severance for the period beginning on the Separation Date and ending on the date that is nine (9) months following the later of (i) the Separation Date or (ii) June 30, 2026. This will be paid in the form of salary continuation, less standard payroll deductions and withholdings, over the nine (9) month period following the Separation Date, starting on the first payroll date following the Separation Date Release Effective Date (as defined in </w:t>
      </w:r>
      <w:r>
        <w:rPr>
          <w:rFonts w:ascii="Times New Roman" w:hAnsi="Times New Roman"/>
          <w:b/>
          <w:i/>
          <w:color w:val="231F20"/>
          <w:sz w:val="20"/>
        </w:rPr>
        <w:t>Exhibit A</w:t>
      </w:r>
      <w:r>
        <w:rPr>
          <w:rFonts w:ascii="Times New Roman" w:hAnsi="Times New Roman"/>
          <w:color w:val="231F20"/>
          <w:sz w:val="20"/>
        </w:rPr>
        <w:t>).</w:t>
      </w:r>
    </w:p>
    <w:p>
      <w:pPr>
        <w:pStyle w:val="TextBody"/>
        <w:bidi w:val="0"/>
        <w:spacing w:before="241" w:after="283"/>
        <w:ind w:left="360" w:right="360" w:firstLine="1440"/>
        <w:jc w:val="both"/>
        <w:rPr>
          <w:rFonts w:ascii="Times New Roman" w:hAnsi="Times New Roman"/>
          <w:b/>
          <w:color w:val="231F20"/>
          <w:sz w:val="24"/>
        </w:rPr>
      </w:pPr>
      <w:r>
        <w:rPr>
          <w:rFonts w:ascii="Times New Roman" w:hAnsi="Times New Roman"/>
          <w:b/>
          <w:color w:val="231F20"/>
          <w:sz w:val="24"/>
        </w:rPr>
        <w:t>b.</w:t>
      </w:r>
    </w:p>
    <w:p>
      <w:pPr>
        <w:pStyle w:val="TextBody"/>
        <w:bidi w:val="0"/>
        <w:spacing w:before="241" w:after="283"/>
        <w:jc w:val="both"/>
        <w:rPr/>
      </w:pPr>
      <w:r>
        <w:rPr>
          <w:rFonts w:ascii="Times New Roman" w:hAnsi="Times New Roman"/>
          <w:b/>
          <w:color w:val="231F20"/>
          <w:sz w:val="20"/>
        </w:rPr>
        <w:t xml:space="preserve">Paid COBRA Benefits. </w:t>
      </w:r>
      <w:r>
        <w:rPr>
          <w:rFonts w:ascii="Times New Roman" w:hAnsi="Times New Roman"/>
          <w:color w:val="231F20"/>
          <w:sz w:val="20"/>
        </w:rPr>
        <w:t>Provided that you timely elect continued coverage under COBRA, then the Company shall pay, directly to the carrier, the COBRA premiums to continue your health insurance coverage (including coverage for eligible dependents, if applicable) through the period (the “</w:t>
      </w:r>
      <w:r>
        <w:rPr>
          <w:rFonts w:ascii="Times New Roman" w:hAnsi="Times New Roman"/>
          <w:b/>
          <w:color w:val="231F20"/>
          <w:sz w:val="20"/>
        </w:rPr>
        <w:t>COBRA Premium Period</w:t>
      </w:r>
      <w:r>
        <w:rPr>
          <w:color w:val="231F20"/>
        </w:rPr>
        <w:t>”</w:t>
      </w:r>
      <w:r>
        <w:rPr>
          <w:rFonts w:ascii="Times New Roman" w:hAnsi="Times New Roman"/>
          <w:color w:val="231F20"/>
          <w:sz w:val="20"/>
        </w:rPr>
        <w:t>) starting on the Separation Date and ending</w:t>
      </w:r>
    </w:p>
    <w:p>
      <w:pPr>
        <w:pStyle w:val="TextBody"/>
        <w:bidi w:val="0"/>
        <w:jc w:val="left"/>
        <w:rPr/>
      </w:pPr>
      <w:r>
        <w:rPr/>
        <w:t> </w:t>
      </w:r>
    </w:p>
    <w:p>
      <w:pPr>
        <w:pStyle w:val="TextBody"/>
        <w:bidi w:val="0"/>
        <w:ind w:left="360" w:right="347" w:hanging="0"/>
        <w:jc w:val="both"/>
        <w:rPr>
          <w:rFonts w:ascii="Times New Roman" w:hAnsi="Times New Roman"/>
          <w:sz w:val="20"/>
        </w:rPr>
      </w:pPr>
      <w:r>
        <w:rPr>
          <w:rFonts w:ascii="Times New Roman" w:hAnsi="Times New Roman"/>
          <w:color w:val="231F20"/>
          <w:sz w:val="20"/>
        </w:rPr>
        <w:t>on the earliest to occur of: (i) nine (9) months following the Separation Date; (ii) the date you become eligible for group health insurance coverage through a new employer; or (iii) the date you cease to be eligible for COBRA coverage for any reason (the “</w:t>
      </w:r>
      <w:r>
        <w:rPr>
          <w:rFonts w:ascii="Times New Roman" w:hAnsi="Times New Roman"/>
          <w:b/>
          <w:color w:val="231F20"/>
          <w:sz w:val="20"/>
        </w:rPr>
        <w:t>COBRA Severance Benefit</w:t>
      </w:r>
      <w:r>
        <w:rPr>
          <w:rFonts w:ascii="Times New Roman" w:hAnsi="Times New Roman"/>
          <w:color w:val="231F20"/>
          <w:sz w:val="20"/>
        </w:rPr>
        <w:t xml:space="preserve">”). In the event you become covered under another employer’s group health plan or otherwise cease to be eligible for COBRA during the COBRA Premium Period, you must immediately notify the Company in writing. Notwithstanding the foregoing, if at any time the Company determines, in its sole discretion, that the payment of the COBRA Severance Benefit would result in a violation of applicable law (including, but not limited to, Section 105(h) of the Internal Revenue Code of 1986, as amended, Section 2716 of the Public Health Service Act, or any statute or regulation of similar effect), then in lieu of providing the COBRA Severance Benefit, the Company will instead pay you on the last day of each remaining month of the COBRA Premium Period, a fully taxable cash payment equal to the COBRA Severance Benefit for that month, subject to applicable tax withholdings for the remainder of the COBRA Premium Period. You may, but are not obligated to,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ind w:left="360" w:right="347" w:hanging="0"/>
        <w:jc w:val="both"/>
        <w:rPr>
          <w:rFonts w:ascii="Times New Roman" w:hAnsi="Times New Roman"/>
          <w:color w:val="231F20"/>
          <w:sz w:val="20"/>
        </w:rPr>
      </w:pPr>
      <w:r>
        <w:rPr>
          <w:rFonts w:ascii="Times New Roman" w:hAnsi="Times New Roman"/>
          <w:color w:val="231F20"/>
          <w:sz w:val="20"/>
        </w:rPr>
        <w:t>use this taxable payment to pay for medical expenses, including COBRA premiums.</w:t>
      </w:r>
    </w:p>
    <w:p>
      <w:pPr>
        <w:pStyle w:val="TextBody"/>
        <w:bidi w:val="0"/>
        <w:spacing w:before="246" w:after="283"/>
        <w:ind w:left="1080" w:right="0" w:hanging="0"/>
        <w:jc w:val="left"/>
        <w:rPr>
          <w:rFonts w:ascii="Times New Roman" w:hAnsi="Times New Roman"/>
          <w:b/>
          <w:color w:val="231F20"/>
          <w:sz w:val="24"/>
        </w:rPr>
      </w:pPr>
      <w:r>
        <w:rPr>
          <w:rFonts w:ascii="Times New Roman" w:hAnsi="Times New Roman"/>
          <w:b/>
          <w:color w:val="231F20"/>
          <w:sz w:val="24"/>
        </w:rPr>
        <w:t>4.</w:t>
      </w:r>
    </w:p>
    <w:p>
      <w:pPr>
        <w:pStyle w:val="TextBody"/>
        <w:bidi w:val="0"/>
        <w:spacing w:before="246" w:after="283"/>
        <w:jc w:val="left"/>
        <w:rPr>
          <w:rFonts w:ascii="Times New Roman" w:hAnsi="Times New Roman"/>
          <w:b/>
          <w:smallCaps/>
          <w:color w:val="231F20"/>
          <w:sz w:val="20"/>
        </w:rPr>
      </w:pPr>
      <w:r>
        <w:rPr>
          <w:rFonts w:ascii="Times New Roman" w:hAnsi="Times New Roman"/>
          <w:b/>
          <w:smallCaps/>
          <w:color w:val="231F20"/>
          <w:sz w:val="20"/>
        </w:rPr>
        <w:t>Stock Options.</w:t>
      </w:r>
    </w:p>
    <w:p>
      <w:pPr>
        <w:pStyle w:val="TextBody"/>
        <w:bidi w:val="0"/>
        <w:spacing w:before="15" w:after="283"/>
        <w:jc w:val="left"/>
        <w:rPr/>
      </w:pPr>
      <w:r>
        <w:rPr/>
        <w:t> </w:t>
      </w:r>
    </w:p>
    <w:p>
      <w:pPr>
        <w:pStyle w:val="TextBody"/>
        <w:bidi w:val="0"/>
        <w:spacing w:before="0" w:after="0"/>
        <w:ind w:left="360" w:right="346" w:firstLine="1440"/>
        <w:jc w:val="both"/>
        <w:rPr>
          <w:rFonts w:ascii="Times New Roman" w:hAnsi="Times New Roman"/>
          <w:b/>
          <w:color w:val="231F20"/>
          <w:sz w:val="24"/>
        </w:rPr>
      </w:pPr>
      <w:r>
        <w:rPr>
          <w:rFonts w:ascii="Times New Roman" w:hAnsi="Times New Roman"/>
          <w:b/>
          <w:color w:val="231F20"/>
          <w:sz w:val="24"/>
        </w:rPr>
        <w:t>a.</w:t>
      </w:r>
    </w:p>
    <w:p>
      <w:pPr>
        <w:pStyle w:val="TextBody"/>
        <w:bidi w:val="0"/>
        <w:spacing w:before="0" w:after="0"/>
        <w:jc w:val="both"/>
        <w:rPr>
          <w:rFonts w:ascii="Times New Roman" w:hAnsi="Times New Roman"/>
          <w:color w:val="231F20"/>
          <w:sz w:val="20"/>
        </w:rPr>
      </w:pPr>
      <w:r>
        <w:rPr>
          <w:rFonts w:ascii="Times New Roman" w:hAnsi="Times New Roman"/>
          <w:color w:val="231F20"/>
          <w:sz w:val="20"/>
        </w:rPr>
        <w:t>Notwithstanding anything to the contrary in your stock option agreement(s), restricted stock unit agreement(s), grant notice(s) or applicable plan documents, effective as of the Separation Date, one hundred percent (100%) of the then-unvested shares subject to each of your outstanding equity award(s) (including stock option(s) and restricted stock unit award(s)) shall immediately vest and, to the extent applicable, become exercisable, and any restricted stock units that vest pursuant to this Section 4(a) shall be settled in accordance with the terms of the applicable restricted stock unit agreement, subject in each case to your execution and non-revocation of this Agreement. Except as expressly provided in this Section 4, your rights to exercise any vested stock option(s), and all other rights and obligations with respect to your equity award(s), will be as set forth in your applicable equity award agreement(s), grant notice(s) and applicable plan documents.</w:t>
      </w:r>
    </w:p>
    <w:p>
      <w:pPr>
        <w:pStyle w:val="TextBody"/>
        <w:bidi w:val="0"/>
        <w:spacing w:before="243" w:after="283"/>
        <w:ind w:left="360" w:right="346" w:firstLine="1440"/>
        <w:jc w:val="both"/>
        <w:rPr>
          <w:rFonts w:ascii="Times New Roman" w:hAnsi="Times New Roman"/>
          <w:b/>
          <w:color w:val="231F20"/>
          <w:sz w:val="24"/>
        </w:rPr>
      </w:pPr>
      <w:r>
        <w:rPr>
          <w:rFonts w:ascii="Times New Roman" w:hAnsi="Times New Roman"/>
          <w:b/>
          <w:color w:val="231F20"/>
          <w:sz w:val="24"/>
        </w:rPr>
        <w:t>b.</w:t>
      </w:r>
    </w:p>
    <w:p>
      <w:pPr>
        <w:pStyle w:val="TextBody"/>
        <w:bidi w:val="0"/>
        <w:spacing w:before="243" w:after="283"/>
        <w:jc w:val="both"/>
        <w:rPr/>
      </w:pPr>
      <w:r>
        <w:rPr>
          <w:rFonts w:ascii="Times New Roman" w:hAnsi="Times New Roman"/>
          <w:color w:val="231F20"/>
          <w:sz w:val="20"/>
        </w:rPr>
        <w:t>As an additional benefit to you under this Agreement, the Company will extend the period of time in which you may exercise all of your vested, outstanding and unexercised stock options through the date that is one (1) year following the Separation Date (the “</w:t>
      </w:r>
      <w:r>
        <w:rPr>
          <w:rFonts w:ascii="Times New Roman" w:hAnsi="Times New Roman"/>
          <w:b/>
          <w:color w:val="231F20"/>
          <w:sz w:val="20"/>
        </w:rPr>
        <w:t>Option Exercise Extension</w:t>
      </w:r>
      <w:r>
        <w:rPr>
          <w:color w:val="231F20"/>
        </w:rPr>
        <w:t>”</w:t>
      </w:r>
      <w:r>
        <w:rPr>
          <w:rFonts w:ascii="Times New Roman" w:hAnsi="Times New Roman"/>
          <w:color w:val="231F20"/>
          <w:sz w:val="20"/>
        </w:rPr>
        <w:t>), subject to earlier expiration or termination pursuant to the terms of the applicable stock option grant notice, stock option agreement and the plan under which such stock options were granted. To the extent any of your options currently are intended to, and do, qualify as incentive stock options under Section 422 of the Internal Revenue Code of 1986, as amended (“</w:t>
      </w:r>
      <w:r>
        <w:rPr>
          <w:rFonts w:ascii="Times New Roman" w:hAnsi="Times New Roman"/>
          <w:b/>
          <w:color w:val="231F20"/>
          <w:sz w:val="20"/>
        </w:rPr>
        <w:t>ISOs</w:t>
      </w:r>
      <w:r>
        <w:rPr>
          <w:color w:val="231F20"/>
        </w:rPr>
        <w:t>”</w:t>
      </w:r>
      <w:r>
        <w:rPr>
          <w:rFonts w:ascii="Times New Roman" w:hAnsi="Times New Roman"/>
          <w:color w:val="231F20"/>
          <w:sz w:val="20"/>
        </w:rPr>
        <w:t>), you understand that you must affirmatively accept the Option Exercise Extension as described below. If you accept the Option Exercise Extension in respect of your ISOs, such options will no longer qualify as ISOs and will instead be treated for tax purposes as nonqualified stock options (“</w:t>
      </w:r>
      <w:r>
        <w:rPr>
          <w:rFonts w:ascii="Times New Roman" w:hAnsi="Times New Roman"/>
          <w:b/>
          <w:color w:val="231F20"/>
          <w:sz w:val="20"/>
        </w:rPr>
        <w:t>NSOs</w:t>
      </w:r>
      <w:r>
        <w:rPr>
          <w:color w:val="231F20"/>
        </w:rPr>
        <w:t>”</w:t>
      </w:r>
      <w:r>
        <w:rPr>
          <w:rFonts w:ascii="Times New Roman" w:hAnsi="Times New Roman"/>
          <w:color w:val="231F20"/>
          <w:sz w:val="20"/>
        </w:rPr>
        <w:t>). As a result, you understand that you must satisfy all applicable tax withholding obligations upon exercise of the options. You should consult with your tax advisor regarding the decision to accept or reject the Option Exercise Extension of any of your ISOs. To the extent your options are NSOs, the Option Exercise Extension will automatically apply to your NSOs that are outstanding, vested and exercisable as of the Separation Date, subject to you timely signing this Agreement, allowing it to become effective, and complying with your obligations under it. If this Agreement is revoked or otherwise does not become effective in accordance with its terms, then any acceptance of the Option Exercise Extension will be disregarded and will be of no force or effect.</w:t>
      </w:r>
    </w:p>
    <w:p>
      <w:pPr>
        <w:pStyle w:val="Heading1"/>
        <w:bidi w:val="0"/>
        <w:spacing w:before="235" w:after="283"/>
        <w:ind w:left="360" w:right="354" w:hanging="0"/>
        <w:jc w:val="both"/>
        <w:rPr>
          <w:rFonts w:ascii="Times New Roman" w:hAnsi="Times New Roman"/>
          <w:color w:val="231F20"/>
          <w:sz w:val="20"/>
        </w:rPr>
      </w:pPr>
      <w:r>
        <w:rPr>
          <w:rFonts w:ascii="Times New Roman" w:hAnsi="Times New Roman"/>
          <w:color w:val="231F20"/>
          <w:sz w:val="20"/>
        </w:rPr>
        <w:t>You acknowledge that if you fail to accept the Option Exercise Extension by checking below on or prior to the end of the Review Period (as defined below), but in any event no later than the earliest to occur of (i) the date that is 29 days following the date this Agreement is first delivered to you, and (ii) the date on which the applicable option(s) expire or earlier terminate in accordance with their terms, then the Option Exercise Extension will not apply to any of your ISOs and such ISOs will continue to be governed by their existing terms.</w:t>
      </w:r>
    </w:p>
    <w:p>
      <w:pPr>
        <w:pStyle w:val="TextBody"/>
        <w:bidi w:val="0"/>
        <w:spacing w:before="240" w:after="283"/>
        <w:ind w:left="360" w:right="358" w:hanging="0"/>
        <w:jc w:val="both"/>
        <w:rPr>
          <w:rFonts w:ascii="Times New Roman" w:hAnsi="Times New Roman"/>
          <w:color w:val="231F20"/>
          <w:sz w:val="20"/>
        </w:rPr>
      </w:pPr>
      <w:r>
        <w:rPr>
          <w:rFonts w:ascii="Times New Roman" w:hAnsi="Times New Roman"/>
          <w:color w:val="231F20"/>
          <w:sz w:val="20"/>
        </w:rPr>
        <w:t>Subject to the terms and conditions of the Agreement, you hereby elect to ACCEPT or DECLINE, as applicable, the Option Exercise Extension with respect to your ISOs as set forth below:</w:t>
      </w:r>
    </w:p>
    <w:p>
      <w:pPr>
        <w:pStyle w:val="Heading1"/>
        <w:bidi w:val="0"/>
        <w:spacing w:before="235" w:after="283"/>
        <w:ind w:left="14" w:right="0" w:hanging="0"/>
        <w:jc w:val="center"/>
        <w:rPr>
          <w:rFonts w:ascii="Times New Roman" w:hAnsi="Times New Roman"/>
          <w:color w:val="231F20"/>
          <w:sz w:val="20"/>
        </w:rPr>
      </w:pPr>
      <w:r>
        <w:rPr>
          <w:rFonts w:ascii="Times New Roman" w:hAnsi="Times New Roman"/>
          <w:color w:val="231F20"/>
          <w:sz w:val="20"/>
        </w:rPr>
        <w:t>ACCEPT DECLINE</w:t>
      </w:r>
    </w:p>
    <w:p>
      <w:pPr>
        <w:pStyle w:val="TextBody"/>
        <w:bidi w:val="0"/>
        <w:spacing w:before="1" w:after="283"/>
        <w:ind w:left="0" w:right="33" w:hanging="0"/>
        <w:jc w:val="center"/>
        <w:rPr>
          <w:color w:val="231F20"/>
        </w:rPr>
      </w:pPr>
      <w:r>
        <w:rPr>
          <w:color w:val="231F20"/>
        </w:rPr>
        <w:t> </w:t>
      </w:r>
    </w:p>
    <w:p>
      <w:pPr>
        <w:pStyle w:val="TextBody"/>
        <w:bidi w:val="0"/>
        <w:spacing w:before="7" w:after="283"/>
        <w:jc w:val="left"/>
        <w:rPr/>
      </w:pPr>
      <w:r>
        <w:rPr/>
        <w:t> </w:t>
      </w:r>
    </w:p>
    <w:p>
      <w:pPr>
        <w:pStyle w:val="TextBody"/>
        <w:bidi w:val="0"/>
        <w:spacing w:before="0" w:after="0"/>
        <w:ind w:left="274" w:right="360" w:firstLine="720"/>
        <w:jc w:val="both"/>
        <w:rPr>
          <w:rFonts w:ascii="Times New Roman" w:hAnsi="Times New Roman"/>
          <w:b/>
          <w:color w:val="231F20"/>
          <w:sz w:val="24"/>
        </w:rPr>
      </w:pPr>
      <w:r>
        <w:rPr>
          <w:rFonts w:ascii="Times New Roman" w:hAnsi="Times New Roman"/>
          <w:b/>
          <w:color w:val="231F20"/>
          <w:sz w:val="24"/>
        </w:rPr>
        <w:t>5.</w:t>
      </w:r>
    </w:p>
    <w:p>
      <w:pPr>
        <w:pStyle w:val="TextBody"/>
        <w:bidi w:val="0"/>
        <w:spacing w:before="0" w:after="0"/>
        <w:jc w:val="both"/>
        <w:rPr/>
      </w:pPr>
      <w:r>
        <w:rPr>
          <w:rFonts w:ascii="Times New Roman" w:hAnsi="Times New Roman"/>
          <w:b/>
          <w:smallCaps/>
          <w:color w:val="231F20"/>
          <w:sz w:val="20"/>
        </w:rPr>
        <w:t xml:space="preserve">Other Compensation or Benefits. </w:t>
      </w:r>
      <w:r>
        <w:rPr>
          <w:rFonts w:ascii="Times New Roman" w:hAnsi="Times New Roman"/>
          <w:color w:val="231F20"/>
          <w:sz w:val="20"/>
        </w:rPr>
        <w:t>You acknowledge that, except as expressly provided in this Agreement, you have not earned and will not receive from the Company any additional compensation (including base salary, bonus, incentive compensation, or equity), severance, or benefits before or after the Separation Date, with the exception of any vested right you may have under the express terms of a written ERISA-qualified benefit plan (e.g., 401(k) account) or any vested stock options.</w:t>
      </w:r>
    </w:p>
    <w:p>
      <w:pPr>
        <w:pStyle w:val="TextBody"/>
        <w:bidi w:val="0"/>
        <w:spacing w:before="224" w:after="283"/>
        <w:ind w:left="274" w:right="346" w:firstLine="720"/>
        <w:jc w:val="both"/>
        <w:rPr>
          <w:rFonts w:ascii="Times New Roman" w:hAnsi="Times New Roman"/>
          <w:b/>
          <w:color w:val="231F20"/>
          <w:sz w:val="24"/>
        </w:rPr>
      </w:pPr>
      <w:r>
        <w:rPr>
          <w:rFonts w:ascii="Times New Roman" w:hAnsi="Times New Roman"/>
          <w:b/>
          <w:color w:val="231F20"/>
          <w:sz w:val="24"/>
        </w:rPr>
        <w:t>6.</w:t>
      </w:r>
    </w:p>
    <w:p>
      <w:pPr>
        <w:pStyle w:val="TextBody"/>
        <w:bidi w:val="0"/>
        <w:spacing w:before="224" w:after="283"/>
        <w:jc w:val="both"/>
        <w:rPr/>
      </w:pPr>
      <w:r>
        <w:rPr>
          <w:rFonts w:ascii="Times New Roman" w:hAnsi="Times New Roman"/>
          <w:b/>
          <w:smallCaps/>
          <w:color w:val="231F20"/>
          <w:sz w:val="20"/>
        </w:rPr>
        <w:t xml:space="preserve">Expense Reimbursements. </w:t>
      </w:r>
      <w:r>
        <w:rPr>
          <w:rFonts w:ascii="Times New Roman" w:hAnsi="Times New Roman"/>
          <w:color w:val="231F20"/>
          <w:sz w:val="20"/>
        </w:rPr>
        <w:t>You agree that, within thirty (30) days after the Separation Date, you will submit your final documented expense reimbursement statement reflecting all business expenses you incurred through the Separation Date, if any, for which you seek reimbursement. The Company will reimburse you for these expenses pursuant to its regular business practice.</w:t>
      </w:r>
    </w:p>
    <w:p>
      <w:pPr>
        <w:pStyle w:val="TextBody"/>
        <w:bidi w:val="0"/>
        <w:spacing w:before="248" w:after="283"/>
        <w:ind w:left="993" w:right="0" w:hanging="0"/>
        <w:jc w:val="left"/>
        <w:rPr>
          <w:rFonts w:ascii="Times New Roman" w:hAnsi="Times New Roman"/>
          <w:b/>
          <w:color w:val="231F20"/>
          <w:sz w:val="24"/>
        </w:rPr>
      </w:pPr>
      <w:r>
        <w:rPr>
          <w:rFonts w:ascii="Times New Roman" w:hAnsi="Times New Roman"/>
          <w:b/>
          <w:color w:val="231F20"/>
          <w:sz w:val="24"/>
        </w:rPr>
        <w:t>7.</w:t>
      </w:r>
    </w:p>
    <w:p>
      <w:pPr>
        <w:pStyle w:val="TextBody"/>
        <w:bidi w:val="0"/>
        <w:spacing w:before="248" w:after="283"/>
        <w:jc w:val="left"/>
        <w:rPr>
          <w:rFonts w:ascii="Times New Roman" w:hAnsi="Times New Roman"/>
          <w:b/>
          <w:smallCaps/>
          <w:color w:val="231F20"/>
          <w:sz w:val="20"/>
        </w:rPr>
      </w:pPr>
      <w:r>
        <w:rPr>
          <w:rFonts w:ascii="Times New Roman" w:hAnsi="Times New Roman"/>
          <w:b/>
          <w:smallCaps/>
          <w:color w:val="231F20"/>
          <w:sz w:val="20"/>
        </w:rPr>
        <w:t>YOUR Release of Claims.</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spacing w:before="14" w:after="283"/>
        <w:jc w:val="left"/>
        <w:rPr/>
      </w:pPr>
      <w:r>
        <w:rPr/>
        <w:t> </w:t>
      </w:r>
    </w:p>
    <w:p>
      <w:pPr>
        <w:pStyle w:val="TextBody"/>
        <w:bidi w:val="0"/>
        <w:spacing w:before="0" w:after="0"/>
        <w:ind w:left="360" w:right="346" w:firstLine="1440"/>
        <w:jc w:val="both"/>
        <w:rPr>
          <w:rFonts w:ascii="Times New Roman" w:hAnsi="Times New Roman"/>
          <w:b/>
          <w:color w:val="231F20"/>
          <w:sz w:val="24"/>
        </w:rPr>
      </w:pPr>
      <w:r>
        <w:rPr>
          <w:rFonts w:ascii="Times New Roman" w:hAnsi="Times New Roman"/>
          <w:b/>
          <w:color w:val="231F20"/>
          <w:sz w:val="24"/>
        </w:rPr>
        <w:t>(a)</w:t>
      </w:r>
    </w:p>
    <w:p>
      <w:pPr>
        <w:pStyle w:val="TextBody"/>
        <w:bidi w:val="0"/>
        <w:spacing w:before="0" w:after="0"/>
        <w:jc w:val="both"/>
        <w:rPr/>
      </w:pPr>
      <w:r>
        <w:rPr>
          <w:rFonts w:ascii="Times New Roman" w:hAnsi="Times New Roman"/>
          <w:b/>
          <w:color w:val="231F20"/>
          <w:sz w:val="20"/>
        </w:rPr>
        <w:t xml:space="preserve">General Release of Claims. </w:t>
      </w:r>
      <w:r>
        <w:rPr>
          <w:rFonts w:ascii="Times New Roman" w:hAnsi="Times New Roman"/>
          <w:color w:val="231F20"/>
          <w:sz w:val="20"/>
        </w:rPr>
        <w:t>In exchange for the consideration provided to you under this Agreement to which you would not otherwise be entitled, you hereby generally and completely release the Company, and its affiliated, related, parent and subsidiary entities, and its and their current and former directors, officers, employees, shareholders, partners, agents, attorneys, predecessors, successors, insurers, affiliates, and assigns from any and all claims, liabilities, demands, causes of action, and obligations, both known and unknown, arising from or in any way related to events, acts, conduct, or omissions occurring at any time prior to and including the date you sign this Agreement.</w:t>
      </w:r>
    </w:p>
    <w:p>
      <w:pPr>
        <w:pStyle w:val="TextBody"/>
        <w:bidi w:val="0"/>
        <w:spacing w:before="241" w:after="283"/>
        <w:ind w:left="360" w:right="346" w:firstLine="1440"/>
        <w:jc w:val="both"/>
        <w:rPr>
          <w:rFonts w:ascii="Times New Roman" w:hAnsi="Times New Roman"/>
          <w:b/>
          <w:color w:val="231F20"/>
          <w:sz w:val="24"/>
        </w:rPr>
      </w:pPr>
      <w:r>
        <w:rPr>
          <w:rFonts w:ascii="Times New Roman" w:hAnsi="Times New Roman"/>
          <w:b/>
          <w:color w:val="231F20"/>
          <w:sz w:val="24"/>
        </w:rPr>
        <w:t>(b)</w:t>
      </w:r>
    </w:p>
    <w:p>
      <w:pPr>
        <w:pStyle w:val="TextBody"/>
        <w:bidi w:val="0"/>
        <w:spacing w:before="241" w:after="283"/>
        <w:jc w:val="both"/>
        <w:rPr/>
      </w:pPr>
      <w:r>
        <w:rPr>
          <w:rFonts w:ascii="Times New Roman" w:hAnsi="Times New Roman"/>
          <w:b/>
          <w:color w:val="231F20"/>
          <w:sz w:val="20"/>
        </w:rPr>
        <w:t xml:space="preserve">Scope of Release. </w:t>
      </w:r>
      <w:r>
        <w:rPr>
          <w:rFonts w:ascii="Times New Roman" w:hAnsi="Times New Roman"/>
          <w:color w:val="231F20"/>
          <w:sz w:val="20"/>
        </w:rPr>
        <w:t>This general release includes, but is not limited to: (i) all claims arising from or in any way related to your employment with the Company or the termination of that employment; (ii) all claims related to your compensation or benefits from the Company, including salary, bonuses, commissions, vacation pay, expense reimbursements, severance pay, fringe benefits, stock, stock options, or any other ownership, equity, or profits interests in the Company; (iii) all claims for breach of contract, wrongful termination, and breach of the implied covenant of good faith and fair dealing; (iv) all tort claims, including claims for fraud, defamation, emotional distress, and discharge in violation of public policy; and (v) all federal, state, and local statutory claims, including claims for discrimination, harassment, retaliation, attorneys’ fees, or other claims arising under the federal Civil Rights Act of 1964, the federal Americans with Disabilities Act of 1990, the Age Discrimination in Employment Act (“</w:t>
      </w:r>
      <w:r>
        <w:rPr>
          <w:rFonts w:ascii="Times New Roman" w:hAnsi="Times New Roman"/>
          <w:b/>
          <w:color w:val="231F20"/>
          <w:sz w:val="20"/>
        </w:rPr>
        <w:t>ADEA</w:t>
      </w:r>
      <w:r>
        <w:rPr>
          <w:color w:val="231F20"/>
        </w:rPr>
        <w:t>”</w:t>
      </w:r>
      <w:r>
        <w:rPr>
          <w:rFonts w:ascii="Times New Roman" w:hAnsi="Times New Roman"/>
          <w:color w:val="231F20"/>
          <w:sz w:val="20"/>
        </w:rPr>
        <w:t xml:space="preserve">), the California Labor Code, the California Family Rights Act, and the California Fair Employment and Housing Act, all as amended. </w:t>
      </w:r>
      <w:r>
        <w:rPr>
          <w:rFonts w:ascii="Times New Roman" w:hAnsi="Times New Roman"/>
          <w:b/>
          <w:color w:val="231F20"/>
          <w:sz w:val="20"/>
        </w:rPr>
        <w:t xml:space="preserve">You acknowledge that you have been advised, consistent with California Government Code Section 12964.5(b)(4), that you have the right to consult an attorney regarding this Agreement and that you were given a reasonable time period of not less than five business days in which to do so. </w:t>
      </w:r>
      <w:r>
        <w:rPr>
          <w:rFonts w:ascii="Times New Roman" w:hAnsi="Times New Roman"/>
          <w:color w:val="231F20"/>
          <w:sz w:val="20"/>
        </w:rPr>
        <w:t>You further acknowledge and agree that, in the event you sign this Agreement prior to the end of the reasonable time period provided by the Company, your decision to accept such shortening of time is knowing and voluntary and is not induced by the Company through fraud, misrepresentation, or a threat to withdraw or alter the offer prior to the expiration of the reasonable time period, or by providing different terms to employees who sign such an agreement prior to the expiration of the time period.</w:t>
      </w:r>
    </w:p>
    <w:p>
      <w:pPr>
        <w:pStyle w:val="TextBody"/>
        <w:bidi w:val="0"/>
        <w:spacing w:before="239" w:after="283"/>
        <w:ind w:left="360" w:right="346" w:firstLine="1440"/>
        <w:jc w:val="both"/>
        <w:rPr>
          <w:rFonts w:ascii="Times New Roman" w:hAnsi="Times New Roman"/>
          <w:b/>
          <w:color w:val="231F20"/>
          <w:sz w:val="24"/>
        </w:rPr>
      </w:pPr>
      <w:r>
        <w:rPr>
          <w:rFonts w:ascii="Times New Roman" w:hAnsi="Times New Roman"/>
          <w:b/>
          <w:color w:val="231F20"/>
          <w:sz w:val="24"/>
        </w:rPr>
        <w:t>(c)</w:t>
      </w:r>
    </w:p>
    <w:p>
      <w:pPr>
        <w:pStyle w:val="TextBody"/>
        <w:bidi w:val="0"/>
        <w:spacing w:before="239" w:after="283"/>
        <w:jc w:val="both"/>
        <w:rPr/>
      </w:pPr>
      <w:r>
        <w:rPr>
          <w:rFonts w:ascii="Times New Roman" w:hAnsi="Times New Roman"/>
          <w:b/>
          <w:color w:val="231F20"/>
          <w:sz w:val="20"/>
        </w:rPr>
        <w:t xml:space="preserve">ADEA Release. </w:t>
      </w:r>
      <w:r>
        <w:rPr>
          <w:rFonts w:ascii="Times New Roman" w:hAnsi="Times New Roman"/>
          <w:color w:val="231F20"/>
          <w:sz w:val="20"/>
        </w:rPr>
        <w:t>You acknowledge that you are knowingly and voluntarily waiving and releasing any rights you have under the ADEA, and that the consideration given for the waiver and releases you have given in this Agreement is in addition to anything of value to which you were already entitled. You further acknowledge that you have been advised, as required by the ADEA, that: (i) your waiver and release does not apply to any rights or claims arising after the date you sign this Agreement; (ii) you should consult with an attorney prior to signing this Agreement (although you may choose voluntarily not to do so); (iii) you have twenty-one (21) days to consider this Agreement (although you may choose voluntarily to sign it sooner); (iv) you have seven (7) days following the date you sign this Agreement to revoke this Agreement (in a written revocation sent to the Company); and (v) this Agreement will not be effective until the date upon which the revocation period has expired, which will be the eighth day after you sign this Agreement provided that you do not revoke it (the “</w:t>
      </w:r>
      <w:r>
        <w:rPr>
          <w:rFonts w:ascii="Times New Roman" w:hAnsi="Times New Roman"/>
          <w:b/>
          <w:color w:val="231F20"/>
          <w:sz w:val="20"/>
        </w:rPr>
        <w:t>Effective Date</w:t>
      </w:r>
      <w:r>
        <w:rPr>
          <w:color w:val="231F20"/>
        </w:rPr>
        <w:t>”</w:t>
      </w:r>
      <w:r>
        <w:rPr>
          <w:rFonts w:ascii="Times New Roman" w:hAnsi="Times New Roman"/>
          <w:color w:val="231F20"/>
          <w:sz w:val="20"/>
        </w:rPr>
        <w:t>).</w:t>
      </w:r>
    </w:p>
    <w:p>
      <w:pPr>
        <w:pStyle w:val="TextBody"/>
        <w:bidi w:val="0"/>
        <w:spacing w:before="241" w:after="283"/>
        <w:ind w:left="360" w:right="346" w:firstLine="1440"/>
        <w:jc w:val="both"/>
        <w:rPr>
          <w:rFonts w:ascii="Times New Roman" w:hAnsi="Times New Roman"/>
          <w:b/>
          <w:color w:val="231F20"/>
          <w:sz w:val="24"/>
        </w:rPr>
      </w:pPr>
      <w:r>
        <w:rPr>
          <w:rFonts w:ascii="Times New Roman" w:hAnsi="Times New Roman"/>
          <w:b/>
          <w:color w:val="231F20"/>
          <w:sz w:val="24"/>
        </w:rPr>
        <w:t>(d)</w:t>
      </w:r>
    </w:p>
    <w:p>
      <w:pPr>
        <w:pStyle w:val="TextBody"/>
        <w:bidi w:val="0"/>
        <w:spacing w:before="241" w:after="283"/>
        <w:jc w:val="both"/>
        <w:rPr/>
      </w:pPr>
      <w:r>
        <w:rPr>
          <w:rFonts w:ascii="Times New Roman" w:hAnsi="Times New Roman"/>
          <w:b/>
          <w:color w:val="231F20"/>
          <w:sz w:val="20"/>
        </w:rPr>
        <w:t xml:space="preserve">Section 1542 Waiver. </w:t>
      </w:r>
      <w:r>
        <w:rPr>
          <w:rFonts w:ascii="Times New Roman" w:hAnsi="Times New Roman"/>
          <w:color w:val="231F20"/>
          <w:sz w:val="20"/>
        </w:rPr>
        <w:t xml:space="preserve">In giving the release herein, which includes claims which may be unknown to you at present, you acknowledge that you have read and understand Section 1542 of the California Civil Code, which reads as follows: </w:t>
      </w:r>
      <w:r>
        <w:rPr>
          <w:color w:val="231F20"/>
        </w:rPr>
        <w:t>“</w:t>
      </w:r>
      <w:r>
        <w:rPr>
          <w:rFonts w:ascii="Times New Roman" w:hAnsi="Times New Roman"/>
          <w:b/>
          <w:color w:val="231F20"/>
          <w:sz w:val="20"/>
        </w:rPr>
        <w:t xml:space="preserve">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 </w:t>
      </w:r>
      <w:r>
        <w:rPr>
          <w:rFonts w:ascii="Times New Roman" w:hAnsi="Times New Roman"/>
          <w:color w:val="231F20"/>
          <w:sz w:val="20"/>
        </w:rPr>
        <w:t>You hereby expressly waive and relinquish all rights and benefits under that section and any law of any other jurisdiction of similar effect with respect to your release of claims herein, including but not limited to your release of unknown claims.</w:t>
      </w:r>
    </w:p>
    <w:p>
      <w:pPr>
        <w:pStyle w:val="TextBody"/>
        <w:bidi w:val="0"/>
        <w:spacing w:before="239" w:after="283"/>
        <w:ind w:left="360" w:right="346" w:firstLine="1440"/>
        <w:jc w:val="both"/>
        <w:rPr>
          <w:rFonts w:ascii="Times New Roman" w:hAnsi="Times New Roman"/>
          <w:b/>
          <w:color w:val="231F20"/>
          <w:sz w:val="24"/>
        </w:rPr>
      </w:pPr>
      <w:r>
        <w:rPr>
          <w:rFonts w:ascii="Times New Roman" w:hAnsi="Times New Roman"/>
          <w:b/>
          <w:color w:val="231F20"/>
          <w:sz w:val="24"/>
        </w:rPr>
        <w:t>(e)</w:t>
      </w:r>
    </w:p>
    <w:p>
      <w:pPr>
        <w:pStyle w:val="TextBody"/>
        <w:bidi w:val="0"/>
        <w:spacing w:before="239" w:after="283"/>
        <w:jc w:val="both"/>
        <w:rPr/>
      </w:pPr>
      <w:r>
        <w:rPr>
          <w:rFonts w:ascii="Times New Roman" w:hAnsi="Times New Roman"/>
          <w:b/>
          <w:color w:val="231F20"/>
          <w:sz w:val="20"/>
        </w:rPr>
        <w:t xml:space="preserve">Exceptions. </w:t>
      </w:r>
      <w:r>
        <w:rPr>
          <w:rFonts w:ascii="Times New Roman" w:hAnsi="Times New Roman"/>
          <w:color w:val="231F20"/>
          <w:sz w:val="20"/>
        </w:rPr>
        <w:t>Notwithstanding the foregoing, you are not releasing the Company hereby from: (i) any obligation to indemnify you pursuant to the Articles and Bylaws of the Company, any valid fully executed indemnification agreement with the Company, applicable law, or applicable directors and officers liability insurance; (ii) any claims that cannot be waived by law; or (iii) any claims for breach of this Agreement.</w:t>
      </w:r>
    </w:p>
    <w:p>
      <w:pPr>
        <w:pStyle w:val="TextBody"/>
        <w:bidi w:val="0"/>
        <w:jc w:val="left"/>
        <w:rPr/>
      </w:pPr>
      <w:r>
        <w:rPr/>
        <w:t> </w:t>
      </w:r>
    </w:p>
    <w:p>
      <w:pPr>
        <w:pStyle w:val="TextBody"/>
        <w:bidi w:val="0"/>
        <w:spacing w:before="0" w:after="0"/>
        <w:ind w:left="360" w:right="346" w:firstLine="1440"/>
        <w:jc w:val="both"/>
        <w:rPr>
          <w:rFonts w:ascii="Times New Roman" w:hAnsi="Times New Roman"/>
          <w:b/>
          <w:color w:val="231F20"/>
          <w:sz w:val="24"/>
        </w:rPr>
      </w:pPr>
      <w:r>
        <w:rPr>
          <w:rFonts w:ascii="Times New Roman" w:hAnsi="Times New Roman"/>
          <w:b/>
          <w:color w:val="231F20"/>
          <w:sz w:val="24"/>
        </w:rPr>
        <w:t>(f)</w:t>
      </w:r>
    </w:p>
    <w:p>
      <w:pPr>
        <w:pStyle w:val="TextBody"/>
        <w:bidi w:val="0"/>
        <w:jc w:val="both"/>
        <w:rPr/>
      </w:pPr>
      <w:r>
        <w:rPr>
          <w:rFonts w:ascii="Times New Roman" w:hAnsi="Times New Roman"/>
          <w:b/>
          <w:color w:val="231F20"/>
          <w:sz w:val="20"/>
        </w:rPr>
        <w:t xml:space="preserve">Protected Rights. </w:t>
      </w:r>
      <w:r>
        <w:rPr>
          <w:rFonts w:ascii="Times New Roman" w:hAnsi="Times New Roman"/>
          <w:color w:val="231F20"/>
          <w:sz w:val="20"/>
        </w:rPr>
        <w:t xml:space="preserve">You understand that nothing in this Agreement limits your ability to file a charge or complaint with the Equal Employment Opportunity Commission, the Department of Labor, the National Labor Relations Board, the Occupational Safety and Health Administration, the Department of Justice, the California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ind w:left="360" w:right="346" w:hanging="0"/>
        <w:jc w:val="both"/>
        <w:rPr/>
      </w:pPr>
      <w:r>
        <w:rPr>
          <w:rFonts w:ascii="Times New Roman" w:hAnsi="Times New Roman"/>
          <w:color w:val="231F20"/>
          <w:sz w:val="20"/>
        </w:rPr>
        <w:t>Civil Rights Department, the Securities and Exchange Commission or any other federal, state or local governmental agency or commission (“</w:t>
      </w:r>
      <w:r>
        <w:rPr>
          <w:rFonts w:ascii="Times New Roman" w:hAnsi="Times New Roman"/>
          <w:b/>
          <w:color w:val="231F20"/>
          <w:sz w:val="20"/>
        </w:rPr>
        <w:t>Government Agencies</w:t>
      </w:r>
      <w:r>
        <w:rPr>
          <w:color w:val="231F20"/>
        </w:rPr>
        <w:t>”</w:t>
      </w:r>
      <w:r>
        <w:rPr>
          <w:rFonts w:ascii="Times New Roman" w:hAnsi="Times New Roman"/>
          <w:color w:val="231F20"/>
          <w:sz w:val="20"/>
        </w:rPr>
        <w:t>). You further understand this Agreement does not limit your ability to communicate with any Government Agencies or otherwise participate in any investigation or proceeding that may be conducted by any Government Agency, including providing documents or other information, without notice to the Company. While this Agreement does not limit your right to receive a government-issued award for information provided to any Government Agency in connection with a government whistleblower program or protected whistleblower activity, you understand and agree that, to the maximum extent permitted by law, you are otherwise waiving any and all rights you may have to individual relief based on any claims that you have released and any rights you have waived by signing this Agreement. Nothing in this Agreement (i) prevents you from discussing or disclosing information about unlawful acts in the workplace, such as harassment or discrimination or any other conduct that you have reason to believe is unlawful; or</w:t>
      </w:r>
    </w:p>
    <w:p>
      <w:pPr>
        <w:pStyle w:val="TextBody"/>
        <w:bidi w:val="0"/>
        <w:spacing w:before="2" w:after="283"/>
        <w:ind w:left="360" w:right="367" w:hanging="0"/>
        <w:jc w:val="both"/>
        <w:rPr>
          <w:rFonts w:ascii="Times New Roman" w:hAnsi="Times New Roman"/>
          <w:color w:val="231F20"/>
          <w:sz w:val="20"/>
        </w:rPr>
      </w:pPr>
      <w:r>
        <w:rPr>
          <w:rFonts w:ascii="Times New Roman" w:hAnsi="Times New Roman"/>
          <w:color w:val="231F20"/>
          <w:sz w:val="20"/>
        </w:rPr>
        <w:t>(ii) waives any rights you may have under Section 7 of the National Labor Relations Act (subject to the release of claims set forth herein).</w:t>
      </w:r>
    </w:p>
    <w:p>
      <w:pPr>
        <w:pStyle w:val="TextBody"/>
        <w:bidi w:val="0"/>
        <w:spacing w:before="234" w:after="283"/>
        <w:ind w:left="274" w:right="360" w:firstLine="720"/>
        <w:jc w:val="both"/>
        <w:rPr>
          <w:rFonts w:ascii="Times New Roman" w:hAnsi="Times New Roman"/>
          <w:b/>
          <w:color w:val="231F20"/>
          <w:sz w:val="24"/>
        </w:rPr>
      </w:pPr>
      <w:r>
        <w:rPr>
          <w:rFonts w:ascii="Times New Roman" w:hAnsi="Times New Roman"/>
          <w:b/>
          <w:color w:val="231F20"/>
          <w:sz w:val="24"/>
        </w:rPr>
        <w:t>8.</w:t>
      </w:r>
    </w:p>
    <w:p>
      <w:pPr>
        <w:pStyle w:val="TextBody"/>
        <w:bidi w:val="0"/>
        <w:spacing w:before="234" w:after="283"/>
        <w:jc w:val="both"/>
        <w:rPr/>
      </w:pPr>
      <w:r>
        <w:rPr>
          <w:rFonts w:ascii="Times New Roman" w:hAnsi="Times New Roman"/>
          <w:b/>
          <w:smallCaps/>
          <w:color w:val="231F20"/>
          <w:sz w:val="20"/>
        </w:rPr>
        <w:t xml:space="preserve">Return of Company Property. </w:t>
      </w:r>
      <w:r>
        <w:rPr>
          <w:rFonts w:ascii="Times New Roman" w:hAnsi="Times New Roman"/>
          <w:color w:val="231F20"/>
          <w:sz w:val="20"/>
        </w:rPr>
        <w:t>By the Separation Date, you agree to return to the Company all Company documents (and all copies thereof) and other Company property in your possession or control, including, but not limited to, Company files, notes, drawings, records, plans, forecasts, reports, studies, analyses, proposals, agreements, drafts, financial and operational information, research and development information, sales and marketing information, customer lists, prospect information, pipeline reports, sales reports, personnel information, specifications, code, software, databases, computer-recorded information, tangible property and equipment (including, but not limited to, computing and electronic devices, mobile telephones, servers), credit cards, entry cards, identification badges and keys, Company account and device login and password information; and any materials of any kind which contain or embody any proprietary or confidential information of the Company (and all reproductions or embodiments thereof in whole or in part). You agree to make a diligent search to locate any such documents, property and information. If you have used any personally owned computer or other electronic device, server, or e-mail system to receive, store, review, prepare or transmit any Company confidential or proprietary data, materials or information, within five (5) days after the Separation Date, you shall provide the Company with a computer-useable copy of such information and then permanently delete and expunge such Company confidential or proprietary information from those systems; and you agree to provide the Company access to your system as requested to verify that the necessary copying and/or deletion is completed.</w:t>
      </w:r>
    </w:p>
    <w:p>
      <w:pPr>
        <w:pStyle w:val="TextBody"/>
        <w:bidi w:val="0"/>
        <w:spacing w:before="240" w:after="283"/>
        <w:ind w:left="274" w:right="360" w:firstLine="720"/>
        <w:jc w:val="both"/>
        <w:rPr>
          <w:rFonts w:ascii="Times New Roman" w:hAnsi="Times New Roman"/>
          <w:b/>
          <w:color w:val="231F20"/>
          <w:sz w:val="24"/>
        </w:rPr>
      </w:pPr>
      <w:r>
        <w:rPr>
          <w:rFonts w:ascii="Times New Roman" w:hAnsi="Times New Roman"/>
          <w:b/>
          <w:color w:val="231F20"/>
          <w:sz w:val="24"/>
        </w:rPr>
        <w:t>9.</w:t>
      </w:r>
    </w:p>
    <w:p>
      <w:pPr>
        <w:pStyle w:val="TextBody"/>
        <w:bidi w:val="0"/>
        <w:spacing w:before="240" w:after="283"/>
        <w:jc w:val="both"/>
        <w:rPr/>
      </w:pPr>
      <w:r>
        <w:rPr>
          <w:rFonts w:ascii="Times New Roman" w:hAnsi="Times New Roman"/>
          <w:b/>
          <w:smallCaps/>
          <w:color w:val="231F20"/>
          <w:sz w:val="20"/>
        </w:rPr>
        <w:t xml:space="preserve">Confidential Information Obligations. </w:t>
      </w:r>
      <w:r>
        <w:rPr>
          <w:rFonts w:ascii="Times New Roman" w:hAnsi="Times New Roman"/>
          <w:color w:val="231F20"/>
          <w:sz w:val="20"/>
        </w:rPr>
        <w:t xml:space="preserve">You acknowledge and reaffirm your continuing obligations under your Employee Confidential Information and Inventions Assignment Agreement, a copy of which is attached hereto as </w:t>
      </w:r>
      <w:r>
        <w:rPr>
          <w:rFonts w:ascii="Times New Roman" w:hAnsi="Times New Roman"/>
          <w:b/>
          <w:i/>
          <w:color w:val="231F20"/>
          <w:sz w:val="20"/>
        </w:rPr>
        <w:t xml:space="preserve">Exhibit B </w:t>
      </w:r>
      <w:r>
        <w:rPr>
          <w:rFonts w:ascii="Times New Roman" w:hAnsi="Times New Roman"/>
          <w:color w:val="231F20"/>
          <w:sz w:val="20"/>
        </w:rPr>
        <w:t>and incorporated herein by reference.</w:t>
      </w:r>
    </w:p>
    <w:p>
      <w:pPr>
        <w:pStyle w:val="TextBody"/>
        <w:bidi w:val="0"/>
        <w:spacing w:before="230" w:after="283"/>
        <w:ind w:left="274" w:right="360" w:firstLine="720"/>
        <w:jc w:val="both"/>
        <w:rPr>
          <w:rFonts w:ascii="Times New Roman" w:hAnsi="Times New Roman"/>
          <w:b/>
          <w:color w:val="231F20"/>
          <w:sz w:val="24"/>
        </w:rPr>
      </w:pPr>
      <w:r>
        <w:rPr>
          <w:rFonts w:ascii="Times New Roman" w:hAnsi="Times New Roman"/>
          <w:b/>
          <w:color w:val="231F20"/>
          <w:sz w:val="24"/>
        </w:rPr>
        <w:t>10.</w:t>
      </w:r>
    </w:p>
    <w:p>
      <w:pPr>
        <w:pStyle w:val="TextBody"/>
        <w:bidi w:val="0"/>
        <w:spacing w:before="230" w:after="283"/>
        <w:jc w:val="both"/>
        <w:rPr/>
      </w:pPr>
      <w:r>
        <w:rPr>
          <w:rFonts w:ascii="Times New Roman" w:hAnsi="Times New Roman"/>
          <w:b/>
          <w:color w:val="231F20"/>
          <w:sz w:val="20"/>
        </w:rPr>
        <w:t xml:space="preserve">MUTUAL NON-DISPARAGEMENT. </w:t>
      </w:r>
      <w:r>
        <w:rPr>
          <w:rFonts w:ascii="Times New Roman" w:hAnsi="Times New Roman"/>
          <w:color w:val="231F20"/>
          <w:sz w:val="20"/>
        </w:rPr>
        <w:t>Except to the extent permitted by the “Protected Rights” Section above, you agree not to disparage the Company, its officers, directors, employees, shareholders, parents, subsidiaries, affiliates, and agents, in any manner likely to be harmful to its or their business, business reputation, or personal reputation; provided that you may respond accurately and fully to any request for information if required by legal process or in connection with a government investigation. In addition, nothing in this provision or this Agreement prohibits or restrains you from making disclosures protected under the whistleblower provisions of federal or state law or from exercising your rights to engage in protected speech under Section 7 of the National Labor Relations Act, if applicable. The Company agrees (through its officers and directors) not to disparage you in any manner likely to be harmful to your business, business reputation, or personal reputation, provided that all persons may respond accurately and fully to any request for information if required by legal process or in connection with a government investigation and may make disclosures protected under the whistleblower provisions of federal or state law.</w:t>
      </w:r>
    </w:p>
    <w:p>
      <w:pPr>
        <w:pStyle w:val="TextBody"/>
        <w:bidi w:val="0"/>
        <w:spacing w:before="239" w:after="283"/>
        <w:ind w:left="274" w:right="360" w:firstLine="720"/>
        <w:jc w:val="both"/>
        <w:rPr>
          <w:rFonts w:ascii="Times New Roman" w:hAnsi="Times New Roman"/>
          <w:b/>
          <w:color w:val="231F20"/>
          <w:sz w:val="24"/>
        </w:rPr>
      </w:pPr>
      <w:r>
        <w:rPr>
          <w:rFonts w:ascii="Times New Roman" w:hAnsi="Times New Roman"/>
          <w:b/>
          <w:color w:val="231F20"/>
          <w:sz w:val="24"/>
        </w:rPr>
        <w:t>11.</w:t>
      </w:r>
    </w:p>
    <w:p>
      <w:pPr>
        <w:pStyle w:val="TextBody"/>
        <w:bidi w:val="0"/>
        <w:spacing w:before="239" w:after="283"/>
        <w:jc w:val="both"/>
        <w:rPr/>
      </w:pPr>
      <w:r>
        <w:rPr>
          <w:rFonts w:ascii="Times New Roman" w:hAnsi="Times New Roman"/>
          <w:b/>
          <w:smallCaps/>
          <w:color w:val="231F20"/>
          <w:sz w:val="20"/>
        </w:rPr>
        <w:t xml:space="preserve">No Voluntary Adverse Action. </w:t>
      </w:r>
      <w:r>
        <w:rPr>
          <w:rFonts w:ascii="Times New Roman" w:hAnsi="Times New Roman"/>
          <w:color w:val="231F20"/>
          <w:sz w:val="20"/>
        </w:rPr>
        <w:t>You agree that you will not voluntarily (except in response to legal compulsion or as permitted under the section of this Agreement entitled “Protected Rights”) assist any person in bringing or pursuing any proposed or pending litigation, arbitration, administrative claim or other formal proceeding against the Company, its parent or subsidiary entities, affiliates, officers, directors, employees or agents.</w:t>
      </w:r>
    </w:p>
    <w:p>
      <w:pPr>
        <w:pStyle w:val="TextBody"/>
        <w:bidi w:val="0"/>
        <w:spacing w:before="243" w:after="283"/>
        <w:ind w:left="274" w:right="346" w:firstLine="720"/>
        <w:jc w:val="both"/>
        <w:rPr>
          <w:rFonts w:ascii="Times New Roman" w:hAnsi="Times New Roman"/>
          <w:b/>
          <w:color w:val="231F20"/>
          <w:sz w:val="24"/>
        </w:rPr>
      </w:pPr>
      <w:r>
        <w:rPr>
          <w:rFonts w:ascii="Times New Roman" w:hAnsi="Times New Roman"/>
          <w:b/>
          <w:color w:val="231F20"/>
          <w:sz w:val="24"/>
        </w:rPr>
        <w:t>12.</w:t>
      </w:r>
    </w:p>
    <w:p>
      <w:pPr>
        <w:pStyle w:val="TextBody"/>
        <w:bidi w:val="0"/>
        <w:spacing w:before="243" w:after="283"/>
        <w:jc w:val="both"/>
        <w:rPr/>
      </w:pPr>
      <w:r>
        <w:rPr>
          <w:rFonts w:ascii="Times New Roman" w:hAnsi="Times New Roman"/>
          <w:b/>
          <w:smallCaps/>
          <w:color w:val="231F20"/>
          <w:sz w:val="20"/>
        </w:rPr>
        <w:t xml:space="preserve">Cooperation. </w:t>
      </w:r>
      <w:r>
        <w:rPr>
          <w:rFonts w:ascii="Times New Roman" w:hAnsi="Times New Roman"/>
          <w:color w:val="231F20"/>
          <w:sz w:val="20"/>
        </w:rPr>
        <w:t xml:space="preserve">You agree to cooperate fully with the Company in connection with its actual or contemplated defense, prosecution, or investigation of any claims or demands by or against third parties, or other matters arising from events, acts, or failures to act that occurred during the period of your employment by the Company.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spacing w:before="243" w:after="283"/>
        <w:ind w:left="274" w:right="346" w:hanging="0"/>
        <w:jc w:val="both"/>
        <w:rPr>
          <w:rFonts w:ascii="Times New Roman" w:hAnsi="Times New Roman"/>
          <w:color w:val="231F20"/>
          <w:sz w:val="20"/>
        </w:rPr>
      </w:pPr>
      <w:r>
        <w:rPr>
          <w:rFonts w:ascii="Times New Roman" w:hAnsi="Times New Roman"/>
          <w:color w:val="231F20"/>
          <w:sz w:val="20"/>
        </w:rPr>
        <w:t>Such cooperation includes, without limitation, making yourself available to the Company upon reasonable notice, without subpoena, to provide complete, truthful and accurate information in witness interviews, depositions, and trial testimony. The Company will reimburse you for reasonable out-of-pocket expenses you incur in connection with any such cooperation (excluding foregone wages) and will make reasonable efforts to accommodate your scheduling needs.</w:t>
      </w:r>
    </w:p>
    <w:p>
      <w:pPr>
        <w:pStyle w:val="TextBody"/>
        <w:bidi w:val="0"/>
        <w:spacing w:before="238" w:after="283"/>
        <w:ind w:left="274" w:right="360" w:firstLine="720"/>
        <w:jc w:val="both"/>
        <w:rPr>
          <w:rFonts w:ascii="Times New Roman" w:hAnsi="Times New Roman"/>
          <w:b/>
          <w:color w:val="231F20"/>
          <w:sz w:val="24"/>
        </w:rPr>
      </w:pPr>
      <w:r>
        <w:rPr>
          <w:rFonts w:ascii="Times New Roman" w:hAnsi="Times New Roman"/>
          <w:b/>
          <w:color w:val="231F20"/>
          <w:sz w:val="24"/>
        </w:rPr>
        <w:t>13.</w:t>
      </w:r>
    </w:p>
    <w:p>
      <w:pPr>
        <w:pStyle w:val="TextBody"/>
        <w:bidi w:val="0"/>
        <w:spacing w:before="238" w:after="283"/>
        <w:jc w:val="both"/>
        <w:rPr/>
      </w:pPr>
      <w:r>
        <w:rPr>
          <w:rFonts w:ascii="Times New Roman" w:hAnsi="Times New Roman"/>
          <w:b/>
          <w:smallCaps/>
          <w:color w:val="231F20"/>
          <w:sz w:val="20"/>
        </w:rPr>
        <w:t xml:space="preserve">No Admissions. </w:t>
      </w:r>
      <w:r>
        <w:rPr>
          <w:rFonts w:ascii="Times New Roman" w:hAnsi="Times New Roman"/>
          <w:color w:val="231F20"/>
          <w:sz w:val="20"/>
        </w:rPr>
        <w:t>You understand and agree that the promises and payments in consideration of this Agreement shall not be construed to be an admission of any liability or obligation by the Company to you or to any other person, and that the Company makes no such admission.</w:t>
      </w:r>
    </w:p>
    <w:p>
      <w:pPr>
        <w:pStyle w:val="TextBody"/>
        <w:bidi w:val="0"/>
        <w:spacing w:before="230" w:after="283"/>
        <w:ind w:left="274" w:right="346" w:firstLine="720"/>
        <w:jc w:val="both"/>
        <w:rPr>
          <w:rFonts w:ascii="Times New Roman" w:hAnsi="Times New Roman"/>
          <w:b/>
          <w:color w:val="231F20"/>
          <w:sz w:val="24"/>
        </w:rPr>
      </w:pPr>
      <w:r>
        <w:rPr>
          <w:rFonts w:ascii="Times New Roman" w:hAnsi="Times New Roman"/>
          <w:b/>
          <w:color w:val="231F20"/>
          <w:sz w:val="24"/>
        </w:rPr>
        <w:t>14.</w:t>
      </w:r>
    </w:p>
    <w:p>
      <w:pPr>
        <w:pStyle w:val="TextBody"/>
        <w:bidi w:val="0"/>
        <w:spacing w:before="230" w:after="283"/>
        <w:jc w:val="both"/>
        <w:rPr/>
      </w:pPr>
      <w:r>
        <w:rPr>
          <w:rFonts w:ascii="Times New Roman" w:hAnsi="Times New Roman"/>
          <w:b/>
          <w:smallCaps/>
          <w:color w:val="231F20"/>
          <w:sz w:val="20"/>
        </w:rPr>
        <w:t xml:space="preserve">Representations. </w:t>
      </w:r>
      <w:r>
        <w:rPr>
          <w:rFonts w:ascii="Times New Roman" w:hAnsi="Times New Roman"/>
          <w:color w:val="231F20"/>
          <w:sz w:val="20"/>
        </w:rPr>
        <w:t>You hereby represent that you have: been paid all compensation owed and for all hours worked; received all leave and leave benefits and protections for which you are eligible pursuant to the Family and Medical Leave Act, the California Family Rights Act, or otherwise; and not suffered any on-the-job injury for which you have not already filed a workers’ compensation claim.</w:t>
      </w:r>
    </w:p>
    <w:p>
      <w:pPr>
        <w:pStyle w:val="TextBody"/>
        <w:bidi w:val="0"/>
        <w:spacing w:before="238" w:after="283"/>
        <w:ind w:left="274" w:right="360" w:firstLine="720"/>
        <w:jc w:val="both"/>
        <w:rPr>
          <w:rFonts w:ascii="Times New Roman" w:hAnsi="Times New Roman"/>
          <w:b/>
          <w:color w:val="231F20"/>
          <w:sz w:val="24"/>
        </w:rPr>
      </w:pPr>
      <w:r>
        <w:rPr>
          <w:rFonts w:ascii="Times New Roman" w:hAnsi="Times New Roman"/>
          <w:b/>
          <w:color w:val="231F20"/>
          <w:sz w:val="24"/>
        </w:rPr>
        <w:t>15.</w:t>
      </w:r>
    </w:p>
    <w:p>
      <w:pPr>
        <w:pStyle w:val="TextBody"/>
        <w:bidi w:val="0"/>
        <w:spacing w:before="238" w:after="283"/>
        <w:jc w:val="both"/>
        <w:rPr/>
      </w:pPr>
      <w:r>
        <w:rPr>
          <w:rFonts w:ascii="Times New Roman" w:hAnsi="Times New Roman"/>
          <w:b/>
          <w:smallCaps/>
          <w:color w:val="231F20"/>
          <w:sz w:val="20"/>
        </w:rPr>
        <w:t xml:space="preserve">Dispute Resolution. </w:t>
      </w:r>
      <w:r>
        <w:rPr>
          <w:rFonts w:ascii="Times New Roman" w:hAnsi="Times New Roman"/>
          <w:color w:val="231F20"/>
          <w:sz w:val="20"/>
        </w:rPr>
        <w:t>You and the Company agree that any and all disputes, claims, or controversies of any nature whatsoever arising from, or relating to, this Agreement or its interpretation, enforcement, breach, performance or execution, your employment or the termination of such employment (including, but not limited to, any statutory claims), shall be resolved, pursuant to the Federal Arbitration Act, 9 U.S.C. §1-16, and to the fullest extent permitted by law, by final, binding and confidential arbitration in San Francisco, California (or another mutually acceptable location) conducted before a single neutral arbitrator by JAMS, Inc. (“</w:t>
      </w:r>
      <w:r>
        <w:rPr>
          <w:rFonts w:ascii="Times New Roman" w:hAnsi="Times New Roman"/>
          <w:b/>
          <w:smallCaps/>
          <w:color w:val="231F20"/>
          <w:sz w:val="20"/>
        </w:rPr>
        <w:t>JAMS</w:t>
      </w:r>
      <w:r>
        <w:rPr>
          <w:color w:val="231F20"/>
        </w:rPr>
        <w:t>”</w:t>
      </w:r>
      <w:r>
        <w:rPr>
          <w:rFonts w:ascii="Times New Roman" w:hAnsi="Times New Roman"/>
          <w:color w:val="231F20"/>
          <w:sz w:val="20"/>
        </w:rPr>
        <w:t xml:space="preserve">) or its successor, under the then applicable JAMS Arbitration Rules and Procedures for Employment Disputes (available at </w:t>
      </w:r>
      <w:r>
        <w:rPr>
          <w:rFonts w:ascii="Times New Roman" w:hAnsi="Times New Roman"/>
          <w:sz w:val="20"/>
        </w:rPr>
        <w:t>http://www.jamsadr.com/rules-employment-arbitration/).</w:t>
      </w:r>
      <w:r>
        <w:rPr>
          <w:color w:val="231F20"/>
        </w:rPr>
        <w:t xml:space="preserve"> </w:t>
      </w:r>
      <w:r>
        <w:rPr>
          <w:rFonts w:ascii="Times New Roman" w:hAnsi="Times New Roman"/>
          <w:b/>
          <w:color w:val="231F20"/>
          <w:sz w:val="20"/>
        </w:rPr>
        <w:t xml:space="preserve">By agreeing to this arbitration procedure, both you and the Company waive the right to have any claim resolved through a trial by jury or judge. </w:t>
      </w:r>
      <w:r>
        <w:rPr>
          <w:rFonts w:ascii="Times New Roman" w:hAnsi="Times New Roman"/>
          <w:color w:val="231F20"/>
          <w:sz w:val="20"/>
        </w:rPr>
        <w:t>You will have the right to be represented by legal counsel at any arbitration proceeding, at your own expense. This paragraph shall not apply to any action or claim that cannot be subject to mandatory arbitration as a matter of law, to the extent such claims are not permitted by applicable law to be submitted to mandatory arbitration and the applicable law(s) are not preempted by the Federal Arbitration Act or otherwise invalid (collectively, the “</w:t>
      </w:r>
      <w:r>
        <w:rPr>
          <w:rFonts w:ascii="Times New Roman" w:hAnsi="Times New Roman"/>
          <w:b/>
          <w:color w:val="231F20"/>
          <w:sz w:val="20"/>
        </w:rPr>
        <w:t>Excluded Claims</w:t>
      </w:r>
      <w:r>
        <w:rPr>
          <w:color w:val="231F20"/>
        </w:rPr>
        <w:t>”</w:t>
      </w:r>
      <w:r>
        <w:rPr>
          <w:rFonts w:ascii="Times New Roman" w:hAnsi="Times New Roman"/>
          <w:color w:val="231F20"/>
          <w:sz w:val="20"/>
        </w:rPr>
        <w:t>). In the event you intend to bring multiple claims, including one of the Excluded Claims listed above, the Excluded Claims may be publicly filed with a court, while any other claims will remain subject to mandatory arbitration. The arbitrator shall have sole authority for determining if a claim is subject to arbitration, and any other procedural questions related to the dispute and bearing on the final disposition. In addition, the arbitrator shall: (a) have the authority to compel adequate discovery for the resolution of the dispute and to award such relief as would otherwise be available under applicable law in a court proceeding; and (b) issue a written statement signed by the arbitrator regarding the disposition of each claim and the relief, if any, awarded as to each claim, the reasons for the award, and the arbitrator’s essential findings and conclusions on which the award is based. The Company shall pay all JAMS arbitration fees. Nothing in this Agreement shall prevent you or the Company from obtaining injunctive relief in court to prevent irreparable harm pending the conclusion of any arbitration. Any awards or orders in such arbitrations may be entered and enforced as judgments in the federal and state courts of any competent jurisdiction.</w:t>
      </w:r>
    </w:p>
    <w:p>
      <w:pPr>
        <w:pStyle w:val="TextBody"/>
        <w:bidi w:val="0"/>
        <w:spacing w:before="242" w:after="283"/>
        <w:ind w:left="274" w:right="360" w:firstLine="720"/>
        <w:jc w:val="both"/>
        <w:rPr>
          <w:rFonts w:ascii="Times New Roman" w:hAnsi="Times New Roman"/>
          <w:b/>
          <w:color w:val="231F20"/>
          <w:sz w:val="24"/>
        </w:rPr>
      </w:pPr>
      <w:r>
        <w:rPr>
          <w:rFonts w:ascii="Times New Roman" w:hAnsi="Times New Roman"/>
          <w:b/>
          <w:color w:val="231F20"/>
          <w:sz w:val="24"/>
        </w:rPr>
        <w:t>16.</w:t>
      </w:r>
    </w:p>
    <w:p>
      <w:pPr>
        <w:pStyle w:val="TextBody"/>
        <w:bidi w:val="0"/>
        <w:spacing w:before="242" w:after="283"/>
        <w:jc w:val="both"/>
        <w:rPr/>
      </w:pPr>
      <w:r>
        <w:rPr>
          <w:rFonts w:ascii="Times New Roman" w:hAnsi="Times New Roman"/>
          <w:b/>
          <w:smallCaps/>
          <w:color w:val="231F20"/>
          <w:sz w:val="20"/>
        </w:rPr>
        <w:t xml:space="preserve">Miscellaneous. </w:t>
      </w:r>
      <w:r>
        <w:rPr>
          <w:rFonts w:ascii="Times New Roman" w:hAnsi="Times New Roman"/>
          <w:color w:val="231F20"/>
          <w:sz w:val="20"/>
        </w:rPr>
        <w:t>This Agreement, including Exhibits A and B, constitutes the complete, final and exclusive embodiment of the entire agreement between you and the Company with regard to its subject matter. It is entered into without reliance on any promise or representation, written or oral, other than those expressly contained herein, and it supersedes any other such promises, warranties or representations. This Agreement may not be modified or amended except in a writing signed by both you and a duly authorized officer of the Company. This Agreement will bind the heirs, personal representatives, successors and assigns of both you and the Company, and inure to the benefit of both you and the Company, their heirs, successors and assigns. If any provision of this Agreement is determined to be invalid or unenforceable, in whole or in part, this determination will not affect any other provision of this Agreement and the provision in question will be modified by the court so as to be rendered enforceable to the fullest extent permitted by law, consistent with the intent of the parties. This Agreement will be deemed to have been entered into and will be construed and enforced in accordance with the laws of the State of California without regard to conflict of laws principles. Any ambiguity in this Agreement shall not be construed against either party as the drafter. Any waiver of a breach of this Agreement shall be in writing and shall not be deemed to be a waiver of any successive breach. This Agreement may be executed in counterparts and electronic or facsimile signatures will suffice as original signatures.</w:t>
      </w:r>
    </w:p>
    <w:p>
      <w:pPr>
        <w:pStyle w:val="TextBody"/>
        <w:bidi w:val="0"/>
        <w:spacing w:before="240" w:after="283"/>
        <w:ind w:left="360" w:right="354" w:hanging="0"/>
        <w:jc w:val="both"/>
        <w:rPr>
          <w:rFonts w:ascii="Times New Roman" w:hAnsi="Times New Roman"/>
          <w:color w:val="231F20"/>
          <w:sz w:val="20"/>
        </w:rPr>
      </w:pPr>
      <w:r>
        <w:rPr>
          <w:rFonts w:ascii="Times New Roman" w:hAnsi="Times New Roman"/>
          <w:color w:val="231F20"/>
          <w:sz w:val="20"/>
        </w:rPr>
        <w:t xml:space="preserve">If this Agreement is acceptable to you, please sign below and return the original to me. You have twenty-one (21)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spacing w:before="240" w:after="283"/>
        <w:ind w:left="360" w:right="354" w:hanging="0"/>
        <w:jc w:val="both"/>
        <w:rPr>
          <w:rFonts w:ascii="Times New Roman" w:hAnsi="Times New Roman"/>
          <w:sz w:val="20"/>
        </w:rPr>
      </w:pPr>
      <w:r>
        <w:rPr>
          <w:rFonts w:ascii="Times New Roman" w:hAnsi="Times New Roman"/>
          <w:color w:val="231F20"/>
          <w:sz w:val="20"/>
        </w:rPr>
        <w:t>calendar days (the “</w:t>
      </w:r>
      <w:r>
        <w:rPr>
          <w:rFonts w:ascii="Times New Roman" w:hAnsi="Times New Roman"/>
          <w:b/>
          <w:color w:val="231F20"/>
          <w:sz w:val="20"/>
        </w:rPr>
        <w:t>Review Period</w:t>
      </w:r>
      <w:r>
        <w:rPr>
          <w:rFonts w:ascii="Times New Roman" w:hAnsi="Times New Roman"/>
          <w:color w:val="231F20"/>
          <w:sz w:val="20"/>
        </w:rPr>
        <w:t>”) to decide whether to accept this Agreement, and the Company’s offer contained herein will automatically expire if you do not sign and return it within that timeframe.</w:t>
      </w:r>
    </w:p>
    <w:p>
      <w:pPr>
        <w:pStyle w:val="TextBody"/>
        <w:bidi w:val="0"/>
        <w:spacing w:before="4" w:after="283"/>
        <w:jc w:val="left"/>
        <w:rPr/>
      </w:pPr>
      <w:r>
        <w:rPr/>
        <w:t> </w:t>
      </w:r>
    </w:p>
    <w:p>
      <w:pPr>
        <w:pStyle w:val="TextBody"/>
        <w:bidi w:val="0"/>
        <w:spacing w:before="1" w:after="283"/>
        <w:ind w:left="360" w:right="4299" w:hanging="0"/>
        <w:jc w:val="left"/>
        <w:rPr>
          <w:rFonts w:ascii="Times New Roman" w:hAnsi="Times New Roman"/>
          <w:color w:val="231F20"/>
          <w:sz w:val="20"/>
        </w:rPr>
      </w:pPr>
      <w:r>
        <w:rPr>
          <w:rFonts w:ascii="Times New Roman" w:hAnsi="Times New Roman"/>
          <w:color w:val="231F20"/>
          <w:sz w:val="20"/>
        </w:rPr>
        <w:t>We wish you the best in your future endeavors. Sincerely,</w:t>
      </w:r>
    </w:p>
    <w:p>
      <w:pPr>
        <w:pStyle w:val="TextBody"/>
        <w:pBdr/>
        <w:bidi w:val="0"/>
        <w:spacing w:before="274" w:after="283"/>
        <w:ind w:left="360" w:right="5396" w:hanging="721"/>
        <w:jc w:val="left"/>
        <w:rPr>
          <w:rFonts w:ascii="Times New Roman" w:hAnsi="Times New Roman"/>
          <w:sz w:val="20"/>
        </w:rPr>
      </w:pPr>
      <w:r>
        <w:rPr>
          <w:rFonts w:ascii="Times New Roman" w:hAnsi="Times New Roman"/>
          <w:color w:val="231F20"/>
          <w:sz w:val="20"/>
        </w:rPr>
        <w:t>By:</w:t>
      </w:r>
      <w:r>
        <w:rPr>
          <w:rFonts w:ascii="Times New Roman" w:hAnsi="Times New Roman"/>
          <w:color w:val="231F20"/>
          <w:sz w:val="20"/>
          <w:u w:val="single"/>
        </w:rPr>
        <w:t xml:space="preserve"> /s/ Talat Imran </w:t>
      </w:r>
    </w:p>
    <w:p>
      <w:pPr>
        <w:pStyle w:val="TextBody"/>
        <w:pBdr/>
        <w:bidi w:val="0"/>
        <w:spacing w:before="274" w:after="283"/>
        <w:ind w:left="360" w:right="5396" w:hanging="721"/>
        <w:jc w:val="left"/>
        <w:rPr>
          <w:rFonts w:ascii="Times New Roman" w:hAnsi="Times New Roman"/>
          <w:color w:val="231F20"/>
          <w:sz w:val="20"/>
        </w:rPr>
      </w:pPr>
      <w:r>
        <w:rPr>
          <w:rFonts w:ascii="Times New Roman" w:hAnsi="Times New Roman"/>
          <w:color w:val="231F20"/>
          <w:sz w:val="20"/>
        </w:rPr>
        <w:t>Talat Imran</w:t>
      </w:r>
    </w:p>
    <w:p>
      <w:pPr>
        <w:pStyle w:val="TextBody"/>
        <w:bidi w:val="0"/>
        <w:jc w:val="left"/>
        <w:rPr>
          <w:rFonts w:ascii="Times New Roman" w:hAnsi="Times New Roman"/>
          <w:color w:val="231F20"/>
          <w:sz w:val="20"/>
        </w:rPr>
      </w:pPr>
      <w:r>
        <w:rPr>
          <w:rFonts w:ascii="Times New Roman" w:hAnsi="Times New Roman"/>
          <w:color w:val="231F20"/>
          <w:sz w:val="20"/>
        </w:rPr>
        <w:t>Chief Executive Officer</w:t>
      </w:r>
    </w:p>
    <w:p>
      <w:pPr>
        <w:pStyle w:val="TextBody"/>
        <w:bidi w:val="0"/>
        <w:jc w:val="left"/>
        <w:rPr/>
      </w:pPr>
      <w:r>
        <w:rPr/>
        <w:t> </w:t>
      </w:r>
    </w:p>
    <w:p>
      <w:pPr>
        <w:pStyle w:val="TextBody"/>
        <w:bidi w:val="0"/>
        <w:spacing w:before="209" w:after="283"/>
        <w:jc w:val="left"/>
        <w:rPr/>
      </w:pPr>
      <w:r>
        <w:rPr/>
        <w:t> </w:t>
      </w:r>
    </w:p>
    <w:p>
      <w:pPr>
        <w:pStyle w:val="Heading1"/>
        <w:bidi w:val="0"/>
        <w:spacing w:before="1" w:after="283"/>
        <w:ind w:left="360" w:right="0" w:hanging="0"/>
        <w:jc w:val="left"/>
        <w:rPr>
          <w:rFonts w:ascii="Times New Roman" w:hAnsi="Times New Roman"/>
          <w:smallCaps/>
          <w:color w:val="231F20"/>
          <w:sz w:val="20"/>
        </w:rPr>
      </w:pPr>
      <w:r>
        <w:rPr>
          <w:rFonts w:ascii="Times New Roman" w:hAnsi="Times New Roman"/>
          <w:smallCaps/>
          <w:color w:val="231F20"/>
          <w:sz w:val="20"/>
        </w:rPr>
        <w:t>I have read, understand and agree fully to the foregoing Agreement:</w:t>
      </w:r>
    </w:p>
    <w:p>
      <w:pPr>
        <w:pStyle w:val="TextBody"/>
        <w:bidi w:val="0"/>
        <w:jc w:val="left"/>
        <w:rPr/>
      </w:pPr>
      <w:r>
        <w:rPr/>
        <w:t> </w:t>
      </w:r>
    </w:p>
    <w:p>
      <w:pPr>
        <w:pStyle w:val="TextBody"/>
        <w:bidi w:val="0"/>
        <w:spacing w:before="204" w:after="283"/>
        <w:jc w:val="left"/>
        <w:rPr>
          <w:rFonts w:ascii="Times New Roman" w:hAnsi="Times New Roman"/>
          <w:color w:val="000000"/>
          <w:sz w:val="20"/>
          <w:u w:val="single"/>
        </w:rPr>
      </w:pPr>
      <w:r>
        <w:rPr>
          <w:rFonts w:ascii="Times New Roman" w:hAnsi="Times New Roman"/>
          <w:color w:val="000000"/>
          <w:sz w:val="20"/>
          <w:u w:val="single"/>
        </w:rPr>
        <w:t xml:space="preserve">/s/ Svai Sanford </w:t>
      </w:r>
    </w:p>
    <w:p>
      <w:pPr>
        <w:pStyle w:val="TextBody"/>
        <w:bidi w:val="0"/>
        <w:ind w:left="360" w:right="0" w:hanging="0"/>
        <w:jc w:val="left"/>
        <w:rPr>
          <w:rFonts w:ascii="Times New Roman" w:hAnsi="Times New Roman"/>
          <w:color w:val="231F20"/>
          <w:sz w:val="20"/>
        </w:rPr>
      </w:pPr>
      <w:r>
        <w:rPr>
          <w:rFonts w:ascii="Times New Roman" w:hAnsi="Times New Roman"/>
          <w:color w:val="231F20"/>
          <w:sz w:val="20"/>
        </w:rPr>
        <w:t>Svai Sanford</w:t>
      </w:r>
    </w:p>
    <w:p>
      <w:pPr>
        <w:pStyle w:val="TextBody"/>
        <w:bidi w:val="0"/>
        <w:spacing w:before="194" w:after="283"/>
        <w:ind w:left="360" w:right="0" w:hanging="0"/>
        <w:jc w:val="left"/>
        <w:rPr>
          <w:rFonts w:ascii="Times New Roman" w:hAnsi="Times New Roman"/>
          <w:color w:val="231F20"/>
          <w:sz w:val="20"/>
        </w:rPr>
      </w:pPr>
      <w:r>
        <w:rPr>
          <w:rFonts w:ascii="Times New Roman" w:hAnsi="Times New Roman"/>
          <w:color w:val="231F20"/>
          <w:sz w:val="20"/>
        </w:rPr>
        <w:t>May 15, 2026</w:t>
      </w:r>
    </w:p>
    <w:p>
      <w:pPr>
        <w:pStyle w:val="TextBody"/>
        <w:bidi w:val="0"/>
        <w:spacing w:before="3" w:after="283"/>
        <w:jc w:val="left"/>
        <w:rPr/>
      </w:pPr>
      <w:r>
        <w:rPr/>
        <w:t> </w:t>
      </w:r>
    </w:p>
    <w:p>
      <w:pPr>
        <w:pStyle w:val="TextBody"/>
        <w:bidi w:val="0"/>
        <w:spacing w:before="20" w:after="283"/>
        <w:ind w:left="360" w:right="0" w:hanging="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62" w:after="283"/>
        <w:ind w:left="2880" w:right="3251" w:hanging="0"/>
        <w:jc w:val="center"/>
        <w:rPr>
          <w:rFonts w:ascii="Times New Roman" w:hAnsi="Times New Roman"/>
          <w:smallCaps/>
          <w:color w:val="231F20"/>
          <w:sz w:val="20"/>
        </w:rPr>
      </w:pPr>
      <w:r>
        <w:rPr>
          <w:rFonts w:ascii="Times New Roman" w:hAnsi="Times New Roman"/>
          <w:smallCaps/>
          <w:color w:val="231F20"/>
          <w:sz w:val="20"/>
        </w:rPr>
        <w:t xml:space="preserve">Exhibit A </w:t>
      </w:r>
    </w:p>
    <w:p>
      <w:pPr>
        <w:pStyle w:val="Heading1"/>
        <w:bidi w:val="0"/>
        <w:spacing w:before="62" w:after="283"/>
        <w:ind w:left="2880" w:right="3251" w:hanging="0"/>
        <w:jc w:val="center"/>
        <w:rPr>
          <w:rFonts w:ascii="Times New Roman" w:hAnsi="Times New Roman"/>
          <w:smallCaps/>
          <w:color w:val="231F20"/>
          <w:sz w:val="20"/>
        </w:rPr>
      </w:pPr>
      <w:r>
        <w:rPr>
          <w:rFonts w:ascii="Times New Roman" w:hAnsi="Times New Roman"/>
          <w:smallCaps/>
          <w:color w:val="231F20"/>
          <w:sz w:val="20"/>
        </w:rPr>
        <w:t>Separation Date Release</w:t>
      </w:r>
    </w:p>
    <w:p>
      <w:pPr>
        <w:pStyle w:val="TextBody"/>
        <w:bidi w:val="0"/>
        <w:spacing w:before="6" w:after="283"/>
        <w:ind w:left="0" w:right="5" w:hanging="0"/>
        <w:jc w:val="center"/>
        <w:rPr>
          <w:rFonts w:ascii="Times New Roman" w:hAnsi="Times New Roman"/>
          <w:sz w:val="20"/>
        </w:rPr>
      </w:pPr>
      <w:r>
        <w:rPr>
          <w:rFonts w:ascii="Times New Roman" w:hAnsi="Times New Roman"/>
          <w:color w:val="231F20"/>
          <w:sz w:val="20"/>
        </w:rPr>
        <w:t>(</w:t>
      </w:r>
      <w:r>
        <w:rPr>
          <w:rFonts w:ascii="Times New Roman" w:hAnsi="Times New Roman"/>
          <w:b/>
          <w:color w:val="231F20"/>
          <w:sz w:val="20"/>
        </w:rPr>
        <w:t>to be signed and returned to the Company on the Separation Date)</w:t>
      </w:r>
    </w:p>
    <w:p>
      <w:pPr>
        <w:pStyle w:val="TextBody"/>
        <w:bidi w:val="0"/>
        <w:spacing w:before="232" w:after="283"/>
        <w:ind w:left="360" w:right="351" w:hanging="0"/>
        <w:jc w:val="both"/>
        <w:rPr>
          <w:rFonts w:ascii="Times New Roman" w:hAnsi="Times New Roman"/>
          <w:sz w:val="20"/>
        </w:rPr>
      </w:pPr>
      <w:r>
        <w:rPr>
          <w:rFonts w:ascii="Times New Roman" w:hAnsi="Times New Roman"/>
          <w:color w:val="231F20"/>
          <w:sz w:val="20"/>
        </w:rPr>
        <w:t>In consideration for the severance benefits provided to me by Rani Therapeutics Holdings, Inc. (the “</w:t>
      </w:r>
      <w:r>
        <w:rPr>
          <w:rFonts w:ascii="Times New Roman" w:hAnsi="Times New Roman"/>
          <w:b/>
          <w:color w:val="231F20"/>
          <w:sz w:val="20"/>
        </w:rPr>
        <w:t>Company</w:t>
      </w:r>
      <w:r>
        <w:rPr>
          <w:rFonts w:ascii="Times New Roman" w:hAnsi="Times New Roman"/>
          <w:color w:val="231F20"/>
          <w:sz w:val="20"/>
        </w:rPr>
        <w:t>”) pursuant to the terms of separation agreement between me and the Company to which this Exhibit is attached (the “</w:t>
      </w:r>
      <w:r>
        <w:rPr>
          <w:rFonts w:ascii="Times New Roman" w:hAnsi="Times New Roman"/>
          <w:b/>
          <w:color w:val="231F20"/>
          <w:sz w:val="20"/>
        </w:rPr>
        <w:t>Agreement</w:t>
      </w:r>
      <w:r>
        <w:rPr>
          <w:rFonts w:ascii="Times New Roman" w:hAnsi="Times New Roman"/>
          <w:color w:val="231F20"/>
          <w:sz w:val="20"/>
        </w:rPr>
        <w:t>”), I hereby provide the following Separation Date Release (the “</w:t>
      </w:r>
      <w:r>
        <w:rPr>
          <w:rFonts w:ascii="Times New Roman" w:hAnsi="Times New Roman"/>
          <w:b/>
          <w:color w:val="231F20"/>
          <w:sz w:val="20"/>
        </w:rPr>
        <w:t>Release</w:t>
      </w:r>
      <w:r>
        <w:rPr>
          <w:rFonts w:ascii="Times New Roman" w:hAnsi="Times New Roman"/>
          <w:color w:val="231F20"/>
          <w:sz w:val="20"/>
        </w:rPr>
        <w:t>”). Capitalized terms used but not defined herein shall have the meanings ascribed to them in the Agreement.</w:t>
      </w:r>
    </w:p>
    <w:p>
      <w:pPr>
        <w:pStyle w:val="TextBody"/>
        <w:bidi w:val="0"/>
        <w:spacing w:before="243" w:after="283"/>
        <w:ind w:left="360" w:right="345" w:hanging="0"/>
        <w:jc w:val="both"/>
        <w:rPr>
          <w:rFonts w:ascii="Times New Roman" w:hAnsi="Times New Roman"/>
          <w:color w:val="231F20"/>
          <w:sz w:val="20"/>
        </w:rPr>
      </w:pPr>
      <w:r>
        <w:rPr>
          <w:rFonts w:ascii="Times New Roman" w:hAnsi="Times New Roman"/>
          <w:color w:val="231F20"/>
          <w:sz w:val="20"/>
        </w:rPr>
        <w:t>I hereby represent that I have been paid all compensation owed and for all hours worked through the date I sign this Release, have received all the leave and leave benefits and protections for which I am eligible pursuant to the Family and Medical Leave Act, the California Family Rights Act, or otherwise, and have not suffered any on-the-job injury for which I have not already filed a workers’ compensation claim. I acknowledge that, other than the benefits to be provided to me pursuant to the Agreement upon my execution of this Release, I have not earned and will not receive from the Company any additional compensation (including base salary, bonus, incentive compensation, or equity), severance, or benefits, with the exception of any vested right I may have under the express terms of a written ERISA-qualified benefit plan (e.g., 401(k) account) or any vested options.</w:t>
      </w:r>
    </w:p>
    <w:p>
      <w:pPr>
        <w:pStyle w:val="TextBody"/>
        <w:bidi w:val="0"/>
        <w:spacing w:before="239" w:after="283"/>
        <w:ind w:left="360" w:right="349" w:hanging="0"/>
        <w:jc w:val="both"/>
        <w:rPr>
          <w:rFonts w:ascii="Times New Roman" w:hAnsi="Times New Roman"/>
          <w:sz w:val="20"/>
        </w:rPr>
      </w:pPr>
      <w:r>
        <w:rPr>
          <w:rFonts w:ascii="Times New Roman" w:hAnsi="Times New Roman"/>
          <w:color w:val="231F20"/>
          <w:sz w:val="20"/>
        </w:rPr>
        <w:t>I hereby generally and completely release the Company, and its affiliated, related, parent and subsidiary entities, and its and their current and former directors, officers, employees, shareholders, partners, agents, attorneys, predecessors, successors, insurers, affiliates, and assigns from any and all claims, liabilities, demands, causes of action, and obligations, both known and unknown, arising from or in any way related to events, acts, conduct, or omissions occurring at any time prior to and including the date I sign this Release. This general release includes, but is not limited to: (a) all claims arising out of or in any way related to my employment with the Company or the termination of that employment; (b) all claims related to my compensation or benefits from the Company, including salary, bonuses, commissions, vacation pay, expense reimbursements, severance pay, fringe benefits, stock, stock options, or any other ownership, equity, or profits interests in the Company; (c) all claims for breach of contract, wrongful termination, and breach of the implied covenant of good faith and fair dealing; (d) all tort claims, including claims for fraud, defamation, emotional distress, and discharge in violation of public policy; and (e) all federal, state, and local statutory claims, including claims for discrimination, harassment, retaliation, attorneys’ fees, or other claims arising under the federal Civil Rights Act of 1964, the federal Age Discrimination in Employment Act (the “</w:t>
      </w:r>
      <w:r>
        <w:rPr>
          <w:rFonts w:ascii="Times New Roman" w:hAnsi="Times New Roman"/>
          <w:b/>
          <w:color w:val="231F20"/>
          <w:sz w:val="20"/>
        </w:rPr>
        <w:t>ADEA</w:t>
      </w:r>
      <w:r>
        <w:rPr>
          <w:rFonts w:ascii="Times New Roman" w:hAnsi="Times New Roman"/>
          <w:color w:val="231F20"/>
          <w:sz w:val="20"/>
        </w:rPr>
        <w:t xml:space="preserve">”), the California Labor Code, the California Family Rights Act, and the California Fair Employment and Housing Act, all as amended. Notwithstanding the foregoing, I am not releasing the Company hereby from any obligation to indemnify me pursuant to the Articles and Bylaws of the Company, any valid fully executed indemnification agreement with the Company, applicable law, or applicable directors and officers liability insurance. Also, excluded from this Release are any claims that cannot be waived by law. </w:t>
      </w:r>
      <w:r>
        <w:rPr>
          <w:rFonts w:ascii="Times New Roman" w:hAnsi="Times New Roman"/>
          <w:b/>
          <w:color w:val="231F20"/>
          <w:sz w:val="20"/>
        </w:rPr>
        <w:t xml:space="preserve">I acknowledge that I have been advised, pursuant to California Government Code Section 12964.5(b)(4), that I have the right to consult an attorney regarding this Release and that I was given a reasonable time period of not less than five business days in which to do so. </w:t>
      </w:r>
      <w:r>
        <w:rPr>
          <w:rFonts w:ascii="Times New Roman" w:hAnsi="Times New Roman"/>
          <w:color w:val="231F20"/>
          <w:sz w:val="20"/>
        </w:rPr>
        <w:t>I further acknowledge and agree that, in the event I sign this Release prior to the end of the reasonable time period provided by the Company, my decision to accept such shortening of time is knowing and voluntary and is not induced by the Company through fraud, misrepresentation, or a threat to withdraw or alter the offer prior to the expiration of the reasonable time period, or by providing different terms to employees who sign such an agreement prior to the expiration of the time period.</w:t>
      </w:r>
    </w:p>
    <w:p>
      <w:pPr>
        <w:pStyle w:val="TextBody"/>
        <w:bidi w:val="0"/>
        <w:spacing w:before="238" w:after="283"/>
        <w:ind w:left="360" w:right="348" w:hanging="0"/>
        <w:jc w:val="both"/>
        <w:rPr>
          <w:rFonts w:ascii="Times New Roman" w:hAnsi="Times New Roman"/>
          <w:sz w:val="20"/>
        </w:rPr>
      </w:pPr>
      <w:r>
        <w:rPr>
          <w:rFonts w:ascii="Times New Roman" w:hAnsi="Times New Roman"/>
          <w:color w:val="231F20"/>
          <w:sz w:val="20"/>
        </w:rPr>
        <w:t>In giving the release herein, which includes claims which may be unknown to me at present, I acknowledge that I have read and understand Section 1542 of the California Civil Code, which reads as follows: “</w:t>
      </w:r>
      <w:r>
        <w:rPr>
          <w:rFonts w:ascii="Times New Roman" w:hAnsi="Times New Roman"/>
          <w:b/>
          <w:color w:val="231F20"/>
          <w:sz w:val="20"/>
        </w:rPr>
        <w:t xml:space="preserve">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 </w:t>
      </w:r>
      <w:r>
        <w:rPr>
          <w:rFonts w:ascii="Times New Roman" w:hAnsi="Times New Roman"/>
          <w:color w:val="231F20"/>
          <w:sz w:val="20"/>
        </w:rPr>
        <w:t>I hereby expressly waive and relinquish all rights and benefits under that section and any law of any other jurisdiction of similar effect with respect to my release of claims herein, including but not limited to my release of unknown claims.</w:t>
      </w:r>
    </w:p>
    <w:p>
      <w:pPr>
        <w:pStyle w:val="TextBody"/>
        <w:bidi w:val="0"/>
        <w:spacing w:before="241" w:after="283"/>
        <w:ind w:left="360" w:right="360" w:hanging="0"/>
        <w:jc w:val="both"/>
        <w:rPr>
          <w:rFonts w:ascii="Times New Roman" w:hAnsi="Times New Roman"/>
          <w:color w:val="231F20"/>
          <w:sz w:val="20"/>
        </w:rPr>
      </w:pPr>
      <w:r>
        <w:rPr>
          <w:rFonts w:ascii="Times New Roman" w:hAnsi="Times New Roman"/>
          <w:color w:val="231F20"/>
          <w:sz w:val="20"/>
        </w:rPr>
        <w:t xml:space="preserve">I acknowledge that I am knowingly and voluntarily waiving and releasing any rights I have under the ADEA, and that the consideration given for the waiver and releases I have given in this Release is in addition to anything of value to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1" w:after="283"/>
        <w:ind w:left="360" w:right="360" w:hanging="0"/>
        <w:jc w:val="both"/>
        <w:rPr>
          <w:rFonts w:ascii="Times New Roman" w:hAnsi="Times New Roman"/>
          <w:sz w:val="20"/>
        </w:rPr>
      </w:pPr>
      <w:r>
        <w:rPr>
          <w:rFonts w:ascii="Times New Roman" w:hAnsi="Times New Roman"/>
          <w:color w:val="231F20"/>
          <w:sz w:val="20"/>
        </w:rPr>
        <w:t>which I was already entitled. I further acknowledge that I have been advised, as required by the ADEA, that: (i) my waiver and release does not apply to any rights or claims arising after the date I sign this Release; (ii) I should consult with an attorney prior to signing this Release (although I may choose voluntarily not to do so); (iii) I have twenty-one (21) days to consider this Release (although I may choose voluntarily to sign it sooner); (iv) I have seven (7) days following the date I sign this Release to revoke it (in a written revocation sent to the Company); and (v) this Release will not be effective until the date upon which the revocation period has expired, which will be the eighth day after I sign this Release provided that I do not revoke it (the “</w:t>
      </w:r>
      <w:r>
        <w:rPr>
          <w:rFonts w:ascii="Times New Roman" w:hAnsi="Times New Roman"/>
          <w:b/>
          <w:color w:val="231F20"/>
          <w:sz w:val="20"/>
        </w:rPr>
        <w:t>Separation Date Release Effective Date</w:t>
      </w:r>
      <w:r>
        <w:rPr>
          <w:rFonts w:ascii="Times New Roman" w:hAnsi="Times New Roman"/>
          <w:color w:val="231F20"/>
          <w:sz w:val="20"/>
        </w:rPr>
        <w:t>”).</w:t>
      </w:r>
    </w:p>
    <w:p>
      <w:pPr>
        <w:pStyle w:val="TextBody"/>
        <w:bidi w:val="0"/>
        <w:spacing w:before="243" w:after="283"/>
        <w:ind w:left="360" w:right="347" w:hanging="0"/>
        <w:jc w:val="both"/>
        <w:rPr>
          <w:rFonts w:ascii="Times New Roman" w:hAnsi="Times New Roman"/>
          <w:sz w:val="20"/>
        </w:rPr>
      </w:pPr>
      <w:r>
        <w:rPr>
          <w:rFonts w:ascii="Times New Roman" w:hAnsi="Times New Roman"/>
          <w:color w:val="231F20"/>
          <w:sz w:val="20"/>
        </w:rPr>
        <w:t>I understand that nothing in this Release or the Agreement limits my ability to file a charge or complaint with the Equal Employment Opportunity Commission, the Department of Labor, the National Labor Relations Board, the Occupational Safety and Health Administration, the Department of Justice, the California Civil Rights Department, the Securities and Exchange Commission or any other federal, state or local governmental agency or commission (“</w:t>
      </w:r>
      <w:r>
        <w:rPr>
          <w:rFonts w:ascii="Times New Roman" w:hAnsi="Times New Roman"/>
          <w:b/>
          <w:color w:val="231F20"/>
          <w:sz w:val="20"/>
        </w:rPr>
        <w:t>Government Agencies</w:t>
      </w:r>
      <w:r>
        <w:rPr>
          <w:rFonts w:ascii="Times New Roman" w:hAnsi="Times New Roman"/>
          <w:color w:val="231F20"/>
          <w:sz w:val="20"/>
        </w:rPr>
        <w:t>”). I further understand this Release and this Agreement does not limit my ability to communicate with any Government Agencies or otherwise participate in any investigation or proceeding that may be conducted by any Government Agency, including providing documents or other information, without notice to the Company. While this Release and the Agreement does not limit my right to receive a government-issued award for information provided to any Government Agency in connection with a government whistleblower program or protected whistleblower activity, I understand and agree that, to the maximum extent permitted by law, I am otherwise waiving any and all rights I may have to individual relief based on any claims that I have released and any rights I have waived by signing this Release and the Agreement. Nothing in this Release or the Agreement (i) prevents me from discussing or disclosing information about unlawful acts in the workplace, such as harassment or discrimination or any other conduct that I have reason to believe is unlawful; or (ii) waives any rights I may have under Section 7 of the National Labor Relations Act (subject to the release of claims set forth herein).</w:t>
      </w:r>
    </w:p>
    <w:p>
      <w:pPr>
        <w:pStyle w:val="Heading1"/>
        <w:bidi w:val="0"/>
        <w:spacing w:before="62" w:after="283"/>
        <w:ind w:left="360" w:right="0" w:hanging="0"/>
        <w:jc w:val="left"/>
        <w:rPr/>
      </w:pPr>
      <w:r>
        <w:rPr/>
        <w:t> </w:t>
      </w:r>
    </w:p>
    <w:p>
      <w:pPr>
        <w:pStyle w:val="Heading1"/>
        <w:bidi w:val="0"/>
        <w:spacing w:before="62" w:after="283"/>
        <w:ind w:left="360" w:right="0" w:hanging="0"/>
        <w:jc w:val="left"/>
        <w:rPr>
          <w:rFonts w:ascii="Times New Roman" w:hAnsi="Times New Roman"/>
          <w:smallCaps/>
          <w:color w:val="231F20"/>
          <w:sz w:val="20"/>
        </w:rPr>
      </w:pPr>
      <w:r>
        <w:rPr>
          <w:rFonts w:ascii="Times New Roman" w:hAnsi="Times New Roman"/>
          <w:smallCaps/>
          <w:color w:val="231F20"/>
          <w:sz w:val="20"/>
        </w:rPr>
        <w:t>Understood, Accepted, and Agreed:</w:t>
      </w:r>
    </w:p>
    <w:p>
      <w:pPr>
        <w:pStyle w:val="TextBody"/>
        <w:bidi w:val="0"/>
        <w:jc w:val="left"/>
        <w:rPr/>
      </w:pPr>
      <w:r>
        <w:rPr/>
        <w:t> </w:t>
      </w:r>
    </w:p>
    <w:p>
      <w:pPr>
        <w:pStyle w:val="TextBody"/>
        <w:bidi w:val="0"/>
        <w:spacing w:before="204" w:after="283"/>
        <w:jc w:val="left"/>
        <w:rPr>
          <w:rFonts w:ascii="Times New Roman" w:hAnsi="Times New Roman"/>
          <w:sz w:val="20"/>
        </w:rPr>
      </w:pPr>
      <w:r>
        <w:rPr>
          <w:rFonts w:ascii="Times New Roman" w:hAnsi="Times New Roman"/>
          <w:b/>
          <w:color w:val="000000"/>
          <w:sz w:val="20"/>
          <w:u w:val="single"/>
        </w:rPr>
        <w:t xml:space="preserve">/s/ </w:t>
      </w:r>
      <w:r>
        <w:rPr>
          <w:rFonts w:ascii="Times New Roman" w:hAnsi="Times New Roman"/>
          <w:color w:val="000000"/>
          <w:sz w:val="20"/>
          <w:u w:val="single"/>
        </w:rPr>
        <w:t>Svai Sanford</w:t>
      </w:r>
    </w:p>
    <w:p>
      <w:pPr>
        <w:pStyle w:val="TextBody"/>
        <w:bidi w:val="0"/>
        <w:ind w:left="360" w:right="0" w:hanging="0"/>
        <w:jc w:val="left"/>
        <w:rPr>
          <w:rFonts w:ascii="Times New Roman" w:hAnsi="Times New Roman"/>
          <w:color w:val="231F20"/>
          <w:sz w:val="20"/>
        </w:rPr>
      </w:pPr>
      <w:r>
        <w:rPr>
          <w:rFonts w:ascii="Times New Roman" w:hAnsi="Times New Roman"/>
          <w:color w:val="231F20"/>
          <w:sz w:val="20"/>
        </w:rPr>
        <w:t>Svai Sanford</w:t>
      </w:r>
    </w:p>
    <w:p>
      <w:pPr>
        <w:pStyle w:val="TextBody"/>
        <w:bidi w:val="0"/>
        <w:spacing w:before="200" w:after="283"/>
        <w:ind w:left="360" w:right="0" w:hanging="0"/>
        <w:jc w:val="left"/>
        <w:rPr>
          <w:rFonts w:ascii="Times New Roman" w:hAnsi="Times New Roman"/>
          <w:color w:val="231F20"/>
          <w:sz w:val="20"/>
        </w:rPr>
      </w:pPr>
      <w:r>
        <w:rPr>
          <w:rFonts w:ascii="Times New Roman" w:hAnsi="Times New Roman"/>
          <w:color w:val="231F20"/>
          <w:sz w:val="20"/>
        </w:rPr>
        <w:t>July 6, 2026</w:t>
      </w:r>
    </w:p>
    <w:p>
      <w:pPr>
        <w:pStyle w:val="TextBody"/>
        <w:bidi w:val="0"/>
        <w:spacing w:before="4" w:after="283"/>
        <w:jc w:val="left"/>
        <w:rPr/>
      </w:pPr>
      <w:r>
        <w:rPr/>
        <w:t> </w:t>
      </w:r>
    </w:p>
    <w:p>
      <w:pPr>
        <w:pStyle w:val="TextBody"/>
        <w:bidi w:val="0"/>
        <w:spacing w:before="236" w:after="283"/>
        <w:jc w:val="left"/>
        <w:rPr/>
      </w:pPr>
      <w:r>
        <w:rPr/>
        <w:t> </w:t>
      </w:r>
    </w:p>
    <w:p>
      <w:pPr>
        <w:pStyle w:val="TextBody"/>
        <w:bidi w:val="0"/>
        <w:ind w:left="360" w:right="0" w:hanging="0"/>
        <w:jc w:val="left"/>
        <w:rPr>
          <w:rFonts w:ascii="Times New Roman" w:hAnsi="Times New Roman"/>
          <w:color w:val="231F20"/>
          <w:sz w:val="20"/>
        </w:rPr>
      </w:pPr>
      <w:r>
        <w:rPr>
          <w:rFonts w:ascii="Times New Roman" w:hAnsi="Times New Roman"/>
          <w:color w:val="231F20"/>
          <w:sz w:val="20"/>
        </w:rPr>
        <w:t>For Rani Therapeutics Holdings, Inc.:</w:t>
      </w:r>
    </w:p>
    <w:p>
      <w:pPr>
        <w:pStyle w:val="TextBody"/>
        <w:bidi w:val="0"/>
        <w:spacing w:before="7" w:after="283"/>
        <w:jc w:val="left"/>
        <w:rPr>
          <w:rFonts w:ascii="Times New Roman" w:hAnsi="Times New Roman"/>
          <w:color w:val="000000"/>
          <w:sz w:val="20"/>
          <w:u w:val="single"/>
        </w:rPr>
      </w:pPr>
      <w:r>
        <w:rPr>
          <w:rFonts w:ascii="Times New Roman" w:hAnsi="Times New Roman"/>
          <w:color w:val="000000"/>
          <w:sz w:val="20"/>
          <w:u w:val="single"/>
        </w:rPr>
        <w:t>/s/ Talat Imran</w:t>
      </w:r>
    </w:p>
    <w:p>
      <w:pPr>
        <w:pStyle w:val="TextBody"/>
        <w:bidi w:val="0"/>
        <w:spacing w:before="26" w:after="283"/>
        <w:ind w:left="360" w:right="0" w:hanging="0"/>
        <w:jc w:val="left"/>
        <w:rPr>
          <w:rFonts w:ascii="Times New Roman" w:hAnsi="Times New Roman"/>
          <w:color w:val="231F20"/>
          <w:sz w:val="20"/>
        </w:rPr>
      </w:pPr>
      <w:r>
        <w:rPr>
          <w:rFonts w:ascii="Times New Roman" w:hAnsi="Times New Roman"/>
          <w:color w:val="231F20"/>
          <w:sz w:val="20"/>
        </w:rPr>
        <w:t>Talat Imran, Chief Executive Officer</w:t>
      </w:r>
    </w:p>
    <w:p>
      <w:pPr>
        <w:pStyle w:val="TextBody"/>
        <w:bidi w:val="0"/>
        <w:spacing w:before="200" w:after="283"/>
        <w:ind w:left="360" w:right="0" w:hanging="0"/>
        <w:jc w:val="left"/>
        <w:rPr>
          <w:rFonts w:ascii="Times New Roman" w:hAnsi="Times New Roman"/>
          <w:color w:val="231F20"/>
          <w:sz w:val="20"/>
        </w:rPr>
      </w:pPr>
      <w:r>
        <w:rPr>
          <w:rFonts w:ascii="Times New Roman" w:hAnsi="Times New Roman"/>
          <w:color w:val="231F20"/>
          <w:sz w:val="20"/>
        </w:rPr>
        <w:t>July 7, 2026</w:t>
      </w:r>
    </w:p>
    <w:p>
      <w:pPr>
        <w:pStyle w:val="TextBody"/>
        <w:bidi w:val="0"/>
        <w:spacing w:before="200" w:after="283"/>
        <w:ind w:left="360" w:right="0" w:hanging="0"/>
        <w:jc w:val="left"/>
        <w:rPr/>
      </w:pPr>
      <w:r>
        <w:rPr/>
        <w:t> </w:t>
      </w:r>
    </w:p>
    <w:p>
      <w:pPr>
        <w:pStyle w:val="TextBody"/>
        <w:bidi w:val="0"/>
        <w:spacing w:before="25" w:after="283"/>
        <w:ind w:left="360" w:right="0" w:hanging="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35" w:after="283"/>
        <w:ind w:left="6" w:right="0" w:hanging="0"/>
        <w:jc w:val="center"/>
        <w:rPr>
          <w:rFonts w:ascii="Times New Roman" w:hAnsi="Times New Roman"/>
          <w:b/>
          <w:smallCaps/>
          <w:color w:val="231F20"/>
          <w:sz w:val="20"/>
        </w:rPr>
      </w:pPr>
      <w:r>
        <w:rPr>
          <w:rFonts w:ascii="Times New Roman" w:hAnsi="Times New Roman"/>
          <w:b/>
          <w:smallCaps/>
          <w:color w:val="231F20"/>
          <w:sz w:val="20"/>
        </w:rPr>
        <w:t>Exhibit B</w:t>
      </w:r>
    </w:p>
    <w:p>
      <w:pPr>
        <w:pStyle w:val="TextBody"/>
        <w:bidi w:val="0"/>
        <w:spacing w:before="25" w:after="283"/>
        <w:jc w:val="left"/>
        <w:rPr/>
      </w:pPr>
      <w:r>
        <w:rPr/>
        <w:t> </w:t>
      </w:r>
    </w:p>
    <w:p>
      <w:pPr>
        <w:pStyle w:val="TextBody"/>
        <w:bidi w:val="0"/>
        <w:ind w:left="2353" w:right="2355" w:firstLine="2"/>
        <w:jc w:val="center"/>
        <w:rPr>
          <w:rFonts w:ascii="Times New Roman" w:hAnsi="Times New Roman"/>
          <w:b/>
          <w:color w:val="231F20"/>
          <w:sz w:val="20"/>
        </w:rPr>
      </w:pPr>
      <w:r>
        <w:rPr>
          <w:rFonts w:ascii="Times New Roman" w:hAnsi="Times New Roman"/>
          <w:b/>
          <w:color w:val="231F20"/>
          <w:sz w:val="20"/>
        </w:rPr>
        <w:t>EMPLOYEE CONFIDENTIAL INFORMATION AND INVENTIONS ASSIGNMENT AGREEMENT</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3" w:name="rani-ex31_1.htm"/>
      <w:bookmarkStart w:id="24" w:name="ksraniex31_1"/>
      <w:bookmarkEnd w:id="23"/>
      <w:bookmarkEnd w:id="24"/>
      <w:r>
        <w:rPr/>
        <w:t> </w:t>
      </w:r>
      <w:r>
        <w:br w:type="page"/>
      </w:r>
    </w:p>
    <w:p>
      <w:pPr>
        <w:pStyle w:val="TextBody"/>
        <w:bidi w:val="0"/>
        <w:spacing w:before="0" w:after="24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0" w:after="240"/>
        <w:jc w:val="center"/>
        <w:rPr>
          <w:rFonts w:ascii="Times New Roman" w:hAnsi="Times New Roman"/>
          <w:b/>
          <w:color w:val="000000"/>
          <w:sz w:val="20"/>
          <w:u w:val="single"/>
        </w:rPr>
      </w:pPr>
      <w:r>
        <w:rPr>
          <w:rFonts w:ascii="Times New Roman" w:hAnsi="Times New Roman"/>
          <w:b/>
          <w:color w:val="000000"/>
          <w:sz w:val="20"/>
          <w:u w:val="single"/>
        </w:rPr>
        <w:t>CERTIFICATION</w:t>
      </w:r>
    </w:p>
    <w:p>
      <w:pPr>
        <w:pStyle w:val="TextBody"/>
        <w:bidi w:val="0"/>
        <w:jc w:val="left"/>
        <w:rPr>
          <w:rFonts w:ascii="Times New Roman" w:hAnsi="Times New Roman"/>
          <w:color w:val="000000"/>
          <w:sz w:val="20"/>
        </w:rPr>
      </w:pPr>
      <w:r>
        <w:rPr>
          <w:rFonts w:ascii="Times New Roman" w:hAnsi="Times New Roman"/>
          <w:color w:val="000000"/>
          <w:sz w:val="20"/>
        </w:rPr>
        <w:t>I, Talat Imran,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Rani Therapeutics Holdings, Inc.;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ind w:left="720" w:right="0" w:hanging="0"/>
        <w:jc w:val="both"/>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ind w:left="720" w:right="0" w:hanging="0"/>
        <w:jc w:val="both"/>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ind w:left="720" w:right="0" w:hanging="0"/>
        <w:jc w:val="both"/>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ind w:left="720" w:right="0" w:hanging="0"/>
        <w:jc w:val="both"/>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ind w:left="720" w:right="0" w:hanging="0"/>
        <w:jc w:val="both"/>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240" w:after="283"/>
        <w:ind w:left="720" w:right="0" w:hanging="0"/>
        <w:jc w:val="both"/>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Date: August 13, 2026</w:t>
      </w:r>
    </w:p>
    <w:p>
      <w:pPr>
        <w:pStyle w:val="TextBody"/>
        <w:bidi w:val="0"/>
        <w:jc w:val="left"/>
        <w:rPr/>
      </w:pPr>
      <w:r>
        <w:rPr/>
        <w:t> </w:t>
      </w:r>
    </w:p>
    <w:tbl>
      <w:tblPr>
        <w:tblW w:w="2813" w:type="dxa"/>
        <w:jc w:val="left"/>
        <w:tblInd w:w="0" w:type="dxa"/>
        <w:tblLayout w:type="fixed"/>
        <w:tblCellMar>
          <w:top w:w="28" w:type="dxa"/>
          <w:left w:w="28" w:type="dxa"/>
          <w:bottom w:w="28" w:type="dxa"/>
          <w:right w:w="28" w:type="dxa"/>
        </w:tblCellMar>
      </w:tblPr>
      <w:tblGrid>
        <w:gridCol w:w="161"/>
        <w:gridCol w:w="24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24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461" w:type="dxa"/>
            <w:tcBorders/>
            <w:tcMar>
              <w:top w:w="0" w:type="dxa"/>
              <w:left w:w="0" w:type="dxa"/>
              <w:bottom w:w="0" w:type="dxa"/>
              <w:right w:w="0" w:type="dxa"/>
            </w:tcMar>
            <w:vAlign w:val="center"/>
          </w:tcPr>
          <w:p>
            <w:pPr>
              <w:pStyle w:val="TableContents"/>
              <w:pBdr>
                <w:bottom w:val="single" w:sz="6" w:space="1" w:color="000000"/>
              </w:pBdr>
              <w:bidi w:val="0"/>
              <w:spacing w:before="0" w:after="283"/>
              <w:jc w:val="center"/>
              <w:rPr>
                <w:rFonts w:ascii="Times New Roman" w:hAnsi="Times New Roman"/>
                <w:color w:val="000000"/>
                <w:sz w:val="20"/>
              </w:rPr>
            </w:pPr>
            <w:r>
              <w:rPr>
                <w:rFonts w:ascii="Times New Roman" w:hAnsi="Times New Roman"/>
                <w:color w:val="000000"/>
                <w:sz w:val="20"/>
              </w:rPr>
              <w:t>/s/ Talat Imran</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4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Talat Imran</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4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Executive Officer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4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Executive Officer)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5" w:name="rani-ex31_2.htm"/>
      <w:bookmarkStart w:id="26" w:name="ksraniex31_2"/>
      <w:bookmarkEnd w:id="25"/>
      <w:bookmarkEnd w:id="26"/>
      <w:r>
        <w:rPr/>
        <w:t> </w:t>
      </w:r>
      <w:r>
        <w:br w:type="page"/>
      </w:r>
    </w:p>
    <w:p>
      <w:pPr>
        <w:pStyle w:val="TextBody"/>
        <w:bidi w:val="0"/>
        <w:spacing w:before="0" w:after="24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0" w:after="240"/>
        <w:jc w:val="center"/>
        <w:rPr>
          <w:rFonts w:ascii="Times New Roman" w:hAnsi="Times New Roman"/>
          <w:b/>
          <w:color w:val="000000"/>
          <w:sz w:val="20"/>
          <w:u w:val="single"/>
        </w:rPr>
      </w:pPr>
      <w:r>
        <w:rPr>
          <w:rFonts w:ascii="Times New Roman" w:hAnsi="Times New Roman"/>
          <w:b/>
          <w:color w:val="000000"/>
          <w:sz w:val="20"/>
          <w:u w:val="single"/>
        </w:rPr>
        <w:t>CERTIFICATION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 Nicholas M. Maestas, certify that: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 have reviewed this Quarterly Report on Form 10-Q of Rani Therapeutics Holdings, Inc.;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ind w:left="720" w:right="0" w:hanging="0"/>
        <w:jc w:val="both"/>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ind w:left="720" w:right="0" w:hanging="0"/>
        <w:jc w:val="both"/>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ind w:left="720" w:right="0" w:hanging="0"/>
        <w:jc w:val="both"/>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ind w:left="720" w:right="0" w:hanging="0"/>
        <w:jc w:val="both"/>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ind w:left="720" w:right="0" w:hanging="0"/>
        <w:jc w:val="both"/>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240" w:after="283"/>
        <w:ind w:left="720" w:right="0" w:hanging="0"/>
        <w:jc w:val="both"/>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Date: August 13, 2026</w:t>
      </w:r>
    </w:p>
    <w:p>
      <w:pPr>
        <w:pStyle w:val="TextBody"/>
        <w:bidi w:val="0"/>
        <w:jc w:val="left"/>
        <w:rPr/>
      </w:pPr>
      <w:r>
        <w:rPr/>
        <w:t> </w:t>
      </w:r>
    </w:p>
    <w:tbl>
      <w:tblPr>
        <w:tblW w:w="4178" w:type="dxa"/>
        <w:jc w:val="left"/>
        <w:tblInd w:w="0" w:type="dxa"/>
        <w:tblLayout w:type="fixed"/>
        <w:tblCellMar>
          <w:top w:w="28" w:type="dxa"/>
          <w:left w:w="28" w:type="dxa"/>
          <w:bottom w:w="28" w:type="dxa"/>
          <w:right w:w="28" w:type="dxa"/>
        </w:tblCellMar>
      </w:tblPr>
      <w:tblGrid>
        <w:gridCol w:w="161"/>
        <w:gridCol w:w="382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Nicholas M. Maestas</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Nicholas M. Maestas</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Financial and Accounting Officer)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7" w:name="rani-ex32_1.htm"/>
      <w:bookmarkStart w:id="28" w:name="ksraniex32_1"/>
      <w:bookmarkEnd w:id="27"/>
      <w:bookmarkEnd w:id="28"/>
      <w:r>
        <w:rPr/>
        <w:t> </w:t>
      </w:r>
      <w:r>
        <w:br w:type="page"/>
      </w:r>
    </w:p>
    <w:p>
      <w:pPr>
        <w:pStyle w:val="TextBody"/>
        <w:bidi w:val="0"/>
        <w:spacing w:before="0" w:after="240"/>
        <w:jc w:val="right"/>
        <w:rPr>
          <w:rFonts w:ascii="Times New Roman" w:hAnsi="Times New Roman"/>
          <w:b/>
          <w:color w:val="000000"/>
          <w:sz w:val="20"/>
        </w:rPr>
      </w:pPr>
      <w:r>
        <w:rPr>
          <w:rFonts w:ascii="Times New Roman" w:hAnsi="Times New Roman"/>
          <w:b/>
          <w:color w:val="000000"/>
          <w:sz w:val="20"/>
        </w:rPr>
        <w:t>Exhibit 32.1</w:t>
      </w:r>
    </w:p>
    <w:p>
      <w:pPr>
        <w:pStyle w:val="TextBody"/>
        <w:bidi w:val="0"/>
        <w:jc w:val="center"/>
        <w:rPr>
          <w:rFonts w:ascii="Times New Roman" w:hAnsi="Times New Roman"/>
          <w:b/>
          <w:color w:val="000000"/>
          <w:sz w:val="20"/>
        </w:rPr>
      </w:pPr>
      <w:r>
        <w:rPr>
          <w:rFonts w:ascii="Times New Roman" w:hAnsi="Times New Roman"/>
          <w:b/>
          <w:color w:val="000000"/>
          <w:sz w:val="20"/>
        </w:rPr>
        <w:t>CERTIFICATION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Pursuant to the requirement set forth in Rule 13a-14(b) of the Securities Exchange Act of 1934, as amended, (the “Exchange Act”) and Section 1350 of Chapter 63 of Title 18 of the United States Code (18 U.S.C. §1350), Talat Imran, Chief Executive Officer of Rani Therapeutics Holdings, Inc. (the “Company”), and Nicholas M. Maestas, Chief Financial Officer of the Company, each hereby certifies that, to the best of his knowledge:</w:t>
      </w:r>
    </w:p>
    <w:p>
      <w:pPr>
        <w:pStyle w:val="TextBody"/>
        <w:bidi w:val="0"/>
        <w:spacing w:before="0" w:after="240"/>
        <w:jc w:val="both"/>
        <w:rPr>
          <w:rFonts w:ascii="sans-serif" w:hAnsi="sans-serif"/>
          <w:b/>
          <w:color w:val="000000"/>
          <w:sz w:val="20"/>
        </w:rPr>
      </w:pPr>
      <w:r>
        <w:rPr>
          <w:rFonts w:ascii="sans-serif" w:hAnsi="sans-serif"/>
          <w:b/>
          <w:color w:val="000000"/>
          <w:sz w:val="20"/>
        </w:rPr>
        <w:t>1.</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Company’s Quarterly Report on Form 10-Q for the period ended June 30, 2026, to which this Certification is attached as Exhibit 32.1 (the “Periodic Report”), fully complies with the requirements of Section 13(a) or Section 15(d) of the Exchange Act; and</w:t>
      </w:r>
    </w:p>
    <w:p>
      <w:pPr>
        <w:pStyle w:val="TextBody"/>
        <w:bidi w:val="0"/>
        <w:spacing w:before="0" w:after="240"/>
        <w:jc w:val="both"/>
        <w:rPr>
          <w:rFonts w:ascii="sans-serif" w:hAnsi="sans-serif"/>
          <w:b/>
          <w:color w:val="000000"/>
          <w:sz w:val="20"/>
        </w:rPr>
      </w:pPr>
      <w:r>
        <w:rPr>
          <w:rFonts w:ascii="sans-serif" w:hAnsi="sans-serif"/>
          <w:b/>
          <w:color w:val="000000"/>
          <w:sz w:val="20"/>
        </w:rPr>
        <w:t>2.</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information contained in the Periodic Report fairly presents, in all material respects, the financial condition and results of operations of the Company.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Dated: August 13, 2026</w:t>
      </w:r>
    </w:p>
    <w:p>
      <w:pPr>
        <w:pStyle w:val="TextBody"/>
        <w:bidi w:val="0"/>
        <w:jc w:val="both"/>
        <w:rPr>
          <w:rFonts w:ascii="Times New Roman" w:hAnsi="Times New Roman"/>
          <w:sz w:val="20"/>
        </w:rPr>
      </w:pPr>
      <w:r>
        <w:rPr>
          <w:rFonts w:ascii="Times New Roman" w:hAnsi="Times New Roman"/>
          <w:b/>
          <w:smallCaps/>
          <w:color w:val="000000"/>
          <w:sz w:val="20"/>
        </w:rPr>
        <w:t>In Witness Whereof</w:t>
      </w:r>
      <w:r>
        <w:rPr>
          <w:rFonts w:ascii="Times New Roman" w:hAnsi="Times New Roman"/>
          <w:color w:val="000000"/>
          <w:sz w:val="20"/>
        </w:rPr>
        <w:t>, the undersigned have set their hands hereto as of the 13th day of August, 2026</w:t>
      </w:r>
    </w:p>
    <w:p>
      <w:pPr>
        <w:pStyle w:val="TextBody"/>
        <w:bidi w:val="0"/>
        <w:jc w:val="both"/>
        <w:rPr/>
      </w:pPr>
      <w:r>
        <w:rPr/>
        <w:t> </w:t>
      </w:r>
    </w:p>
    <w:tbl>
      <w:tblPr>
        <w:tblW w:w="6493" w:type="dxa"/>
        <w:jc w:val="left"/>
        <w:tblInd w:w="0" w:type="dxa"/>
        <w:tblLayout w:type="fixed"/>
        <w:tblCellMar>
          <w:top w:w="28" w:type="dxa"/>
          <w:left w:w="28" w:type="dxa"/>
          <w:bottom w:w="28" w:type="dxa"/>
          <w:right w:w="28" w:type="dxa"/>
        </w:tblCellMar>
      </w:tblPr>
      <w:tblGrid>
        <w:gridCol w:w="2476"/>
        <w:gridCol w:w="146"/>
        <w:gridCol w:w="3871"/>
      </w:tblGrid>
      <w:tr>
        <w:trPr/>
        <w:tc>
          <w:tcPr>
            <w:tcW w:w="2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r>
      <w:tr>
        <w:trPr/>
        <w:tc>
          <w:tcPr>
            <w:tcW w:w="247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Talat Imran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87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Nicholas M. Maestas</w:t>
            </w:r>
          </w:p>
        </w:tc>
      </w:tr>
      <w:tr>
        <w:trPr/>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Talat Imran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Nicholas M. Maestas</w:t>
            </w:r>
          </w:p>
        </w:tc>
      </w:tr>
      <w:tr>
        <w:trPr/>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387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Chief Financial Officer</w:t>
            </w:r>
          </w:p>
        </w:tc>
      </w:tr>
      <w:tr>
        <w:trPr/>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387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i/>
                <w:color w:val="000000"/>
                <w:sz w:val="20"/>
              </w:rPr>
            </w:pPr>
            <w:r>
              <w:rPr>
                <w:rFonts w:ascii="Times New Roman" w:hAnsi="Times New Roman"/>
                <w:i/>
                <w:color w:val="000000"/>
                <w:sz w:val="20"/>
              </w:rPr>
              <w:t>(Principal Financial and Accounting Officer)</w:t>
            </w:r>
          </w:p>
        </w:tc>
      </w:tr>
    </w:tbl>
    <w:p>
      <w:pPr>
        <w:pStyle w:val="TextBody"/>
        <w:bidi w:val="0"/>
        <w:jc w:val="both"/>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This certification accompanies the Form 10-Q to which it relates, is not deemed filed with the Securities and Exchange Commission and is not to be incorporated by reference into any filing of Rani Therapeutics Holdings, Inc. under the Securities Act of 1933, as amended, or the Securities Exchange Act of 1934, as amended (whether made before or after the date of the Form 10-Q), irrespective of any general incorporation language contained in such filing.</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56725/000119312526001098/d848686dex31.htm" TargetMode="External"/><Relationship Id="rId3" Type="http://schemas.openxmlformats.org/officeDocument/2006/relationships/hyperlink" Target="https://www.sec.gov/Archives/edgar/data/1856725/000119312526001098/d848686dex32.htm" TargetMode="External"/><Relationship Id="rId4" Type="http://schemas.openxmlformats.org/officeDocument/2006/relationships/hyperlink" Target="https://www.sec.gov/Archives/edgar/data/1856725/000119312526239977/d312913dex41.htm" TargetMode="External"/><Relationship Id="rId5" Type="http://schemas.openxmlformats.org/officeDocument/2006/relationships/hyperlink" Target="https://www.sec.gov/Archives/edgar/data/1856725/000185672526000003/rani-ex10_1.htm" TargetMode="External"/><Relationship Id="rId6" Type="http://schemas.openxmlformats.org/officeDocument/2006/relationships/hyperlink" Target="https://www.sec.gov/Archives/edgar/data/1856725/000185672526000003/rani-ex10_2.htm" TargetMode="External"/><Relationship Id="rId7" Type="http://schemas.openxmlformats.org/officeDocument/2006/relationships/hyperlink" Target="https://www.sec.gov/Archives/edgar/data/1856725/000185672526000003/rani-ex10_3.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26449</Words>
  <Characters>144508</Characters>
  <CharactersWithSpaces>172093</CharactersWithSpaces>
  <Paragraphs>5785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