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74218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gridSpan w:val="4"/>
            <w:vMerge w:val="restart"/>
          </w:tcPr>
          <w:p>
            <w:pPr>
              <w:ind w:left="20"/>
              <w:spacing w:after="0"/>
              <w:rPr>
                <w:rFonts w:ascii="Times New Roman" w:cs="Times New Roman" w:eastAsia="Times New Roman" w:hAnsi="Times New Roman"/>
                <w:sz w:val="21"/>
                <w:szCs w:val="21"/>
                <w:color w:val="0000EE"/>
                <w:w w:val="96"/>
              </w:rPr>
            </w:pPr>
            <w:hyperlink r:id="rId12">
              <w:r>
                <w:rPr>
                  <w:rFonts w:ascii="Times New Roman" w:cs="Times New Roman" w:eastAsia="Times New Roman" w:hAnsi="Times New Roman"/>
                  <w:sz w:val="21"/>
                  <w:szCs w:val="21"/>
                  <w:color w:val="0000EE"/>
                  <w:w w:val="96"/>
                </w:rPr>
                <w:t>IMRAN MIR A</w:t>
              </w:r>
            </w:hyperlink>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Rani Therapeutics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RANI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gridSpan w:val="4"/>
            <w:vMerge w:val="continue"/>
          </w:tcPr>
          <w:p>
            <w:pPr>
              <w:spacing w:after="0"/>
              <w:rPr>
                <w:sz w:val="4"/>
                <w:szCs w:val="4"/>
                <w:color w:val="auto"/>
              </w:rPr>
            </w:pPr>
          </w:p>
        </w:tc>
        <w:tc>
          <w:tcPr>
            <w:tcW w:w="1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gridSpan w:val="4"/>
            <w:vMerge w:val="continue"/>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gridSpan w:val="4"/>
            <w:vMerge w:val="continue"/>
          </w:tcPr>
          <w:p>
            <w:pPr>
              <w:spacing w:after="0"/>
              <w:rPr>
                <w:sz w:val="4"/>
                <w:szCs w:val="4"/>
                <w:color w:val="auto"/>
              </w:rPr>
            </w:pPr>
          </w:p>
        </w:tc>
        <w:tc>
          <w:tcPr>
            <w:tcW w:w="1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RANI THERAPEUTICS LLC</w:t>
            </w:r>
          </w:p>
        </w:tc>
        <w:tc>
          <w:tcPr>
            <w:tcW w:w="1100" w:type="dxa"/>
            <w:vAlign w:val="bottom"/>
          </w:tcPr>
          <w:p>
            <w:pPr>
              <w:spacing w:after="0"/>
              <w:rPr>
                <w:sz w:val="18"/>
                <w:szCs w:val="18"/>
                <w:color w:val="auto"/>
              </w:rPr>
            </w:pP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05/25/2022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5"/>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2051 RINGWOOD AVE.</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95131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220" w:type="dxa"/>
            <w:vAlign w:val="bottom"/>
            <w:tcBorders>
              <w:bottom w:val="single" w:sz="8" w:color="2C2C2C"/>
            </w:tcBorders>
            <w:gridSpan w:val="3"/>
          </w:tcPr>
          <w:p>
            <w:pPr>
              <w:spacing w:after="0"/>
              <w:rPr>
                <w:sz w:val="10"/>
                <w:szCs w:val="10"/>
                <w:color w:val="auto"/>
              </w:rPr>
            </w:pPr>
          </w:p>
        </w:tc>
        <w:tc>
          <w:tcPr>
            <w:tcW w:w="104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19"/>
          </w:tcPr>
          <w:p>
            <w:pPr>
              <w:ind w:left="8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40" w:type="dxa"/>
            <w:vAlign w:val="bottom"/>
            <w:tcBorders>
              <w:bottom w:val="single" w:sz="8" w:color="2C2C2C"/>
            </w:tcBorders>
            <w:gridSpan w:val="4"/>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4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220" w:type="dxa"/>
            <w:vAlign w:val="bottom"/>
            <w:tcBorders>
              <w:bottom w:val="single" w:sz="8" w:color="2C2C2C"/>
            </w:tcBorders>
            <w:gridSpan w:val="3"/>
          </w:tcPr>
          <w:p>
            <w:pPr>
              <w:spacing w:after="0"/>
              <w:rPr>
                <w:sz w:val="7"/>
                <w:szCs w:val="7"/>
                <w:color w:val="auto"/>
              </w:rPr>
            </w:pPr>
          </w:p>
        </w:tc>
        <w:tc>
          <w:tcPr>
            <w:tcW w:w="134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7300" w:type="dxa"/>
            <w:vAlign w:val="bottom"/>
            <w:tcBorders>
              <w:top w:val="single" w:sz="8" w:color="2C2C2C"/>
            </w:tcBorders>
            <w:gridSpan w:val="19"/>
          </w:tcPr>
          <w:p>
            <w:pPr>
              <w:ind w:left="10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6"/>
              </w:rPr>
              <w:t>Conversion</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8"/>
              </w:rPr>
              <w:t>or Exercise</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41,416</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10.89</w:t>
            </w:r>
          </w:p>
        </w:tc>
        <w:tc>
          <w:tcPr>
            <w:tcW w:w="100" w:type="dxa"/>
            <w:vAlign w:val="bottom"/>
          </w:tcPr>
          <w:p>
            <w:pPr>
              <w:spacing w:after="0"/>
              <w:rPr>
                <w:sz w:val="6"/>
                <w:szCs w:val="6"/>
                <w:color w:val="auto"/>
              </w:rPr>
            </w:pPr>
          </w:p>
        </w:tc>
        <w:tc>
          <w:tcPr>
            <w:tcW w:w="112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05/25/2022</w:t>
            </w: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41,416</w:t>
            </w: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3"/>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05/24/2032</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41,416</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full on the first anniversary of the date of grant, subject to the recipient's Continuous Service (as defined in the Company's 2021 Equity Incentive Plan) through such vesting date; provided, that, if earlier, the shares subject to the option will vest in full upon the occurrence of either of the following events: the Company's next annual stockholder meeting or a Change in Control (as defined in the 2021 Equity Incentive Plan).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Svai Sanford,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05/27/2022</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Fact for Mir Imran</w:t>
            </w:r>
          </w:p>
        </w:tc>
        <w:tc>
          <w:tcPr>
            <w:tcW w:w="72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260" w:type="dxa"/>
            <w:vAlign w:val="bottom"/>
            <w:tcBorders>
              <w:bottom w:val="single" w:sz="8" w:color="auto"/>
            </w:tcBorders>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31686"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2022-05-27T07:32:51Z</dcterms:created>
  <dcterms:modified xsi:type="dcterms:W3CDTF">2022-05-27T07:32:51Z</dcterms:modified>
</cp:coreProperties>
</file>