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Borders>
              <w:bottom w:val="single" w:sz="8" w:color="0000EE"/>
            </w:tcBorders>
            <w:gridSpan w:val="2"/>
          </w:tcPr>
          <w:p>
            <w:pPr>
              <w:spacing w:after="0" w:line="166"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Rani Therapeutics Holdings, Inc.</w:t>
              </w:r>
            </w:hyperlink>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RANI</w:t>
            </w:r>
            <w:r>
              <w:rPr>
                <w:rFonts w:ascii="Times New Roman" w:cs="Times New Roman" w:eastAsia="Times New Roman" w:hAnsi="Times New Roman"/>
                <w:sz w:val="21"/>
                <w:szCs w:val="21"/>
                <w:color w:val="auto"/>
              </w:rPr>
              <w:t xml:space="preserve"> ]</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20" w:type="dxa"/>
            <w:vAlign w:val="bottom"/>
            <w:gridSpan w:val="2"/>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80" w:type="dxa"/>
            <w:vAlign w:val="bottom"/>
            <w:tcBorders>
              <w:top w:val="single" w:sz="8" w:color="0000EE"/>
              <w:bottom w:val="single" w:sz="8" w:color="0000EE"/>
            </w:tcBorders>
          </w:tcPr>
          <w:p>
            <w:pPr>
              <w:spacing w:after="0" w:line="220"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Partnership</w:t>
              </w:r>
            </w:hyperlink>
          </w:p>
        </w:tc>
        <w:tc>
          <w:tcPr>
            <w:tcW w:w="1020" w:type="dxa"/>
            <w:vAlign w:val="bottom"/>
            <w:tcBorders>
              <w:top w:val="single" w:sz="8" w:color="0000EE"/>
            </w:tcBorders>
          </w:tcPr>
          <w:p>
            <w:pPr>
              <w:spacing w:after="0"/>
              <w:rPr>
                <w:sz w:val="19"/>
                <w:szCs w:val="19"/>
                <w:color w:val="auto"/>
              </w:rPr>
            </w:pPr>
          </w:p>
        </w:tc>
        <w:tc>
          <w:tcPr>
            <w:tcW w:w="820" w:type="dxa"/>
            <w:vAlign w:val="bottom"/>
            <w:tcBorders>
              <w:top w:val="single" w:sz="8" w:color="0000EE"/>
            </w:tcBorders>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gridSpan w:val="3"/>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4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(Middle)</w:t>
            </w:r>
          </w:p>
        </w:tc>
        <w:tc>
          <w:tcPr>
            <w:tcW w:w="29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11/23/2022</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2"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AVENIDA PRESIDENTE RIESCO 5711,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tcBorders>
              <w:top w:val="single" w:sz="8" w:color="2C2C2C"/>
            </w:tcBorders>
            <w:gridSpan w:val="11"/>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420" w:type="dxa"/>
            <w:vAlign w:val="bottom"/>
            <w:tcBorders>
              <w:top w:val="single" w:sz="8" w:color="2C2C2C"/>
            </w:tcBorders>
          </w:tcPr>
          <w:p>
            <w:pPr>
              <w:spacing w:after="0"/>
              <w:rPr>
                <w:sz w:val="18"/>
                <w:szCs w:val="18"/>
                <w:color w:val="auto"/>
              </w:rPr>
            </w:pPr>
          </w:p>
        </w:tc>
        <w:tc>
          <w:tcPr>
            <w:tcW w:w="3220" w:type="dxa"/>
            <w:vAlign w:val="bottom"/>
            <w:tcBorders>
              <w:top w:val="single" w:sz="8" w:color="2C2C2C"/>
            </w:tcBorders>
            <w:gridSpan w:val="7"/>
          </w:tcPr>
          <w:p>
            <w:pPr>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gridSpan w:val="2"/>
          </w:tcPr>
          <w:p>
            <w:pPr>
              <w:spacing w:after="0" w:line="146" w:lineRule="exact"/>
              <w:rPr>
                <w:sz w:val="20"/>
                <w:szCs w:val="20"/>
                <w:color w:val="auto"/>
              </w:rPr>
            </w:pPr>
            <w:r>
              <w:rPr>
                <w:rFonts w:ascii="Arial" w:cs="Arial" w:eastAsia="Arial" w:hAnsi="Arial"/>
                <w:sz w:val="13"/>
                <w:szCs w:val="13"/>
                <w:color w:val="auto"/>
              </w:rPr>
              <w:t>Line)</w:t>
            </w: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88"/>
              </w:rPr>
              <w:t>F3</w:t>
            </w:r>
          </w:p>
        </w:tc>
        <w:tc>
          <w:tcPr>
            <w:tcW w:w="900" w:type="dxa"/>
            <w:vAlign w:val="bottom"/>
          </w:tcPr>
          <w:p>
            <w:pPr>
              <w:spacing w:after="0"/>
              <w:rPr>
                <w:sz w:val="7"/>
                <w:szCs w:val="7"/>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gridSpan w:val="2"/>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2660" w:type="dxa"/>
            <w:vAlign w:val="bottom"/>
            <w:tcBorders>
              <w:bottom w:val="single" w:sz="8" w:color="2C2C2C"/>
            </w:tcBorders>
            <w:gridSpan w:val="6"/>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68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2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11/23/2022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jc w:val="right"/>
              <w:ind w:right="152"/>
              <w:spacing w:after="0"/>
              <w:rPr>
                <w:sz w:val="20"/>
                <w:szCs w:val="20"/>
                <w:color w:val="auto"/>
              </w:rPr>
            </w:pPr>
            <w:r>
              <w:rPr>
                <w:rFonts w:ascii="Times New Roman" w:cs="Times New Roman" w:eastAsia="Times New Roman" w:hAnsi="Times New Roman"/>
                <w:sz w:val="17"/>
                <w:szCs w:val="17"/>
                <w:color w:val="0000FF"/>
              </w:rPr>
              <w:t>3,396</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7.8406</w:t>
            </w:r>
            <w:r>
              <w:rPr>
                <w:rFonts w:ascii="Times New Roman" w:cs="Times New Roman" w:eastAsia="Times New Roman" w:hAnsi="Times New Roman"/>
                <w:sz w:val="22"/>
                <w:szCs w:val="22"/>
                <w:color w:val="008000"/>
                <w:vertAlign w:val="superscript"/>
              </w:rPr>
              <w:t>(1)</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6,561,752</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11/25/2022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jc w:val="right"/>
              <w:ind w:right="232"/>
              <w:spacing w:after="0"/>
              <w:rPr>
                <w:sz w:val="20"/>
                <w:szCs w:val="20"/>
                <w:color w:val="auto"/>
              </w:rPr>
            </w:pPr>
            <w:r>
              <w:rPr>
                <w:rFonts w:ascii="Times New Roman" w:cs="Times New Roman" w:eastAsia="Times New Roman" w:hAnsi="Times New Roman"/>
                <w:sz w:val="17"/>
                <w:szCs w:val="17"/>
                <w:color w:val="0000FF"/>
              </w:rPr>
              <w:t>800</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7.8388</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6,562,552</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4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8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jc w:val="right"/>
              <w:spacing w:after="0" w:line="133" w:lineRule="exact"/>
              <w:rPr>
                <w:sz w:val="20"/>
                <w:szCs w:val="20"/>
                <w:color w:val="auto"/>
              </w:rPr>
            </w:pPr>
            <w:r>
              <w:rPr>
                <w:rFonts w:ascii="Arial" w:cs="Arial" w:eastAsia="Arial" w:hAnsi="Arial"/>
                <w:sz w:val="12"/>
                <w:szCs w:val="12"/>
                <w:b w:val="1"/>
                <w:bCs w:val="1"/>
                <w:color w:val="auto"/>
                <w:w w:val="93"/>
              </w:rPr>
              <w:t>8)</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66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9"/>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 Partnership</w:t>
              </w:r>
            </w:hyperlink>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F3</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South Lake One LLC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26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6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SANTIAGO</w:t>
            </w:r>
          </w:p>
        </w:tc>
        <w:tc>
          <w:tcPr>
            <w:tcW w:w="13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F3</w:t>
            </w:r>
          </w:p>
        </w:tc>
        <w:tc>
          <w:tcPr>
            <w:tcW w:w="1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7550000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26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-1185545</wp:posOffset>
            </wp:positionV>
            <wp:extent cx="2809240" cy="1264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126492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$7.55 to $7.99 per share, inclusive. The reporting persons undertake to provide Rani Therapeutics Holdings, Inc., a Delaware corporation (the "Issuer"), any security holder of the Issuer, or the staff of the Securities and Exchange Commission, upon request, full information regarding the number of shares sold at each separate price within the range set forth in this footnote (1) to this Form 4.</w:t>
      </w:r>
    </w:p>
    <w:p>
      <w:pPr>
        <w:spacing w:after="0" w:line="20" w:lineRule="exact"/>
        <w:rPr>
          <w:rFonts w:ascii="Times New Roman" w:cs="Times New Roman" w:eastAsia="Times New Roman" w:hAnsi="Times New Roman"/>
          <w:sz w:val="13"/>
          <w:szCs w:val="13"/>
          <w:color w:val="008000"/>
        </w:rPr>
      </w:pPr>
    </w:p>
    <w:p>
      <w:pPr>
        <w:ind w:right="12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$7.70 to $8.00 per share, inclusive. The reporting persons undertake to provide the Issuer, any security holder of the Issuer, or the staff of the Securities and Exchange Commission, upon request, full information regarding the number of shares sold at each separate price within the range set forth in this footnote (2) to this Form 4.</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South Cone Investments Limited Partnership directly owns 100% of the issued and outstanding membership interest of South Lake One LLC.</w:t>
      </w:r>
    </w:p>
    <w:p>
      <w:pPr>
        <w:sectPr>
          <w:pgSz w:w="11900" w:h="16838" w:orient="portrait"/>
          <w:cols w:equalWidth="0" w:num="1">
            <w:col w:w="10880"/>
          </w:cols>
          <w:pgMar w:left="500" w:top="125" w:right="51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One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6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Management LLC,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3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of South Cone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63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Investments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74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712" w:lineRule="exact"/>
        <w:rPr>
          <w:sz w:val="20"/>
          <w:szCs w:val="20"/>
          <w:color w:val="auto"/>
        </w:rPr>
      </w:pPr>
    </w:p>
    <w:p>
      <w:pPr>
        <w:sectPr>
          <w:pgSz w:w="11900" w:h="16838" w:orient="portrait"/>
          <w:cols w:equalWidth="0" w:num="2">
            <w:col w:w="8680" w:space="60"/>
            <w:col w:w="2140"/>
          </w:cols>
          <w:pgMar w:left="500" w:top="125" w:right="5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5"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2" Type="http://schemas.openxmlformats.org/officeDocument/2006/relationships/hyperlink" Target="http://www.sec.gov/cgi-bin/browse-edgar?action=getcompany&amp;CIK=0001876412" TargetMode="External"/><Relationship Id="rId13" Type="http://schemas.openxmlformats.org/officeDocument/2006/relationships/hyperlink" Target="http://www.sec.gov/cgi-bin/browse-edgar?action=getcompany&amp;CIK=0001856725" TargetMode="External"/><Relationship Id="rId15" Type="http://schemas.openxmlformats.org/officeDocument/2006/relationships/hyperlink" Target="http://www.sec.gov/cgi-bin/browse-edgar?action=getcompany&amp;CIK=000179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2022-11-28T13:14:38Z</dcterms:created>
  <dcterms:modified xsi:type="dcterms:W3CDTF">2022-11-28T13:14:38Z</dcterms:modified>
</cp:coreProperties>
</file>