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20" w:hanging="3859"/>
        <w:spacing w:after="0" w:line="399"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2880" w:right="1600" w:hanging="2859"/>
        <w:spacing w:after="0" w:line="399" w:lineRule="auto"/>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ectPr>
          <w:pgSz w:w="11900" w:h="16838" w:orient="portrait"/>
          <w:cols w:equalWidth="0" w:num="1">
            <w:col w:w="11240"/>
          </w:cols>
          <w:pgMar w:left="320" w:top="706" w:right="339" w:bottom="1440" w:gutter="0" w:footer="0" w:header="0"/>
        </w:sectPr>
      </w:pPr>
    </w:p>
    <w:p>
      <w:pPr>
        <w:spacing w:after="0" w:line="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50"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5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2051 Ringwood Avenue</w:t>
      </w:r>
    </w:p>
    <w:p>
      <w:pPr>
        <w:spacing w:after="0" w:line="5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86-3114789</w:t>
      </w:r>
    </w:p>
    <w:p>
      <w:pPr>
        <w:spacing w:after="0" w:line="7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28"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95131</w:t>
      </w:r>
    </w:p>
    <w:p>
      <w:pPr>
        <w:spacing w:after="0" w:line="50" w:lineRule="exact"/>
        <w:rPr>
          <w:sz w:val="24"/>
          <w:szCs w:val="24"/>
          <w:color w:val="auto"/>
        </w:rPr>
      </w:pPr>
    </w:p>
    <w:p>
      <w:pPr>
        <w:sectPr>
          <w:pgSz w:w="11900" w:h="16838" w:orient="portrait"/>
          <w:cols w:equalWidth="0" w:num="2">
            <w:col w:w="7700" w:space="240"/>
            <w:col w:w="3300"/>
          </w:cols>
          <w:pgMar w:left="320" w:top="706"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0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9"/>
        </w:trPr>
        <w:tc>
          <w:tcPr>
            <w:tcW w:w="4280" w:type="dxa"/>
            <w:vAlign w:val="bottom"/>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RANI</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18"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80" w:firstLine="599"/>
        <w:spacing w:after="0" w:line="273" w:lineRule="auto"/>
        <w:rPr>
          <w:sz w:val="20"/>
          <w:szCs w:val="20"/>
          <w:color w:val="auto"/>
        </w:rPr>
      </w:pPr>
      <w:r>
        <w:rPr>
          <w:rFonts w:ascii="Arial" w:cs="Arial" w:eastAsia="Arial" w:hAnsi="Arial"/>
          <w:sz w:val="16"/>
          <w:szCs w:val="16"/>
          <w:color w:val="auto"/>
        </w:rPr>
        <w:t>As of September 10, 2021, the registrant had 19,714,592 shares of Class A common stock, $0.0001 par value per share, outstanding, and 29,290,391 shares of Class B common stock, $0.0001 par value per share, outstanding and no shares of Class C common stock, $0.0001 par value per share, outstanding. Certain holders of units of our consolidated subsidiary, Rani Therapeutics, LLC who do not hold shares of our Class B common stock can exchange their units for 1,545,811 shares of our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Special Note Regarding Forward-Looking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vMerge w:val="continue"/>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sz w:val="20"/>
                <w:szCs w:val="20"/>
                <w:color w:val="auto"/>
              </w:rPr>
            </w:pPr>
            <w:r>
              <w:rPr>
                <w:rFonts w:ascii="Arial" w:cs="Arial" w:eastAsia="Arial" w:hAnsi="Arial"/>
                <w:sz w:val="18"/>
                <w:szCs w:val="18"/>
                <w:b w:val="1"/>
                <w:bCs w:val="1"/>
                <w:color w:val="auto"/>
              </w:rPr>
              <w:t>RANI THERAPEUTICS HOLDINGS, INC.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Financial Statement (Unaudited)</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30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 to Unaudited Condensed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Arial" w:cs="Arial" w:eastAsia="Arial" w:hAnsi="Arial"/>
                <w:sz w:val="18"/>
                <w:szCs w:val="18"/>
                <w:b w:val="1"/>
                <w:bCs w:val="1"/>
                <w:color w:val="auto"/>
              </w:rPr>
              <w:t>RANI THERAPEUTICS, LLC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Financial Statements (Unaudited)</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Operations and Comprehensive Loss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Condensed Consolidated Statements of Changes In Convertible Preferred Units and Members' 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30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3"/>
            <w:vMerge w:val="continue"/>
          </w:tcPr>
          <w:p>
            <w:pPr>
              <w:spacing w:after="0"/>
              <w:rPr>
                <w:sz w:val="24"/>
                <w:szCs w:val="24"/>
                <w:color w:val="auto"/>
              </w:rPr>
            </w:pPr>
          </w:p>
        </w:tc>
        <w:tc>
          <w:tcPr>
            <w:tcW w:w="930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30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300" w:type="dxa"/>
            <w:vAlign w:val="bottom"/>
            <w:gridSpan w:val="18"/>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9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18"/>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300" w:type="dxa"/>
            <w:vAlign w:val="bottom"/>
            <w:gridSpan w:val="18"/>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rFonts w:ascii="Arial" w:cs="Arial" w:eastAsia="Arial" w:hAnsi="Arial"/>
                <w:sz w:val="18"/>
                <w:szCs w:val="18"/>
                <w:color w:val="0000FF"/>
              </w:rPr>
            </w:pPr>
            <w:hyperlink w:anchor="page103">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ind w:right="20" w:firstLine="1018"/>
        <w:spacing w:after="0" w:line="309" w:lineRule="auto"/>
        <w:rPr>
          <w:sz w:val="20"/>
          <w:szCs w:val="20"/>
          <w:color w:val="auto"/>
        </w:rPr>
      </w:pPr>
      <w:r>
        <w:rPr>
          <w:rFonts w:ascii="Arial" w:cs="Arial" w:eastAsia="Arial" w:hAnsi="Arial"/>
          <w:sz w:val="16"/>
          <w:szCs w:val="16"/>
          <w:color w:val="auto"/>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financial position, business strategy, product candidates, planned preclinical studies and clinical trials, results of clinical trials, research and development costs, manufacturing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right="20" w:firstLine="1018"/>
        <w:spacing w:after="0" w:line="329" w:lineRule="auto"/>
        <w:rPr>
          <w:sz w:val="20"/>
          <w:szCs w:val="20"/>
          <w:color w:val="auto"/>
        </w:rPr>
      </w:pPr>
      <w:r>
        <w:rPr>
          <w:rFonts w:ascii="Arial" w:cs="Arial" w:eastAsia="Arial" w:hAnsi="Arial"/>
          <w:sz w:val="16"/>
          <w:szCs w:val="16"/>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spacing w:after="0" w:line="202" w:lineRule="exact"/>
        <w:rPr>
          <w:sz w:val="20"/>
          <w:szCs w:val="20"/>
          <w:color w:val="auto"/>
        </w:rPr>
      </w:pPr>
    </w:p>
    <w:p>
      <w:pPr>
        <w:ind w:left="1340" w:hanging="333"/>
        <w:spacing w:after="0"/>
        <w:tabs>
          <w:tab w:leader="none" w:pos="1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progress and focus of our current and future clinical trials in the United States and abroad, and the reporting of data from those trials;</w:t>
      </w:r>
    </w:p>
    <w:p>
      <w:pPr>
        <w:spacing w:after="0" w:line="200" w:lineRule="exact"/>
        <w:rPr>
          <w:rFonts w:ascii="Arial" w:cs="Arial" w:eastAsia="Arial" w:hAnsi="Arial"/>
          <w:sz w:val="16"/>
          <w:szCs w:val="16"/>
          <w:color w:val="auto"/>
        </w:rPr>
      </w:pPr>
    </w:p>
    <w:p>
      <w:pPr>
        <w:spacing w:after="0" w:line="358" w:lineRule="exact"/>
        <w:rPr>
          <w:rFonts w:ascii="Arial" w:cs="Arial" w:eastAsia="Arial" w:hAnsi="Arial"/>
          <w:sz w:val="16"/>
          <w:szCs w:val="16"/>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right="440" w:hanging="333"/>
        <w:spacing w:after="0" w:line="293"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237" w:lineRule="exact"/>
        <w:rPr>
          <w:rFonts w:ascii="Arial" w:cs="Arial" w:eastAsia="Arial" w:hAnsi="Arial"/>
          <w:sz w:val="18"/>
          <w:szCs w:val="18"/>
          <w:color w:val="auto"/>
        </w:rPr>
      </w:pPr>
    </w:p>
    <w:p>
      <w:pPr>
        <w:ind w:left="1340" w:right="1040" w:hanging="333"/>
        <w:spacing w:after="0" w:line="293"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redesign and conduct additional preclinical and clinical studies of any future design of the RaniPill capsule to accommodate target payloads that are larger than the current capacity of the RaniPill capsule;</w:t>
      </w:r>
    </w:p>
    <w:p>
      <w:pPr>
        <w:spacing w:after="0" w:line="237"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right="340" w:hanging="333"/>
        <w:spacing w:after="0" w:line="293"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237" w:lineRule="exact"/>
        <w:rPr>
          <w:rFonts w:ascii="Arial" w:cs="Arial" w:eastAsia="Arial" w:hAnsi="Arial"/>
          <w:sz w:val="18"/>
          <w:szCs w:val="18"/>
          <w:color w:val="auto"/>
        </w:rPr>
      </w:pPr>
    </w:p>
    <w:p>
      <w:pPr>
        <w:ind w:left="1340" w:hanging="333"/>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right="300" w:hanging="333"/>
        <w:spacing w:after="0" w:line="293"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632" w:gutter="0" w:footer="0" w:header="0"/>
        </w:sectPr>
      </w:pPr>
    </w:p>
    <w:bookmarkStart w:id="3" w:name="page4"/>
    <w:bookmarkEnd w:id="3"/>
    <w:p>
      <w:pPr>
        <w:ind w:left="1340" w:hanging="333"/>
        <w:spacing w:after="0"/>
        <w:tabs>
          <w:tab w:leader="none" w:pos="1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00" w:lineRule="exact"/>
        <w:rPr>
          <w:rFonts w:ascii="Arial" w:cs="Arial" w:eastAsia="Arial" w:hAnsi="Arial"/>
          <w:sz w:val="17"/>
          <w:szCs w:val="17"/>
          <w:color w:val="auto"/>
        </w:rPr>
      </w:pPr>
    </w:p>
    <w:p>
      <w:pPr>
        <w:spacing w:after="0" w:line="347" w:lineRule="exact"/>
        <w:rPr>
          <w:rFonts w:ascii="Arial" w:cs="Arial" w:eastAsia="Arial" w:hAnsi="Arial"/>
          <w:sz w:val="17"/>
          <w:szCs w:val="17"/>
          <w:color w:val="auto"/>
        </w:rPr>
      </w:pPr>
    </w:p>
    <w:p>
      <w:pPr>
        <w:ind w:left="1340" w:right="480" w:hanging="333"/>
        <w:spacing w:after="0" w:line="293"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237" w:lineRule="exact"/>
        <w:rPr>
          <w:rFonts w:ascii="Arial" w:cs="Arial" w:eastAsia="Arial" w:hAnsi="Arial"/>
          <w:sz w:val="18"/>
          <w:szCs w:val="18"/>
          <w:color w:val="auto"/>
        </w:rPr>
      </w:pPr>
    </w:p>
    <w:p>
      <w:pPr>
        <w:ind w:left="1340" w:hanging="333"/>
        <w:spacing w:after="0"/>
        <w:tabs>
          <w:tab w:leader="none" w:pos="1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sufficiency of our existing cash and cash equivalents to fund our future operating expenses and capital expenditure requirements;</w:t>
      </w:r>
    </w:p>
    <w:p>
      <w:pPr>
        <w:spacing w:after="0" w:line="200" w:lineRule="exact"/>
        <w:rPr>
          <w:rFonts w:ascii="Arial" w:cs="Arial" w:eastAsia="Arial" w:hAnsi="Arial"/>
          <w:sz w:val="16"/>
          <w:szCs w:val="16"/>
          <w:color w:val="auto"/>
        </w:rPr>
      </w:pPr>
    </w:p>
    <w:p>
      <w:pPr>
        <w:spacing w:after="0" w:line="358" w:lineRule="exact"/>
        <w:rPr>
          <w:rFonts w:ascii="Arial" w:cs="Arial" w:eastAsia="Arial" w:hAnsi="Arial"/>
          <w:sz w:val="16"/>
          <w:szCs w:val="16"/>
          <w:color w:val="auto"/>
        </w:rPr>
      </w:pPr>
    </w:p>
    <w:p>
      <w:pPr>
        <w:ind w:left="1340" w:hanging="333"/>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hanging="333"/>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 and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340" w:right="200" w:hanging="333"/>
        <w:spacing w:after="0" w:line="293"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(the “JOBS Act").</w:t>
      </w:r>
    </w:p>
    <w:p>
      <w:pPr>
        <w:spacing w:after="0" w:line="200" w:lineRule="exact"/>
        <w:rPr>
          <w:sz w:val="20"/>
          <w:szCs w:val="20"/>
          <w:color w:val="auto"/>
        </w:rPr>
      </w:pPr>
    </w:p>
    <w:p>
      <w:pPr>
        <w:spacing w:after="0" w:line="213" w:lineRule="exact"/>
        <w:rPr>
          <w:sz w:val="20"/>
          <w:szCs w:val="20"/>
          <w:color w:val="auto"/>
        </w:rPr>
      </w:pPr>
    </w:p>
    <w:p>
      <w:pPr>
        <w:ind w:right="20" w:firstLine="1018"/>
        <w:spacing w:after="0" w:line="287"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78" w:lineRule="exact"/>
        <w:rPr>
          <w:sz w:val="20"/>
          <w:szCs w:val="20"/>
          <w:color w:val="auto"/>
        </w:rPr>
      </w:pPr>
    </w:p>
    <w:p>
      <w:pPr>
        <w:ind w:right="100" w:firstLine="1018"/>
        <w:spacing w:after="0" w:line="27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ind w:left="3920"/>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340" w:type="dxa"/>
            <w:vAlign w:val="bottom"/>
          </w:tcPr>
          <w:p>
            <w:pPr>
              <w:jc w:val="center"/>
              <w:ind w:left="258"/>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475"/>
              <w:spacing w:after="0"/>
              <w:rPr>
                <w:sz w:val="20"/>
                <w:szCs w:val="20"/>
                <w:color w:val="auto"/>
              </w:rPr>
            </w:pPr>
            <w:r>
              <w:rPr>
                <w:rFonts w:ascii="Arial" w:cs="Arial" w:eastAsia="Arial" w:hAnsi="Arial"/>
                <w:sz w:val="14"/>
                <w:szCs w:val="14"/>
                <w:b w:val="1"/>
                <w:bCs w:val="1"/>
                <w:color w:val="auto"/>
              </w:rPr>
              <w:t>April 19,</w:t>
            </w:r>
          </w:p>
        </w:tc>
        <w:tc>
          <w:tcPr>
            <w:tcW w:w="80" w:type="dxa"/>
            <w:vAlign w:val="bottom"/>
          </w:tcPr>
          <w:p>
            <w:pPr>
              <w:spacing w:after="0"/>
              <w:rPr>
                <w:sz w:val="16"/>
                <w:szCs w:val="16"/>
                <w:color w:val="auto"/>
              </w:rPr>
            </w:pPr>
          </w:p>
        </w:tc>
      </w:tr>
      <w:tr>
        <w:trPr>
          <w:trHeight w:val="289"/>
        </w:trPr>
        <w:tc>
          <w:tcPr>
            <w:tcW w:w="7600" w:type="dxa"/>
            <w:vAlign w:val="bottom"/>
          </w:tcPr>
          <w:p>
            <w:pPr>
              <w:spacing w:after="0"/>
              <w:rPr>
                <w:sz w:val="24"/>
                <w:szCs w:val="24"/>
                <w:color w:val="auto"/>
              </w:rPr>
            </w:pPr>
          </w:p>
        </w:tc>
        <w:tc>
          <w:tcPr>
            <w:tcW w:w="1340" w:type="dxa"/>
            <w:vAlign w:val="bottom"/>
            <w:tcBorders>
              <w:bottom w:val="single" w:sz="8" w:color="auto"/>
            </w:tcBorders>
          </w:tcPr>
          <w:p>
            <w:pPr>
              <w:jc w:val="center"/>
              <w:ind w:left="258"/>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r>
      <w:tr>
        <w:trPr>
          <w:trHeight w:val="277"/>
        </w:trPr>
        <w:tc>
          <w:tcPr>
            <w:tcW w:w="7600" w:type="dxa"/>
            <w:vAlign w:val="bottom"/>
          </w:tcPr>
          <w:p>
            <w:pPr>
              <w:spacing w:after="0"/>
              <w:rPr>
                <w:sz w:val="24"/>
                <w:szCs w:val="24"/>
                <w:color w:val="auto"/>
              </w:rPr>
            </w:pPr>
          </w:p>
        </w:tc>
        <w:tc>
          <w:tcPr>
            <w:tcW w:w="1340" w:type="dxa"/>
            <w:vAlign w:val="bottom"/>
          </w:tcPr>
          <w:p>
            <w:pPr>
              <w:jc w:val="center"/>
              <w:ind w:left="258"/>
              <w:spacing w:after="0"/>
              <w:rPr>
                <w:sz w:val="20"/>
                <w:szCs w:val="20"/>
                <w:color w:val="auto"/>
              </w:rPr>
            </w:pPr>
            <w:r>
              <w:rPr>
                <w:rFonts w:ascii="Arial" w:cs="Arial" w:eastAsia="Arial" w:hAnsi="Arial"/>
                <w:sz w:val="14"/>
                <w:szCs w:val="14"/>
                <w:b w:val="1"/>
                <w:bCs w:val="1"/>
                <w:color w:val="auto"/>
                <w:w w:val="97"/>
              </w:rPr>
              <w:t>(Unaudited)</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2"/>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3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7600" w:type="dxa"/>
            <w:vAlign w:val="bottom"/>
          </w:tcPr>
          <w:p>
            <w:pPr>
              <w:ind w:left="520"/>
              <w:spacing w:after="0"/>
              <w:rPr>
                <w:sz w:val="20"/>
                <w:szCs w:val="20"/>
                <w:color w:val="auto"/>
              </w:rPr>
            </w:pPr>
            <w:r>
              <w:rPr>
                <w:rFonts w:ascii="Arial" w:cs="Arial" w:eastAsia="Arial" w:hAnsi="Arial"/>
                <w:sz w:val="18"/>
                <w:szCs w:val="18"/>
                <w:color w:val="auto"/>
              </w:rPr>
              <w:t>Cash</w:t>
            </w:r>
          </w:p>
        </w:tc>
        <w:tc>
          <w:tcPr>
            <w:tcW w:w="1340" w:type="dxa"/>
            <w:vAlign w:val="bottom"/>
            <w:tcBorders>
              <w:bottom w:val="single" w:sz="8" w:color="auto"/>
            </w:tcBorders>
          </w:tcPr>
          <w:p>
            <w:pPr>
              <w:jc w:val="right"/>
              <w:ind w:right="1138"/>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r>
      <w:tr>
        <w:trPr>
          <w:trHeight w:val="29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340" w:type="dxa"/>
            <w:vAlign w:val="bottom"/>
            <w:shd w:val="clear" w:color="auto" w:fill="CFF0FC"/>
          </w:tcPr>
          <w:p>
            <w:pPr>
              <w:jc w:val="right"/>
              <w:ind w:right="1138"/>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24"/>
                <w:szCs w:val="24"/>
                <w:color w:val="auto"/>
              </w:rPr>
            </w:pPr>
          </w:p>
        </w:tc>
      </w:tr>
      <w:tr>
        <w:trPr>
          <w:trHeight w:val="237"/>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Commitments and contingencies</w:t>
            </w:r>
          </w:p>
        </w:tc>
        <w:tc>
          <w:tcPr>
            <w:tcW w:w="13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3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42"/>
        </w:trPr>
        <w:tc>
          <w:tcPr>
            <w:tcW w:w="7600" w:type="dxa"/>
            <w:vAlign w:val="bottom"/>
          </w:tcPr>
          <w:p>
            <w:pPr>
              <w:ind w:left="520"/>
              <w:spacing w:after="0"/>
              <w:rPr>
                <w:sz w:val="20"/>
                <w:szCs w:val="20"/>
                <w:color w:val="auto"/>
              </w:rPr>
            </w:pPr>
            <w:r>
              <w:rPr>
                <w:rFonts w:ascii="Arial" w:cs="Arial" w:eastAsia="Arial" w:hAnsi="Arial"/>
                <w:sz w:val="18"/>
                <w:szCs w:val="18"/>
                <w:color w:val="auto"/>
                <w:w w:val="91"/>
              </w:rPr>
              <w:t>Common stock, $0.0001 par value per share, 1,000 shares authorized, issued and outstanding at</w:t>
            </w: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600" w:type="dxa"/>
            <w:vAlign w:val="bottom"/>
          </w:tcPr>
          <w:p>
            <w:pPr>
              <w:ind w:left="520"/>
              <w:spacing w:after="0"/>
              <w:rPr>
                <w:sz w:val="20"/>
                <w:szCs w:val="20"/>
                <w:color w:val="auto"/>
              </w:rPr>
            </w:pPr>
            <w:r>
              <w:rPr>
                <w:rFonts w:ascii="Arial" w:cs="Arial" w:eastAsia="Arial" w:hAnsi="Arial"/>
                <w:sz w:val="18"/>
                <w:szCs w:val="18"/>
                <w:color w:val="auto"/>
              </w:rPr>
              <w:t>June 30, 2021 and April 19, 2021</w:t>
            </w:r>
          </w:p>
        </w:tc>
        <w:tc>
          <w:tcPr>
            <w:tcW w:w="1340" w:type="dxa"/>
            <w:vAlign w:val="bottom"/>
          </w:tcPr>
          <w:p>
            <w:pPr>
              <w:jc w:val="right"/>
              <w:ind w:right="1138"/>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57"/>
        </w:trPr>
        <w:tc>
          <w:tcPr>
            <w:tcW w:w="76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Additional paid-in-capital</w:t>
            </w:r>
          </w:p>
        </w:tc>
        <w:tc>
          <w:tcPr>
            <w:tcW w:w="134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340" w:type="dxa"/>
            <w:vAlign w:val="bottom"/>
          </w:tcPr>
          <w:p>
            <w:pPr>
              <w:jc w:val="right"/>
              <w:ind w:right="1138"/>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r>
      <w:tr>
        <w:trPr>
          <w:trHeight w:val="20"/>
        </w:trPr>
        <w:tc>
          <w:tcPr>
            <w:tcW w:w="76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-1019810</wp:posOffset>
            </wp:positionV>
            <wp:extent cx="1625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-1002030</wp:posOffset>
            </wp:positionV>
            <wp:extent cx="1625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-1019810</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-1002030</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-193675</wp:posOffset>
            </wp:positionV>
            <wp:extent cx="16256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balance sheets.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CONDENSED FINANCIAL STATEMENT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43" w:lineRule="exact"/>
        <w:rPr>
          <w:sz w:val="20"/>
          <w:szCs w:val="20"/>
          <w:color w:val="auto"/>
        </w:rPr>
      </w:pPr>
    </w:p>
    <w:p>
      <w:pPr>
        <w:ind w:right="180" w:firstLine="1018"/>
        <w:spacing w:after="0" w:line="275" w:lineRule="auto"/>
        <w:rPr>
          <w:sz w:val="20"/>
          <w:szCs w:val="20"/>
          <w:color w:val="auto"/>
        </w:rPr>
      </w:pPr>
      <w:r>
        <w:rPr>
          <w:rFonts w:ascii="Arial" w:cs="Arial" w:eastAsia="Arial" w:hAnsi="Arial"/>
          <w:sz w:val="18"/>
          <w:szCs w:val="18"/>
          <w:color w:val="auto"/>
        </w:rPr>
        <w:t>Rani Therapeutics Holdings, Inc. ("Rani Holdings" or "the Company") was formed as a Delaware corporation on April 6, 2021. Rani Holdings was formed for the purpose of completing a public offering and related transactions in order to carry on the business of Rani Therapeutics, LLC (“Rani LLC”) and its subsidiary. As the manager of Rani LLC, Rani Holdings is expected to operate and control all of the business and affairs of Rani LLC, and through Rani LLC, continue to conduct the business now conducted by these subsidiaries.</w:t>
      </w:r>
    </w:p>
    <w:p>
      <w:pPr>
        <w:spacing w:after="0" w:line="185" w:lineRule="exact"/>
        <w:rPr>
          <w:sz w:val="20"/>
          <w:szCs w:val="20"/>
          <w:color w:val="auto"/>
        </w:rPr>
      </w:pPr>
    </w:p>
    <w:p>
      <w:pPr>
        <w:ind w:right="80" w:firstLine="1018"/>
        <w:spacing w:after="0" w:line="290" w:lineRule="auto"/>
        <w:rPr>
          <w:sz w:val="20"/>
          <w:szCs w:val="20"/>
          <w:color w:val="auto"/>
        </w:rPr>
      </w:pPr>
      <w:r>
        <w:rPr>
          <w:rFonts w:ascii="Arial" w:cs="Arial" w:eastAsia="Arial" w:hAnsi="Arial"/>
          <w:sz w:val="17"/>
          <w:szCs w:val="17"/>
          <w:color w:val="auto"/>
        </w:rPr>
        <w:t>In August 2021, the Company closed its initial public offering (“the Offering” or “IPO”) and related organization transactions whereby the Company became a holding company, was admitted to Rani LLC as the sole managing member, and its principal asset became the common units of Rani LLC that it owns. As the sole managing member of Rani LLC, the Company operates and controls all of the business and affairs of Rani LLC, and through its subsidiary, conducts its business. As a result, the Company will consolidate the financial results of Rani LLC and will report a non-controlling interest representing the Rani LLC interests held by InCube Labs, LLC, a Delaware limited liability company and certain of its affiliates (“ICL”) and certain current and former executive officers, employees and directors of Rani LLC.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Accounting</w:t>
      </w:r>
    </w:p>
    <w:p>
      <w:pPr>
        <w:spacing w:after="0" w:line="239" w:lineRule="exact"/>
        <w:rPr>
          <w:sz w:val="20"/>
          <w:szCs w:val="20"/>
          <w:color w:val="auto"/>
        </w:rPr>
      </w:pPr>
    </w:p>
    <w:p>
      <w:pPr>
        <w:ind w:right="60" w:firstLine="1018"/>
        <w:spacing w:after="0" w:line="292" w:lineRule="auto"/>
        <w:rPr>
          <w:sz w:val="20"/>
          <w:szCs w:val="20"/>
          <w:color w:val="auto"/>
        </w:rPr>
      </w:pPr>
      <w:r>
        <w:rPr>
          <w:rFonts w:ascii="Arial" w:cs="Arial" w:eastAsia="Arial" w:hAnsi="Arial"/>
          <w:sz w:val="17"/>
          <w:szCs w:val="17"/>
          <w:color w:val="auto"/>
        </w:rPr>
        <w:t>The accompanying unaudited condensed balance sheets have been prepared in accordance with accounting principles generally accepted in the United States of America (“GAAP”) for interim financial information and pursuant to Form 10-Q of Regulation S-X of the Securities and Exchange Commission (“SEC”). Accordingly, they do not include all of the information and footnotes required by GAAP for complete financial statements. Separate statements of operations, comprehensive income, changes in stockholder’s equity, and cash flows have not been presented as of June 30, 2021 because there have been no activities except in connection with the Company’s formation.</w:t>
      </w:r>
    </w:p>
    <w:p>
      <w:pPr>
        <w:spacing w:after="0" w:line="174" w:lineRule="exact"/>
        <w:rPr>
          <w:sz w:val="20"/>
          <w:szCs w:val="20"/>
          <w:color w:val="auto"/>
        </w:rPr>
      </w:pPr>
    </w:p>
    <w:p>
      <w:pPr>
        <w:ind w:right="60" w:firstLine="1018"/>
        <w:spacing w:after="0" w:line="319" w:lineRule="auto"/>
        <w:rPr>
          <w:sz w:val="20"/>
          <w:szCs w:val="20"/>
          <w:color w:val="auto"/>
        </w:rPr>
      </w:pPr>
      <w:r>
        <w:rPr>
          <w:rFonts w:ascii="Arial" w:cs="Arial" w:eastAsia="Arial" w:hAnsi="Arial"/>
          <w:sz w:val="16"/>
          <w:szCs w:val="16"/>
          <w:color w:val="auto"/>
        </w:rPr>
        <w:t>The condensed balance sheet presented as of April 19, 2021, has been derived from the audited balance sheet as of that date. The condensed balance sheets and notes are presented as permitted by Form 10-Q and do not contain all information that is included in the annual financial statements and notes thereto of the Company. Therefore, these interim condensed balance sheets and notes should be read in conjunction with the Company’s audited balance sheet and notes included in the Company’s Registration Statement on Form S-1 (No. 333-257809) filed with the SEC.</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financial statement has been prepared in accordance with GAAP.</w:t>
      </w:r>
    </w:p>
    <w:p>
      <w:pPr>
        <w:spacing w:after="0" w:line="239" w:lineRule="exact"/>
        <w:rPr>
          <w:sz w:val="20"/>
          <w:szCs w:val="20"/>
          <w:color w:val="auto"/>
        </w:rPr>
      </w:pPr>
    </w:p>
    <w:p>
      <w:pPr>
        <w:ind w:right="480" w:firstLine="1018"/>
        <w:spacing w:after="0" w:line="293" w:lineRule="auto"/>
        <w:rPr>
          <w:sz w:val="20"/>
          <w:szCs w:val="20"/>
          <w:color w:val="auto"/>
        </w:rPr>
      </w:pPr>
      <w:r>
        <w:rPr>
          <w:rFonts w:ascii="Arial" w:cs="Arial" w:eastAsia="Arial" w:hAnsi="Arial"/>
          <w:sz w:val="18"/>
          <w:szCs w:val="18"/>
          <w:color w:val="auto"/>
        </w:rPr>
        <w:t>The financial statement has been prepared assuming Rani Holdings will continue as a going concern, which contemplates, among other things, the realization of assets and satisfaction of liabilities in the normal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9" w:lineRule="exact"/>
        <w:rPr>
          <w:sz w:val="20"/>
          <w:szCs w:val="20"/>
          <w:color w:val="auto"/>
        </w:rPr>
      </w:pPr>
    </w:p>
    <w:p>
      <w:pPr>
        <w:ind w:right="120" w:firstLine="1018"/>
        <w:spacing w:after="0" w:line="27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balance sheet.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Cash consists of a deposit in-transit.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243" w:lineRule="exact"/>
        <w:rPr>
          <w:sz w:val="20"/>
          <w:szCs w:val="20"/>
          <w:color w:val="auto"/>
        </w:rPr>
      </w:pPr>
    </w:p>
    <w:p>
      <w:pPr>
        <w:ind w:right="100" w:firstLine="1018"/>
        <w:spacing w:after="0" w:line="299" w:lineRule="auto"/>
        <w:rPr>
          <w:sz w:val="20"/>
          <w:szCs w:val="20"/>
          <w:color w:val="auto"/>
        </w:rPr>
      </w:pPr>
      <w:r>
        <w:rPr>
          <w:rFonts w:ascii="Arial" w:cs="Arial" w:eastAsia="Arial" w:hAnsi="Arial"/>
          <w:sz w:val="16"/>
          <w:szCs w:val="16"/>
          <w:color w:val="auto"/>
        </w:rPr>
        <w:t>On April 6, 2021, Rani Holdings was authorized to issue 1,000 shares of common stock, par value $0.0001 per share, all of which have been issued and are outstanding. On the balance sheet date, Rani Holdings issued 1,000 shares at a purchase price of $0.01 per share for aggregate gross proceeds of $10.00 to Rani LLC. As of the balance sheet date, Rani Holdings had outstanding 1,000 shares all of which were owned by Rani LLC.</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ind w:right="60" w:firstLine="1018"/>
        <w:spacing w:after="0" w:line="270" w:lineRule="auto"/>
        <w:rPr>
          <w:sz w:val="20"/>
          <w:szCs w:val="20"/>
          <w:color w:val="auto"/>
        </w:rPr>
      </w:pPr>
      <w:r>
        <w:rPr>
          <w:rFonts w:ascii="Arial" w:cs="Arial" w:eastAsia="Arial" w:hAnsi="Arial"/>
          <w:sz w:val="18"/>
          <w:szCs w:val="18"/>
          <w:color w:val="auto"/>
        </w:rPr>
        <w:t>In connection with the Company’s Offering, the Company’s board of directors approved an amended and restated certificate of incorporation (the “Amended and Restated Certificate of Incorporation”). The Amended and Restated Certificate of Incorporation authorizes the issuance of up to 800,000,000 shares of Class A common stock, up to 40,000,000 shares of Class B common stock, 20,000,000 shares of Class C common stock and 20,000,000 shares of preferred stock, each having a par value of $0.0001 per share. The Class B common stock has no rights to receive any distributions or dividends, whether cash or stock. Each share of Class A common stock entitles its holders to one vote per share and each share of Class B common stock entitles its holders to 10 votes per share on all matters presented to the Company’s stockholders. Shares of Class C common stock have no voting rights, except as otherwise required by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Subsequent Events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Organization Transactions</w:t>
      </w:r>
    </w:p>
    <w:p>
      <w:pPr>
        <w:spacing w:after="0" w:line="239" w:lineRule="exact"/>
        <w:rPr>
          <w:sz w:val="20"/>
          <w:szCs w:val="20"/>
          <w:color w:val="auto"/>
        </w:rPr>
      </w:pPr>
    </w:p>
    <w:p>
      <w:pPr>
        <w:ind w:right="280" w:firstLine="1018"/>
        <w:spacing w:after="0" w:line="293" w:lineRule="auto"/>
        <w:rPr>
          <w:sz w:val="20"/>
          <w:szCs w:val="20"/>
          <w:color w:val="auto"/>
        </w:rPr>
      </w:pPr>
      <w:r>
        <w:rPr>
          <w:rFonts w:ascii="Arial" w:cs="Arial" w:eastAsia="Arial" w:hAnsi="Arial"/>
          <w:sz w:val="18"/>
          <w:szCs w:val="18"/>
          <w:color w:val="auto"/>
        </w:rPr>
        <w:t>In August 2021, and in connection with the completion of the Offering, the Company was party to the following organization transactions (the “Organization Transactions”):</w:t>
      </w:r>
    </w:p>
    <w:p>
      <w:pPr>
        <w:spacing w:after="0" w:line="62" w:lineRule="exact"/>
        <w:rPr>
          <w:sz w:val="20"/>
          <w:szCs w:val="20"/>
          <w:color w:val="auto"/>
        </w:rPr>
      </w:pPr>
    </w:p>
    <w:p>
      <w:pPr>
        <w:ind w:left="960" w:right="300"/>
        <w:spacing w:after="0" w:line="293" w:lineRule="auto"/>
        <w:rPr>
          <w:sz w:val="20"/>
          <w:szCs w:val="20"/>
          <w:color w:val="auto"/>
        </w:rPr>
      </w:pPr>
      <w:r>
        <w:rPr>
          <w:rFonts w:ascii="Arial" w:cs="Arial" w:eastAsia="Arial" w:hAnsi="Arial"/>
          <w:sz w:val="18"/>
          <w:szCs w:val="18"/>
          <w:color w:val="auto"/>
        </w:rPr>
        <w:t>Appointed as Rani LLC’s sole managing member through an amendment and restatement of the Rani LLC operating agreement (the “Rani LLC Agreement”);</w:t>
      </w:r>
    </w:p>
    <w:p>
      <w:pPr>
        <w:spacing w:after="0" w:line="62" w:lineRule="exact"/>
        <w:rPr>
          <w:sz w:val="20"/>
          <w:szCs w:val="20"/>
          <w:color w:val="auto"/>
        </w:rPr>
      </w:pPr>
    </w:p>
    <w:p>
      <w:pPr>
        <w:ind w:left="960" w:right="100"/>
        <w:spacing w:after="0" w:line="275" w:lineRule="auto"/>
        <w:rPr>
          <w:sz w:val="20"/>
          <w:szCs w:val="20"/>
          <w:color w:val="auto"/>
        </w:rPr>
      </w:pPr>
      <w:r>
        <w:rPr>
          <w:rFonts w:ascii="Arial" w:cs="Arial" w:eastAsia="Arial" w:hAnsi="Arial"/>
          <w:sz w:val="18"/>
          <w:szCs w:val="18"/>
          <w:color w:val="auto"/>
        </w:rPr>
        <w:t>Amended and restated the Company’s certificate of incorporation in July 2021, to provide for the issuance of (i) Class A common stock, each share of which entitles its holders to one vote per share, (ii) Class B common stock, each share of which entitles its holders to 10 votes per share on all matters presented to Rani Holdings’ stockholders, (iii) Class C common stock, which has no voting rights, except as otherwise required by law and (iv) preferred stock;</w:t>
      </w:r>
    </w:p>
    <w:p>
      <w:pPr>
        <w:spacing w:after="0" w:line="77" w:lineRule="exact"/>
        <w:rPr>
          <w:sz w:val="20"/>
          <w:szCs w:val="20"/>
          <w:color w:val="auto"/>
        </w:rPr>
      </w:pPr>
    </w:p>
    <w:p>
      <w:pPr>
        <w:ind w:left="960" w:right="560"/>
        <w:spacing w:after="0" w:line="293" w:lineRule="auto"/>
        <w:rPr>
          <w:sz w:val="20"/>
          <w:szCs w:val="20"/>
          <w:color w:val="auto"/>
        </w:rPr>
      </w:pPr>
      <w:r>
        <w:rPr>
          <w:rFonts w:ascii="Arial" w:cs="Arial" w:eastAsia="Arial" w:hAnsi="Arial"/>
          <w:sz w:val="18"/>
          <w:szCs w:val="18"/>
          <w:color w:val="auto"/>
        </w:rPr>
        <w:t>Exchanged 12,047,925 shares of Class A common stock for existing Class A units of Rani LLC held by certain individuals and entities (“Former LLC Owners”) on a one-for-one basis;</w:t>
      </w:r>
    </w:p>
    <w:p>
      <w:pPr>
        <w:spacing w:after="0" w:line="62"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Issued 29,290,391 shares of Class B common stock to the certain individuals and entities that continued to hold interests in Rani LLC after the Offering (“the Containing LLC Owners”) in exchange for an equal amount of Rani LLC Interests;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Entered into a registration rights agreement with certain of the Continuing LLC Owners.</w:t>
      </w:r>
    </w:p>
    <w:p>
      <w:pPr>
        <w:spacing w:after="0" w:line="239" w:lineRule="exact"/>
        <w:rPr>
          <w:sz w:val="20"/>
          <w:szCs w:val="20"/>
          <w:color w:val="auto"/>
        </w:rPr>
      </w:pPr>
    </w:p>
    <w:p>
      <w:pPr>
        <w:ind w:firstLine="1018"/>
        <w:spacing w:after="0" w:line="286" w:lineRule="auto"/>
        <w:rPr>
          <w:sz w:val="20"/>
          <w:szCs w:val="20"/>
          <w:color w:val="auto"/>
        </w:rPr>
      </w:pPr>
      <w:r>
        <w:rPr>
          <w:rFonts w:ascii="Arial" w:cs="Arial" w:eastAsia="Arial" w:hAnsi="Arial"/>
          <w:sz w:val="17"/>
          <w:szCs w:val="17"/>
          <w:color w:val="auto"/>
        </w:rPr>
        <w:t>The Continuing LLC Owners of Rani LLC may, subject to the terms of the Rani LLC Agreement, exchange their interests in Rani LLC ("LLC Interests") for the Company’s Class A common stock on a one-to-one basis with a corresponding number of such shares of Class B common stock; provided that, at the Company’s election, the Company may effect a direct exchange of such Class A common stock or make a cash payment equal to a volume weighted average market price of one share of Class A common stock for each LLC Interest redeemed. Any shares of Class B common stock will be cancelled on a one-for-one basis if the Company, at the election of the Continuing LLC Owners, redeem or exchange such LLC Interests pursuant to the terms of the Rani LLC Agreement. These exchanges and redemptions may result in increases in the tax basis of the assets of Rani LLC that otherwise would not have been available. Increases in tax basis resulting from such exchanges may reduce the amount of tax that Rani Holdings would otherwise be required to pay in the future. This tax basis may also decrease the gains (or increase the losses) on future dispositions of certain assets to the extent tax basis is allocated to those assets. Certain individuals who continue to own interests in Rani LLC but do not hold shares of our Class B common stock can exchange their units for 1,545,811 shares of our Class A common stock.</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Initial Public Offering</w:t>
      </w:r>
    </w:p>
    <w:p>
      <w:pPr>
        <w:spacing w:after="0" w:line="239" w:lineRule="exact"/>
        <w:rPr>
          <w:sz w:val="20"/>
          <w:szCs w:val="20"/>
          <w:color w:val="auto"/>
        </w:rPr>
      </w:pPr>
    </w:p>
    <w:p>
      <w:pPr>
        <w:ind w:right="220" w:firstLine="1018"/>
        <w:spacing w:after="0" w:line="279" w:lineRule="auto"/>
        <w:rPr>
          <w:sz w:val="20"/>
          <w:szCs w:val="20"/>
          <w:color w:val="auto"/>
        </w:rPr>
      </w:pPr>
      <w:r>
        <w:rPr>
          <w:rFonts w:ascii="Arial" w:cs="Arial" w:eastAsia="Arial" w:hAnsi="Arial"/>
          <w:sz w:val="18"/>
          <w:szCs w:val="18"/>
          <w:color w:val="auto"/>
        </w:rPr>
        <w:t>In August 2021, the Company closed an initial public offering and sold 7,666,667 shares of its Class A common stock, including shares issued pursuant to the exercise in full of the underwriters’ option, for cash consideration of $11.00 per share and received approximately $73.7 million in net proceeds, after deducting underwriting discounts, offering costs and commissions.</w:t>
      </w:r>
    </w:p>
    <w:p>
      <w:pPr>
        <w:spacing w:after="0" w:line="18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Company used the proceeds from the Offering to purchase 7,666,667 newly issued Class A units of Rani LLC.</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Tax Receivable Agreement</w:t>
      </w:r>
    </w:p>
    <w:p>
      <w:pPr>
        <w:spacing w:after="0" w:line="239" w:lineRule="exact"/>
        <w:rPr>
          <w:sz w:val="20"/>
          <w:szCs w:val="20"/>
          <w:color w:val="auto"/>
        </w:rPr>
      </w:pPr>
    </w:p>
    <w:p>
      <w:pPr>
        <w:ind w:right="80" w:firstLine="1063"/>
        <w:spacing w:after="0" w:line="272" w:lineRule="auto"/>
        <w:rPr>
          <w:sz w:val="20"/>
          <w:szCs w:val="20"/>
          <w:color w:val="auto"/>
        </w:rPr>
      </w:pPr>
      <w:r>
        <w:rPr>
          <w:rFonts w:ascii="Arial" w:cs="Arial" w:eastAsia="Arial" w:hAnsi="Arial"/>
          <w:sz w:val="18"/>
          <w:szCs w:val="18"/>
          <w:color w:val="auto"/>
        </w:rPr>
        <w:t>In August 2021, in connection with the Offering, Rani Holdings entered into a tax receivable agreement with certain of the Continuing LLC Owners that provides for the payment by Rani Holdings to such Continuing LLC Owners of 85% of the amount of tax benefits, if any, that the Company is deemed to realize (calculated using certain assumptions) as a result of (i) increases in the tax basis of assets of Rani LLC resulting from (a) any future redemptions or exchanges of membership interests of Rani LLC and (b) payments under the tax receivable agreement and (ii) certain other benefits arising from payments under the tax receivable agreement.</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ind w:left="1020"/>
        <w:spacing w:after="0"/>
        <w:rPr>
          <w:sz w:val="20"/>
          <w:szCs w:val="20"/>
          <w:color w:val="auto"/>
        </w:rPr>
      </w:pPr>
      <w:r>
        <w:rPr>
          <w:rFonts w:ascii="Arial" w:cs="Arial" w:eastAsia="Arial" w:hAnsi="Arial"/>
          <w:sz w:val="18"/>
          <w:szCs w:val="18"/>
          <w:i w:val="1"/>
          <w:iCs w:val="1"/>
          <w:color w:val="auto"/>
        </w:rPr>
        <w:t>Equity Incentive Plans</w:t>
      </w:r>
    </w:p>
    <w:p>
      <w:pPr>
        <w:spacing w:after="0" w:line="239" w:lineRule="exact"/>
        <w:rPr>
          <w:sz w:val="20"/>
          <w:szCs w:val="20"/>
          <w:color w:val="auto"/>
        </w:rPr>
      </w:pPr>
    </w:p>
    <w:p>
      <w:pPr>
        <w:ind w:right="280" w:firstLine="1018"/>
        <w:spacing w:after="0" w:line="329" w:lineRule="auto"/>
        <w:rPr>
          <w:sz w:val="20"/>
          <w:szCs w:val="20"/>
          <w:color w:val="auto"/>
        </w:rPr>
      </w:pPr>
      <w:r>
        <w:rPr>
          <w:rFonts w:ascii="Arial" w:cs="Arial" w:eastAsia="Arial" w:hAnsi="Arial"/>
          <w:sz w:val="16"/>
          <w:szCs w:val="16"/>
          <w:color w:val="auto"/>
        </w:rPr>
        <w:t>In July 2021, the Company adopted and its stockholders approved, the Rani Therapeutics Holdings, Inc. 2021 Equity Incentive Plan (the “2021 Plan”). The 2021 Plan provides for the grant of incentive stock options ("ISOs"), non-statutory stock options ("NSOs"), stock appreciation rights, restricted stock awards, restricted stock unit awards, performance-based awards and other awards for shares of the Company’s Class A common stock.</w:t>
      </w:r>
    </w:p>
    <w:p>
      <w:pPr>
        <w:spacing w:after="0" w:line="148" w:lineRule="exact"/>
        <w:rPr>
          <w:sz w:val="20"/>
          <w:szCs w:val="20"/>
          <w:color w:val="auto"/>
        </w:rPr>
      </w:pPr>
    </w:p>
    <w:p>
      <w:pPr>
        <w:ind w:right="120" w:firstLine="1018"/>
        <w:spacing w:after="0" w:line="293" w:lineRule="auto"/>
        <w:rPr>
          <w:sz w:val="20"/>
          <w:szCs w:val="20"/>
          <w:color w:val="auto"/>
        </w:rPr>
      </w:pPr>
      <w:r>
        <w:rPr>
          <w:rFonts w:ascii="Arial" w:cs="Arial" w:eastAsia="Arial" w:hAnsi="Arial"/>
          <w:sz w:val="18"/>
          <w:szCs w:val="18"/>
          <w:color w:val="auto"/>
        </w:rPr>
        <w:t>In July 2021, the Company's board of directors adopted and its stockholders approved, the Rani Therapeutics Holdings, Inc. 2021 Employee Stock Purchase Plan (the “ESPP”).</w:t>
      </w:r>
    </w:p>
    <w:p>
      <w:pPr>
        <w:spacing w:after="0" w:line="170" w:lineRule="exact"/>
        <w:rPr>
          <w:sz w:val="20"/>
          <w:szCs w:val="20"/>
          <w:color w:val="auto"/>
        </w:rPr>
      </w:pPr>
    </w:p>
    <w:p>
      <w:pPr>
        <w:ind w:right="300" w:firstLine="1018"/>
        <w:spacing w:after="0" w:line="293" w:lineRule="auto"/>
        <w:rPr>
          <w:sz w:val="20"/>
          <w:szCs w:val="20"/>
          <w:color w:val="auto"/>
        </w:rPr>
      </w:pPr>
      <w:r>
        <w:rPr>
          <w:rFonts w:ascii="Arial" w:cs="Arial" w:eastAsia="Arial" w:hAnsi="Arial"/>
          <w:sz w:val="18"/>
          <w:szCs w:val="18"/>
          <w:color w:val="auto"/>
        </w:rPr>
        <w:t>The Company reserved 500,000 shares of Class A Common Stock for issuance under the ESPP and 5,500,000 shares of Class A common stock for future issuance under the 2021 Plan.</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unit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7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(Unaudited)</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69,314</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73,058</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80"/>
              <w:spacing w:after="0"/>
              <w:rPr>
                <w:sz w:val="20"/>
                <w:szCs w:val="20"/>
                <w:color w:val="auto"/>
              </w:rPr>
            </w:pPr>
            <w:r>
              <w:rPr>
                <w:rFonts w:ascii="Arial" w:cs="Arial" w:eastAsia="Arial" w:hAnsi="Arial"/>
                <w:sz w:val="18"/>
                <w:szCs w:val="18"/>
                <w:color w:val="auto"/>
              </w:rPr>
              <w:t>Related party note receivable</w:t>
            </w:r>
          </w:p>
        </w:tc>
        <w:tc>
          <w:tcPr>
            <w:tcW w:w="28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r>
      <w:tr>
        <w:trPr>
          <w:trHeight w:val="257"/>
        </w:trPr>
        <w:tc>
          <w:tcPr>
            <w:tcW w:w="7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0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69,479</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74,945</w:t>
            </w:r>
          </w:p>
        </w:tc>
        <w:tc>
          <w:tcPr>
            <w:tcW w:w="100" w:type="dxa"/>
            <w:vAlign w:val="bottom"/>
          </w:tcPr>
          <w:p>
            <w:pPr>
              <w:spacing w:after="0"/>
              <w:rPr>
                <w:sz w:val="21"/>
                <w:szCs w:val="21"/>
                <w:color w:val="auto"/>
              </w:rPr>
            </w:pPr>
          </w:p>
        </w:tc>
      </w:tr>
      <w:tr>
        <w:trPr>
          <w:trHeight w:val="263"/>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financing costs</w:t>
            </w:r>
          </w:p>
        </w:tc>
        <w:tc>
          <w:tcPr>
            <w:tcW w:w="28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21"/>
                <w:szCs w:val="21"/>
                <w:color w:val="auto"/>
              </w:rPr>
            </w:pPr>
          </w:p>
        </w:tc>
      </w:tr>
      <w:tr>
        <w:trPr>
          <w:trHeight w:val="290"/>
        </w:trPr>
        <w:tc>
          <w:tcPr>
            <w:tcW w:w="76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77,321</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79,415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Liabilities, Convertible Preferred Units and Members’ Deficit</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1,667</w:t>
            </w:r>
          </w:p>
        </w:tc>
        <w:tc>
          <w:tcPr>
            <w:tcW w:w="2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r>
      <w:tr>
        <w:trPr>
          <w:trHeight w:val="263"/>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Related party payable</w:t>
            </w:r>
          </w:p>
        </w:tc>
        <w:tc>
          <w:tcPr>
            <w:tcW w:w="28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2,921</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r>
      <w:tr>
        <w:trPr>
          <w:trHeight w:val="263"/>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r>
      <w:tr>
        <w:trPr>
          <w:trHeight w:val="257"/>
        </w:trPr>
        <w:tc>
          <w:tcPr>
            <w:tcW w:w="76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9,355</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80"/>
              <w:spacing w:after="0"/>
              <w:rPr>
                <w:sz w:val="20"/>
                <w:szCs w:val="20"/>
                <w:color w:val="auto"/>
              </w:rPr>
            </w:pPr>
            <w:r>
              <w:rPr>
                <w:rFonts w:ascii="Arial" w:cs="Arial" w:eastAsia="Arial" w:hAnsi="Arial"/>
                <w:sz w:val="18"/>
                <w:szCs w:val="18"/>
                <w:color w:val="auto"/>
              </w:rPr>
              <w:t>Preferred unit warrant liability</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r>
      <w:tr>
        <w:trPr>
          <w:trHeight w:val="257"/>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28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100" w:type="dxa"/>
            <w:vAlign w:val="bottom"/>
            <w:tcBorders>
              <w:top w:val="single" w:sz="8" w:color="CFF0FC"/>
            </w:tcBorders>
          </w:tcPr>
          <w:p>
            <w:pPr>
              <w:spacing w:after="0"/>
              <w:rPr>
                <w:sz w:val="21"/>
                <w:szCs w:val="21"/>
                <w:color w:val="auto"/>
              </w:rPr>
            </w:pP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10)</w:t>
            </w:r>
          </w:p>
        </w:tc>
        <w:tc>
          <w:tcPr>
            <w:tcW w:w="28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600" w:type="dxa"/>
            <w:vAlign w:val="bottom"/>
          </w:tcPr>
          <w:p>
            <w:pPr>
              <w:ind w:left="20"/>
              <w:spacing w:after="0"/>
              <w:rPr>
                <w:sz w:val="20"/>
                <w:szCs w:val="20"/>
                <w:color w:val="auto"/>
              </w:rPr>
            </w:pPr>
            <w:r>
              <w:rPr>
                <w:rFonts w:ascii="Arial" w:cs="Arial" w:eastAsia="Arial" w:hAnsi="Arial"/>
                <w:sz w:val="18"/>
                <w:szCs w:val="18"/>
                <w:color w:val="auto"/>
              </w:rPr>
              <w:t>Convertible preferred units, 32,620,000 units authorized, and 27,629,804 and</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600" w:type="dxa"/>
            <w:vAlign w:val="bottom"/>
          </w:tcPr>
          <w:p>
            <w:pPr>
              <w:ind w:left="160"/>
              <w:spacing w:after="0"/>
              <w:rPr>
                <w:sz w:val="20"/>
                <w:szCs w:val="20"/>
                <w:color w:val="auto"/>
              </w:rPr>
            </w:pPr>
            <w:r>
              <w:rPr>
                <w:rFonts w:ascii="Arial" w:cs="Arial" w:eastAsia="Arial" w:hAnsi="Arial"/>
                <w:sz w:val="18"/>
                <w:szCs w:val="18"/>
                <w:color w:val="auto"/>
              </w:rPr>
              <w:t>26,745,528 units issued and outstanding at June 30, 2021 and December 31,</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600" w:type="dxa"/>
            <w:vAlign w:val="bottom"/>
          </w:tcPr>
          <w:p>
            <w:pPr>
              <w:ind w:left="160"/>
              <w:spacing w:after="0"/>
              <w:rPr>
                <w:sz w:val="20"/>
                <w:szCs w:val="20"/>
                <w:color w:val="auto"/>
              </w:rPr>
            </w:pPr>
            <w:r>
              <w:rPr>
                <w:rFonts w:ascii="Arial" w:cs="Arial" w:eastAsia="Arial" w:hAnsi="Arial"/>
                <w:sz w:val="18"/>
                <w:szCs w:val="18"/>
                <w:color w:val="auto"/>
              </w:rPr>
              <w:t>2020, respectively</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191,034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184,714</w:t>
            </w:r>
          </w:p>
        </w:tc>
        <w:tc>
          <w:tcPr>
            <w:tcW w:w="100" w:type="dxa"/>
            <w:vAlign w:val="bottom"/>
          </w:tcPr>
          <w:p>
            <w:pPr>
              <w:spacing w:after="0"/>
              <w:rPr>
                <w:sz w:val="20"/>
                <w:szCs w:val="20"/>
                <w:color w:val="auto"/>
              </w:rPr>
            </w:pP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Members’ deficit:</w:t>
            </w:r>
          </w:p>
        </w:tc>
        <w:tc>
          <w:tcPr>
            <w:tcW w:w="28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600" w:type="dxa"/>
            <w:vAlign w:val="bottom"/>
          </w:tcPr>
          <w:p>
            <w:pPr>
              <w:ind w:left="280"/>
              <w:spacing w:after="0"/>
              <w:rPr>
                <w:sz w:val="20"/>
                <w:szCs w:val="20"/>
                <w:color w:val="auto"/>
              </w:rPr>
            </w:pPr>
            <w:r>
              <w:rPr>
                <w:rFonts w:ascii="Arial" w:cs="Arial" w:eastAsia="Arial" w:hAnsi="Arial"/>
                <w:sz w:val="18"/>
                <w:szCs w:val="18"/>
                <w:color w:val="auto"/>
              </w:rPr>
              <w:t>Common units, 101,000,000 units authorized, and 46,896,280 and 46,890,280 units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600" w:type="dxa"/>
            <w:vAlign w:val="bottom"/>
          </w:tcPr>
          <w:p>
            <w:pPr>
              <w:ind w:left="400"/>
              <w:spacing w:after="0"/>
              <w:rPr>
                <w:sz w:val="20"/>
                <w:szCs w:val="20"/>
                <w:color w:val="auto"/>
              </w:rPr>
            </w:pPr>
            <w:r>
              <w:rPr>
                <w:rFonts w:ascii="Arial" w:cs="Arial" w:eastAsia="Arial" w:hAnsi="Arial"/>
                <w:sz w:val="18"/>
                <w:szCs w:val="18"/>
                <w:color w:val="auto"/>
              </w:rPr>
              <w:t>issued and outstanding at June 30, 2021 and December 31, 2020, respectively</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r>
      <w:tr>
        <w:trPr>
          <w:trHeight w:val="256"/>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(125,086 )</w:t>
            </w:r>
          </w:p>
        </w:tc>
        <w:tc>
          <w:tcPr>
            <w:tcW w:w="26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(114,003 )</w:t>
            </w:r>
          </w:p>
        </w:tc>
      </w:tr>
      <w:tr>
        <w:trPr>
          <w:trHeight w:val="20"/>
        </w:trPr>
        <w:tc>
          <w:tcPr>
            <w:tcW w:w="76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00" w:type="dxa"/>
            <w:vAlign w:val="bottom"/>
          </w:tcPr>
          <w:p>
            <w:pPr>
              <w:ind w:left="520"/>
              <w:spacing w:after="0"/>
              <w:rPr>
                <w:sz w:val="20"/>
                <w:szCs w:val="20"/>
                <w:color w:val="auto"/>
              </w:rPr>
            </w:pPr>
            <w:r>
              <w:rPr>
                <w:rFonts w:ascii="Arial" w:cs="Arial" w:eastAsia="Arial" w:hAnsi="Arial"/>
                <w:sz w:val="18"/>
                <w:szCs w:val="18"/>
                <w:color w:val="auto"/>
              </w:rPr>
              <w:t>Total members’ deficit</w:t>
            </w:r>
          </w:p>
        </w:tc>
        <w:tc>
          <w:tcPr>
            <w:tcW w:w="28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(123,674 )</w:t>
            </w:r>
          </w:p>
        </w:tc>
        <w:tc>
          <w:tcPr>
            <w:tcW w:w="26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(113,339 )</w:t>
            </w:r>
          </w:p>
        </w:tc>
      </w:tr>
      <w:tr>
        <w:trPr>
          <w:trHeight w:val="290"/>
        </w:trPr>
        <w:tc>
          <w:tcPr>
            <w:tcW w:w="76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liabilities, convertible preferred units and members’ deficit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77,321</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-4119880</wp:posOffset>
            </wp:positionV>
            <wp:extent cx="17970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-4119880</wp:posOffset>
            </wp:positionV>
            <wp:extent cx="5969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-3453765</wp:posOffset>
            </wp:positionV>
            <wp:extent cx="179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-3436620</wp:posOffset>
            </wp:positionV>
            <wp:extent cx="179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-3453765</wp:posOffset>
            </wp:positionV>
            <wp:extent cx="59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-3436620</wp:posOffset>
            </wp:positionV>
            <wp:extent cx="59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-1788160</wp:posOffset>
            </wp:positionV>
            <wp:extent cx="1797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-1788160</wp:posOffset>
            </wp:positionV>
            <wp:extent cx="5969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-365125</wp:posOffset>
            </wp:positionV>
            <wp:extent cx="17970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wp:posOffset>
            </wp:positionV>
            <wp:extent cx="5969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1797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797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unit and per unit amounts)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6"/>
                <w:szCs w:val="16"/>
                <w:color w:val="auto"/>
              </w:rPr>
            </w:pPr>
          </w:p>
        </w:tc>
        <w:tc>
          <w:tcPr>
            <w:tcW w:w="24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3,759</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7,106</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1"/>
                <w:szCs w:val="21"/>
                <w:color w:val="auto"/>
              </w:rPr>
            </w:pPr>
          </w:p>
        </w:tc>
      </w:tr>
      <w:tr>
        <w:trPr>
          <w:trHeight w:val="250"/>
        </w:trPr>
        <w:tc>
          <w:tcPr>
            <w:tcW w:w="56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660" w:type="dxa"/>
            <w:vAlign w:val="bottom"/>
          </w:tcPr>
          <w:p>
            <w:pPr>
              <w:ind w:left="78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(5,258 )</w:t>
            </w:r>
          </w:p>
        </w:tc>
        <w:tc>
          <w:tcPr>
            <w:tcW w:w="2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(3,390 )</w:t>
            </w: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(10,456 )</w:t>
            </w:r>
          </w:p>
        </w:tc>
        <w:tc>
          <w:tcPr>
            <w:tcW w:w="2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(8,774 )</w:t>
            </w:r>
          </w:p>
        </w:tc>
      </w:tr>
      <w:tr>
        <w:trPr>
          <w:trHeight w:val="26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 and other, net</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(169 )</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(2 )</w:t>
            </w:r>
          </w:p>
        </w:tc>
        <w:tc>
          <w:tcPr>
            <w:tcW w:w="2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(357 )</w:t>
            </w: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r>
      <w:tr>
        <w:trPr>
          <w:trHeight w:val="250"/>
        </w:trPr>
        <w:tc>
          <w:tcPr>
            <w:tcW w:w="5660" w:type="dxa"/>
            <w:vAlign w:val="bottom"/>
          </w:tcPr>
          <w:p>
            <w:pPr>
              <w:ind w:left="280"/>
              <w:spacing w:after="0"/>
              <w:rPr>
                <w:sz w:val="20"/>
                <w:szCs w:val="20"/>
                <w:color w:val="auto"/>
              </w:rPr>
            </w:pPr>
            <w:r>
              <w:rPr>
                <w:rFonts w:ascii="Arial" w:cs="Arial" w:eastAsia="Arial" w:hAnsi="Arial"/>
                <w:sz w:val="18"/>
                <w:szCs w:val="18"/>
                <w:color w:val="auto"/>
              </w:rPr>
              <w:t>Change in estimated fair value of preferred unit warrant</w:t>
            </w:r>
          </w:p>
        </w:tc>
        <w:tc>
          <w:tcPr>
            <w:tcW w:w="2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(70 )</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(286 )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6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(5,484 )</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(2,708 )</w:t>
            </w:r>
          </w:p>
        </w:tc>
        <w:tc>
          <w:tcPr>
            <w:tcW w:w="2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(11,039 )</w:t>
            </w: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(8,047 )</w:t>
            </w:r>
          </w:p>
        </w:tc>
      </w:tr>
      <w:tr>
        <w:trPr>
          <w:trHeight w:val="250"/>
        </w:trPr>
        <w:tc>
          <w:tcPr>
            <w:tcW w:w="56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(6 )</w:t>
            </w: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(44 )</w:t>
            </w:r>
          </w:p>
        </w:tc>
        <w:tc>
          <w:tcPr>
            <w:tcW w:w="2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(17 )</w:t>
            </w:r>
          </w:p>
        </w:tc>
      </w:tr>
      <w:tr>
        <w:trPr>
          <w:trHeight w:val="20"/>
        </w:trPr>
        <w:tc>
          <w:tcPr>
            <w:tcW w:w="5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(5,485 )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(2,714 )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(11,083 )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(8,064 )</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Net loss per unit,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(0.12 )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(0.17 )</w:t>
            </w: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units outstanding—basic and diluted</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46,896,280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46,890,280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46,896,081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46,890,280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-1702435</wp:posOffset>
            </wp:positionV>
            <wp:extent cx="15430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-1702435</wp:posOffset>
            </wp:positionV>
            <wp:extent cx="14541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-1702435</wp:posOffset>
            </wp:positionV>
            <wp:extent cx="13716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-1702435</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-376555</wp:posOffset>
            </wp:positionV>
            <wp:extent cx="154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-359410</wp:posOffset>
            </wp:positionV>
            <wp:extent cx="154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-376555</wp:posOffset>
            </wp:positionV>
            <wp:extent cx="145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-359410</wp:posOffset>
            </wp:positionV>
            <wp:extent cx="1454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-376555</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-359410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CONVERTIBLE PREFERRED UNITS AND MEMBERS’ DEFICIT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unit amounts)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173355</wp:posOffset>
            </wp:positionV>
            <wp:extent cx="33655"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148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Convertible Preferred</w:t>
            </w:r>
          </w:p>
        </w:tc>
        <w:tc>
          <w:tcPr>
            <w:tcW w:w="260" w:type="dxa"/>
            <w:vAlign w:val="bottom"/>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Six Months Ended June 30,</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 Members’</w:t>
            </w:r>
          </w:p>
        </w:tc>
      </w:tr>
      <w:tr>
        <w:trPr>
          <w:trHeight w:val="19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 (unaudited)</w:t>
            </w:r>
          </w:p>
        </w:tc>
        <w:tc>
          <w:tcPr>
            <w:tcW w:w="140" w:type="dxa"/>
            <w:vAlign w:val="bottom"/>
          </w:tcPr>
          <w:p>
            <w:pPr>
              <w:spacing w:after="0"/>
              <w:rPr>
                <w:sz w:val="16"/>
                <w:szCs w:val="16"/>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r>
      <w:tr>
        <w:trPr>
          <w:trHeight w:val="256"/>
        </w:trPr>
        <w:tc>
          <w:tcPr>
            <w:tcW w:w="310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Balance at December 31, 2019</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17,084,696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115,505</w:t>
            </w:r>
          </w:p>
        </w:tc>
        <w:tc>
          <w:tcPr>
            <w:tcW w:w="260" w:type="dxa"/>
            <w:vAlign w:val="bottom"/>
            <w:tcBorders>
              <w:right w:val="single" w:sz="8" w:color="auto"/>
            </w:tcBorders>
            <w:shd w:val="clear" w:color="auto" w:fill="CFF0FC"/>
          </w:tcPr>
          <w:p>
            <w:pPr>
              <w:spacing w:after="0"/>
              <w:rPr>
                <w:sz w:val="22"/>
                <w:szCs w:val="22"/>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46,890,280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left w:val="single" w:sz="8" w:color="CFF0FC"/>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(97,300 )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(96,636 )</w:t>
            </w:r>
          </w:p>
        </w:tc>
      </w:tr>
      <w:tr>
        <w:trPr>
          <w:trHeight w:val="25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(5,350 )</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(5,350 )</w:t>
            </w:r>
          </w:p>
        </w:tc>
      </w:tr>
      <w:tr>
        <w:trPr>
          <w:trHeight w:val="20"/>
        </w:trPr>
        <w:tc>
          <w:tcPr>
            <w:tcW w:w="3100" w:type="dxa"/>
            <w:vAlign w:val="bottom"/>
            <w:gridSpan w:val="2"/>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10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Balance at March 31, 2020</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17,084,696</w:t>
            </w:r>
          </w:p>
        </w:tc>
        <w:tc>
          <w:tcPr>
            <w:tcW w:w="200" w:type="dxa"/>
            <w:vAlign w:val="bottom"/>
            <w:tcBorders>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115,505</w:t>
            </w:r>
          </w:p>
        </w:tc>
        <w:tc>
          <w:tcPr>
            <w:tcW w:w="260" w:type="dxa"/>
            <w:vAlign w:val="bottom"/>
            <w:tcBorders>
              <w:right w:val="single" w:sz="8" w:color="auto"/>
            </w:tcBorders>
            <w:shd w:val="clear" w:color="auto" w:fill="CFF0FC"/>
          </w:tcPr>
          <w:p>
            <w:pPr>
              <w:spacing w:after="0"/>
              <w:rPr>
                <w:sz w:val="22"/>
                <w:szCs w:val="22"/>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46,890,280</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left w:val="single" w:sz="8" w:color="CFF0FC"/>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(102,650 )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(101,986 )</w:t>
            </w:r>
          </w:p>
        </w:tc>
      </w:tr>
      <w:tr>
        <w:trPr>
          <w:trHeight w:val="25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(2,714 )</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(2,714 )</w:t>
            </w:r>
          </w:p>
        </w:tc>
      </w:tr>
      <w:tr>
        <w:trPr>
          <w:trHeight w:val="20"/>
        </w:trPr>
        <w:tc>
          <w:tcPr>
            <w:tcW w:w="310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10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Balance at June 30, 2020</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17,084,696</w:t>
            </w:r>
          </w:p>
        </w:tc>
        <w:tc>
          <w:tcPr>
            <w:tcW w:w="200" w:type="dxa"/>
            <w:vAlign w:val="bottom"/>
            <w:tcBorders>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115,505</w:t>
            </w:r>
          </w:p>
        </w:tc>
        <w:tc>
          <w:tcPr>
            <w:tcW w:w="260" w:type="dxa"/>
            <w:vAlign w:val="bottom"/>
            <w:tcBorders>
              <w:right w:val="single" w:sz="8" w:color="CFF0FC"/>
            </w:tcBorders>
            <w:shd w:val="clear" w:color="auto" w:fill="CFF0FC"/>
          </w:tcPr>
          <w:p>
            <w:pPr>
              <w:spacing w:after="0"/>
              <w:rPr>
                <w:sz w:val="22"/>
                <w:szCs w:val="22"/>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46,890,280</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left w:val="single" w:sz="8" w:color="CFF0FC"/>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(105,364 )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(104,700 )</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53"/>
        </w:trPr>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Convertible Preferred</w:t>
            </w:r>
          </w:p>
        </w:tc>
        <w:tc>
          <w:tcPr>
            <w:tcW w:w="260" w:type="dxa"/>
            <w:vAlign w:val="bottom"/>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Six Months Ended June 30,</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 Members’</w:t>
            </w:r>
          </w:p>
        </w:tc>
      </w:tr>
      <w:tr>
        <w:trPr>
          <w:trHeight w:val="19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 (unaudited)</w:t>
            </w:r>
          </w:p>
        </w:tc>
        <w:tc>
          <w:tcPr>
            <w:tcW w:w="140" w:type="dxa"/>
            <w:vAlign w:val="bottom"/>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r>
      <w:tr>
        <w:trPr>
          <w:trHeight w:val="256"/>
        </w:trPr>
        <w:tc>
          <w:tcPr>
            <w:tcW w:w="310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26,745,528</w:t>
            </w:r>
          </w:p>
        </w:tc>
        <w:tc>
          <w:tcPr>
            <w:tcW w:w="38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184,714</w:t>
            </w:r>
          </w:p>
        </w:tc>
        <w:tc>
          <w:tcPr>
            <w:tcW w:w="260" w:type="dxa"/>
            <w:vAlign w:val="bottom"/>
            <w:tcBorders>
              <w:right w:val="single" w:sz="8" w:color="auto"/>
            </w:tcBorders>
            <w:shd w:val="clear" w:color="auto" w:fill="CFF0FC"/>
          </w:tcPr>
          <w:p>
            <w:pPr>
              <w:spacing w:after="0"/>
              <w:rPr>
                <w:sz w:val="22"/>
                <w:szCs w:val="22"/>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46,890,280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left w:val="single" w:sz="8" w:color="CFF0FC"/>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(114,003 )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(113,339 )</w:t>
            </w:r>
          </w:p>
        </w:tc>
      </w:tr>
      <w:tr>
        <w:trPr>
          <w:trHeight w:val="25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Issuance of Series E preferred units</w:t>
            </w:r>
          </w:p>
        </w:tc>
        <w:tc>
          <w:tcPr>
            <w:tcW w:w="1180" w:type="dxa"/>
            <w:vAlign w:val="bottom"/>
          </w:tcPr>
          <w:p>
            <w:pPr>
              <w:jc w:val="right"/>
              <w:spacing w:after="0"/>
              <w:rPr>
                <w:sz w:val="20"/>
                <w:szCs w:val="20"/>
                <w:color w:val="auto"/>
              </w:rPr>
            </w:pPr>
            <w:r>
              <w:rPr>
                <w:rFonts w:ascii="Arial" w:cs="Arial" w:eastAsia="Arial" w:hAnsi="Arial"/>
                <w:sz w:val="18"/>
                <w:szCs w:val="18"/>
                <w:color w:val="auto"/>
              </w:rPr>
              <w:t>884,276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6,320</w:t>
            </w:r>
          </w:p>
        </w:tc>
        <w:tc>
          <w:tcPr>
            <w:tcW w:w="260" w:type="dxa"/>
            <w:vAlign w:val="bottom"/>
            <w:tcBorders>
              <w:right w:val="single" w:sz="8" w:color="auto"/>
            </w:tcBorders>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310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Exercise of warrant for common</w:t>
            </w:r>
          </w:p>
        </w:tc>
        <w:tc>
          <w:tcPr>
            <w:tcW w:w="1180" w:type="dxa"/>
            <w:vAlign w:val="bottom"/>
            <w:tcBorders>
              <w:right w:val="single" w:sz="8" w:color="CFF0FC"/>
            </w:tcBorders>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spacing w:after="0"/>
              <w:rPr>
                <w:sz w:val="21"/>
                <w:szCs w:val="21"/>
                <w:color w:val="auto"/>
              </w:rPr>
            </w:pPr>
          </w:p>
        </w:tc>
        <w:tc>
          <w:tcPr>
            <w:tcW w:w="260" w:type="dxa"/>
            <w:vAlign w:val="bottom"/>
            <w:tcBorders>
              <w:right w:val="single" w:sz="8" w:color="auto"/>
            </w:tcBorders>
            <w:shd w:val="clear" w:color="auto" w:fill="CFF0FC"/>
          </w:tcPr>
          <w:p>
            <w:pPr>
              <w:spacing w:after="0"/>
              <w:rPr>
                <w:sz w:val="21"/>
                <w:szCs w:val="21"/>
                <w:color w:val="auto"/>
              </w:rPr>
            </w:pPr>
          </w:p>
        </w:tc>
        <w:tc>
          <w:tcPr>
            <w:tcW w:w="116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100" w:type="dxa"/>
            <w:vAlign w:val="bottom"/>
            <w:tcBorders>
              <w:right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units</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1"/>
                <w:szCs w:val="21"/>
                <w:color w:val="auto"/>
              </w:rPr>
            </w:pPr>
          </w:p>
        </w:tc>
      </w:tr>
      <w:tr>
        <w:trPr>
          <w:trHeight w:val="242"/>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Equity-based compensation from</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secondary sales transactions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r>
      <w:tr>
        <w:trPr>
          <w:trHeight w:val="250"/>
        </w:trPr>
        <w:tc>
          <w:tcPr>
            <w:tcW w:w="310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FF0FC"/>
            </w:tcBorders>
            <w:shd w:val="clear" w:color="auto" w:fill="CFF0FC"/>
          </w:tcPr>
          <w:p>
            <w:pPr>
              <w:spacing w:after="0"/>
              <w:rPr>
                <w:sz w:val="21"/>
                <w:szCs w:val="21"/>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(5,598 )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(5,598 )</w:t>
            </w:r>
          </w:p>
        </w:tc>
      </w:tr>
      <w:tr>
        <w:trPr>
          <w:trHeight w:val="20"/>
        </w:trPr>
        <w:tc>
          <w:tcPr>
            <w:tcW w:w="296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1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1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77"/>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Balance at March 31, 2021</w:t>
            </w:r>
          </w:p>
        </w:tc>
        <w:tc>
          <w:tcPr>
            <w:tcW w:w="1180" w:type="dxa"/>
            <w:vAlign w:val="bottom"/>
          </w:tcPr>
          <w:p>
            <w:pPr>
              <w:jc w:val="right"/>
              <w:spacing w:after="0"/>
              <w:rPr>
                <w:sz w:val="20"/>
                <w:szCs w:val="20"/>
                <w:color w:val="auto"/>
              </w:rPr>
            </w:pPr>
            <w:r>
              <w:rPr>
                <w:rFonts w:ascii="Arial" w:cs="Arial" w:eastAsia="Arial" w:hAnsi="Arial"/>
                <w:sz w:val="18"/>
                <w:szCs w:val="18"/>
                <w:color w:val="auto"/>
              </w:rPr>
              <w:t>27,629,804</w:t>
            </w:r>
          </w:p>
        </w:tc>
        <w:tc>
          <w:tcPr>
            <w:tcW w:w="200" w:type="dxa"/>
            <w:vAlign w:val="bottom"/>
          </w:tcPr>
          <w:p>
            <w:pPr>
              <w:spacing w:after="0"/>
              <w:rPr>
                <w:sz w:val="24"/>
                <w:szCs w:val="24"/>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191,034</w:t>
            </w:r>
          </w:p>
        </w:tc>
        <w:tc>
          <w:tcPr>
            <w:tcW w:w="260" w:type="dxa"/>
            <w:vAlign w:val="bottom"/>
            <w:tcBorders>
              <w:right w:val="single" w:sz="8" w:color="auto"/>
            </w:tcBorders>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46,896,280</w:t>
            </w:r>
          </w:p>
        </w:tc>
        <w:tc>
          <w:tcPr>
            <w:tcW w:w="1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(119,601 )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(118,471 )</w:t>
            </w:r>
          </w:p>
        </w:tc>
      </w:tr>
      <w:tr>
        <w:trPr>
          <w:trHeight w:val="263"/>
        </w:trPr>
        <w:tc>
          <w:tcPr>
            <w:tcW w:w="310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Equity-based compensation</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FF0FC"/>
          </w:tcPr>
          <w:p>
            <w:pPr>
              <w:spacing w:after="0"/>
              <w:rPr>
                <w:sz w:val="22"/>
                <w:szCs w:val="22"/>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left w:val="single" w:sz="8" w:color="CFF0FC"/>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FF0FC"/>
          </w:tcPr>
          <w:p>
            <w:pPr>
              <w:spacing w:after="0"/>
              <w:rPr>
                <w:sz w:val="22"/>
                <w:szCs w:val="22"/>
                <w:color w:val="auto"/>
              </w:rPr>
            </w:pPr>
          </w:p>
        </w:tc>
      </w:tr>
      <w:tr>
        <w:trPr>
          <w:trHeight w:val="25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(5,485 )</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(5,485 )</w:t>
            </w:r>
          </w:p>
        </w:tc>
      </w:tr>
      <w:tr>
        <w:trPr>
          <w:trHeight w:val="20"/>
        </w:trPr>
        <w:tc>
          <w:tcPr>
            <w:tcW w:w="310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10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Balance at June 30, 2021</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27,629,804</w:t>
            </w:r>
          </w:p>
        </w:tc>
        <w:tc>
          <w:tcPr>
            <w:tcW w:w="200" w:type="dxa"/>
            <w:vAlign w:val="bottom"/>
            <w:tcBorders>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jc w:val="right"/>
              <w:ind w:right="18"/>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191,034</w:t>
            </w:r>
          </w:p>
        </w:tc>
        <w:tc>
          <w:tcPr>
            <w:tcW w:w="260" w:type="dxa"/>
            <w:vAlign w:val="bottom"/>
            <w:tcBorders>
              <w:right w:val="single" w:sz="8" w:color="CFF0FC"/>
            </w:tcBorders>
            <w:shd w:val="clear" w:color="auto" w:fill="CFF0FC"/>
          </w:tcPr>
          <w:p>
            <w:pPr>
              <w:spacing w:after="0"/>
              <w:rPr>
                <w:sz w:val="22"/>
                <w:szCs w:val="22"/>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46,896,280</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20" w:type="dxa"/>
            <w:vAlign w:val="bottom"/>
            <w:tcBorders>
              <w:left w:val="single" w:sz="8" w:color="CFF0FC"/>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(125,086 )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(123,674 )</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1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1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-3115310</wp:posOffset>
            </wp:positionV>
            <wp:extent cx="33655"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-2416810</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-2399665</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-2780665</wp:posOffset>
            </wp:positionV>
            <wp:extent cx="123825" cy="402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3825" cy="4025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-2416810</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-2399665</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-2416810</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-2399665</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-2416810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-2399665</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-2416810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-2399665</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-2232660</wp:posOffset>
            </wp:positionV>
            <wp:extent cx="3429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1148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-725170</wp:posOffset>
            </wp:positionV>
            <wp:extent cx="12890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-903605</wp:posOffset>
            </wp:positionV>
            <wp:extent cx="123825"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825" cy="1968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-725170</wp:posOffset>
            </wp:positionV>
            <wp:extent cx="12890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-725170</wp:posOffset>
            </wp:positionV>
            <wp:extent cx="12001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-725170</wp:posOffset>
            </wp:positionV>
            <wp:extent cx="12890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-725170</wp:posOffset>
            </wp:positionV>
            <wp:extent cx="5969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-24765</wp:posOffset>
            </wp:positionV>
            <wp:extent cx="1289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-8255</wp:posOffset>
            </wp:positionV>
            <wp:extent cx="1289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-389255</wp:posOffset>
            </wp:positionV>
            <wp:extent cx="123825" cy="402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3825" cy="4025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1289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1289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120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1200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1289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1289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6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5"/>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(11,083 )</w:t>
            </w: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(8,064 )</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Equity-based compensation expense</w:t>
            </w:r>
          </w:p>
        </w:tc>
        <w:tc>
          <w:tcPr>
            <w:tcW w:w="102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Pr>
          <w:p>
            <w:pPr>
              <w:ind w:left="280"/>
              <w:spacing w:after="0"/>
              <w:rPr>
                <w:sz w:val="20"/>
                <w:szCs w:val="20"/>
                <w:color w:val="auto"/>
              </w:rPr>
            </w:pPr>
            <w:r>
              <w:rPr>
                <w:rFonts w:ascii="Arial" w:cs="Arial" w:eastAsia="Arial" w:hAnsi="Arial"/>
                <w:sz w:val="18"/>
                <w:szCs w:val="18"/>
                <w:color w:val="auto"/>
              </w:rPr>
              <w:t>Change in fair value of preferred unit warrant liability</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(655 )</w:t>
            </w:r>
          </w:p>
        </w:tc>
      </w:tr>
      <w:tr>
        <w:trPr>
          <w:trHeight w:val="263"/>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(79 )</w:t>
            </w:r>
          </w:p>
        </w:tc>
      </w:tr>
      <w:tr>
        <w:trPr>
          <w:trHeight w:val="250"/>
        </w:trPr>
        <w:tc>
          <w:tcPr>
            <w:tcW w:w="764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102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(3,000 )</w:t>
            </w:r>
          </w:p>
        </w:tc>
      </w:tr>
      <w:tr>
        <w:trPr>
          <w:trHeight w:val="263"/>
        </w:trPr>
        <w:tc>
          <w:tcPr>
            <w:tcW w:w="7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Related party receivable</w:t>
            </w:r>
          </w:p>
        </w:tc>
        <w:tc>
          <w:tcPr>
            <w:tcW w:w="10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(15 )</w:t>
            </w:r>
          </w:p>
        </w:tc>
      </w:tr>
      <w:tr>
        <w:trPr>
          <w:trHeight w:val="250"/>
        </w:trPr>
        <w:tc>
          <w:tcPr>
            <w:tcW w:w="764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Accrued expenses</w:t>
            </w:r>
          </w:p>
        </w:tc>
        <w:tc>
          <w:tcPr>
            <w:tcW w:w="102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(310 )</w:t>
            </w:r>
          </w:p>
        </w:tc>
      </w:tr>
      <w:tr>
        <w:trPr>
          <w:trHeight w:val="250"/>
        </w:trPr>
        <w:tc>
          <w:tcPr>
            <w:tcW w:w="7640" w:type="dxa"/>
            <w:vAlign w:val="bottom"/>
          </w:tcPr>
          <w:p>
            <w:pPr>
              <w:ind w:left="520"/>
              <w:spacing w:after="0"/>
              <w:rPr>
                <w:sz w:val="20"/>
                <w:szCs w:val="20"/>
                <w:color w:val="auto"/>
              </w:rPr>
            </w:pPr>
            <w:r>
              <w:rPr>
                <w:rFonts w:ascii="Arial" w:cs="Arial" w:eastAsia="Arial" w:hAnsi="Arial"/>
                <w:sz w:val="18"/>
                <w:szCs w:val="18"/>
                <w:color w:val="auto"/>
              </w:rPr>
              <w:t>Related party payable</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738</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(1,629 )</w:t>
            </w:r>
          </w:p>
        </w:tc>
      </w:tr>
      <w:tr>
        <w:trPr>
          <w:trHeight w:val="257"/>
        </w:trPr>
        <w:tc>
          <w:tcPr>
            <w:tcW w:w="7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Deferred revenue</w:t>
            </w:r>
          </w:p>
        </w:tc>
        <w:tc>
          <w:tcPr>
            <w:tcW w:w="10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(2,717 )</w:t>
            </w: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FF0FC"/>
          </w:tcPr>
          <w:p>
            <w:pPr>
              <w:spacing w:after="0"/>
              <w:rPr>
                <w:sz w:val="22"/>
                <w:szCs w:val="22"/>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40" w:type="dxa"/>
            <w:vAlign w:val="bottom"/>
          </w:tcPr>
          <w:p>
            <w:pPr>
              <w:ind w:left="78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(9,676 )</w:t>
            </w:r>
          </w:p>
        </w:tc>
        <w:tc>
          <w:tcPr>
            <w:tcW w:w="102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(8,930 )</w:t>
            </w: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(235 )</w:t>
            </w:r>
          </w:p>
        </w:tc>
        <w:tc>
          <w:tcPr>
            <w:tcW w:w="102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(944 )</w:t>
            </w:r>
          </w:p>
        </w:tc>
      </w:tr>
      <w:tr>
        <w:trPr>
          <w:trHeight w:val="20"/>
        </w:trPr>
        <w:tc>
          <w:tcPr>
            <w:tcW w:w="7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40" w:type="dxa"/>
            <w:vAlign w:val="bottom"/>
            <w:shd w:val="clear" w:color="auto" w:fill="CFF0FC"/>
          </w:tcPr>
          <w:p>
            <w:pPr>
              <w:ind w:left="78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(235 )</w:t>
            </w:r>
          </w:p>
        </w:tc>
        <w:tc>
          <w:tcPr>
            <w:tcW w:w="10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(944 )</w:t>
            </w: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preferred units, net of issuance costs</w:t>
            </w:r>
          </w:p>
        </w:tc>
        <w:tc>
          <w:tcPr>
            <w:tcW w:w="102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6,320</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Proceeds from exercise of warrants for common units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the Paycheck Protection Program Loan</w:t>
            </w:r>
          </w:p>
        </w:tc>
        <w:tc>
          <w:tcPr>
            <w:tcW w:w="10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Payment of deferred financing costs</w:t>
            </w:r>
          </w:p>
        </w:tc>
        <w:tc>
          <w:tcPr>
            <w:tcW w:w="10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(1,885 )</w:t>
            </w:r>
          </w:p>
        </w:tc>
        <w:tc>
          <w:tcPr>
            <w:tcW w:w="10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and interest repayments from related party for note receivable</w:t>
            </w:r>
          </w:p>
        </w:tc>
        <w:tc>
          <w:tcPr>
            <w:tcW w:w="102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Borders>
              <w:top w:val="single" w:sz="8" w:color="CFF0FC"/>
            </w:tcBorders>
          </w:tcPr>
          <w:p>
            <w:pPr>
              <w:ind w:left="78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280" w:type="dxa"/>
            <w:vAlign w:val="bottom"/>
            <w:tcBorders>
              <w:top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top w:val="single" w:sz="8" w:color="CFF0FC"/>
            </w:tcBorders>
          </w:tcPr>
          <w:p>
            <w:pPr>
              <w:spacing w:after="0"/>
              <w:rPr>
                <w:sz w:val="21"/>
                <w:szCs w:val="21"/>
                <w:color w:val="auto"/>
              </w:rPr>
            </w:pPr>
          </w:p>
        </w:tc>
      </w:tr>
      <w:tr>
        <w:trPr>
          <w:trHeight w:val="257"/>
        </w:trPr>
        <w:tc>
          <w:tcPr>
            <w:tcW w:w="7640" w:type="dxa"/>
            <w:vAlign w:val="bottom"/>
            <w:shd w:val="clear" w:color="auto" w:fill="CFF0FC"/>
          </w:tcPr>
          <w:p>
            <w:pPr>
              <w:ind w:left="780"/>
              <w:spacing w:after="0"/>
              <w:rPr>
                <w:sz w:val="20"/>
                <w:szCs w:val="20"/>
                <w:color w:val="auto"/>
              </w:rPr>
            </w:pPr>
            <w:r>
              <w:rPr>
                <w:rFonts w:ascii="Arial" w:cs="Arial" w:eastAsia="Arial" w:hAnsi="Arial"/>
                <w:sz w:val="18"/>
                <w:szCs w:val="18"/>
                <w:color w:val="auto"/>
              </w:rPr>
              <w:t>Net decrease in cash and cash equivalents</w:t>
            </w:r>
          </w:p>
        </w:tc>
        <w:tc>
          <w:tcPr>
            <w:tcW w:w="10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(3,744 )</w:t>
            </w:r>
          </w:p>
        </w:tc>
        <w:tc>
          <w:tcPr>
            <w:tcW w:w="102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(8,620 )</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0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73,058</w:t>
            </w:r>
          </w:p>
        </w:tc>
        <w:tc>
          <w:tcPr>
            <w:tcW w:w="2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16,536</w:t>
            </w:r>
          </w:p>
        </w:tc>
        <w:tc>
          <w:tcPr>
            <w:tcW w:w="100" w:type="dxa"/>
            <w:vAlign w:val="bottom"/>
          </w:tcPr>
          <w:p>
            <w:pPr>
              <w:spacing w:after="0"/>
              <w:rPr>
                <w:sz w:val="21"/>
                <w:szCs w:val="21"/>
                <w:color w:val="auto"/>
              </w:rPr>
            </w:pP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020" w:type="dxa"/>
            <w:vAlign w:val="bottom"/>
            <w:tcBorders>
              <w:bottom w:val="single" w:sz="8" w:color="auto"/>
            </w:tcBorders>
            <w:shd w:val="clear" w:color="auto" w:fill="CFF0FC"/>
          </w:tcPr>
          <w:p>
            <w:pPr>
              <w:jc w:val="right"/>
              <w:ind w:right="81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69,314</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1020" w:type="dxa"/>
            <w:vAlign w:val="bottom"/>
            <w:shd w:val="clear" w:color="auto" w:fill="CFF0FC"/>
          </w:tcPr>
          <w:p>
            <w:pPr>
              <w:jc w:val="right"/>
              <w:ind w:right="81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33"/>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1020" w:type="dxa"/>
            <w:vAlign w:val="bottom"/>
            <w:shd w:val="clear" w:color="auto" w:fill="CFF0FC"/>
          </w:tcPr>
          <w:p>
            <w:pPr>
              <w:jc w:val="right"/>
              <w:ind w:right="815"/>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22"/>
                <w:szCs w:val="22"/>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Deferred financing costs included in accounts payable and accrued expenses</w:t>
            </w:r>
          </w:p>
        </w:tc>
        <w:tc>
          <w:tcPr>
            <w:tcW w:w="1020" w:type="dxa"/>
            <w:vAlign w:val="bottom"/>
          </w:tcPr>
          <w:p>
            <w:pPr>
              <w:jc w:val="right"/>
              <w:ind w:right="81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1,527</w:t>
            </w:r>
          </w:p>
        </w:tc>
        <w:tc>
          <w:tcPr>
            <w:tcW w:w="280" w:type="dxa"/>
            <w:vAlign w:val="bottom"/>
          </w:tcPr>
          <w:p>
            <w:pPr>
              <w:spacing w:after="0"/>
              <w:rPr>
                <w:sz w:val="21"/>
                <w:szCs w:val="21"/>
                <w:color w:val="auto"/>
              </w:rPr>
            </w:pP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-3168015</wp:posOffset>
            </wp:positionV>
            <wp:extent cx="17145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-3168015</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-2491105</wp:posOffset>
            </wp:positionV>
            <wp:extent cx="17145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-2491105</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-1504950</wp:posOffset>
            </wp:positionV>
            <wp:extent cx="17145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-1504950</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-831215</wp:posOffset>
            </wp:positionV>
            <wp:extent cx="1714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-814070</wp:posOffset>
            </wp:positionV>
            <wp:extent cx="1714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39" w:lineRule="exact"/>
        <w:rPr>
          <w:sz w:val="20"/>
          <w:szCs w:val="20"/>
          <w:color w:val="auto"/>
        </w:rPr>
      </w:pPr>
    </w:p>
    <w:p>
      <w:pPr>
        <w:ind w:right="280" w:firstLine="1018"/>
        <w:spacing w:after="0" w:line="290" w:lineRule="auto"/>
        <w:rPr>
          <w:sz w:val="20"/>
          <w:szCs w:val="20"/>
          <w:color w:val="auto"/>
        </w:rPr>
      </w:pPr>
      <w:r>
        <w:rPr>
          <w:rFonts w:ascii="Arial" w:cs="Arial" w:eastAsia="Arial" w:hAnsi="Arial"/>
          <w:sz w:val="17"/>
          <w:szCs w:val="17"/>
          <w:color w:val="auto"/>
        </w:rPr>
        <w:t>Rani Therapeutics, LLC (“Rani” or the “Company”) is a clinical stage biotherapeutics company advancing technologies to enable the development of orally administered biologics. The Company has developed the RaniPill capsule, which is a novel, proprietary and patented platform technology, intended to replace subcutaneous or intravenous injection of biologics with oral dosing. The Company was organized under the laws of the State of California in February 2012, as a limited liability company. The Company is managed by a board of managers (“Board of Managers”) as prescribed by its operating agreement. The Company formed a wholly-owned subsidiary, Rani Management Services, Inc. (“RMS”) in November 2019. The Company is headquartered in San Jose, California and operates in one segment.</w:t>
      </w:r>
    </w:p>
    <w:p>
      <w:pPr>
        <w:spacing w:after="0" w:line="176" w:lineRule="exact"/>
        <w:rPr>
          <w:sz w:val="20"/>
          <w:szCs w:val="20"/>
          <w:color w:val="auto"/>
        </w:rPr>
      </w:pPr>
    </w:p>
    <w:p>
      <w:pPr>
        <w:ind w:right="140" w:firstLine="1018"/>
        <w:spacing w:after="0" w:line="319" w:lineRule="auto"/>
        <w:rPr>
          <w:sz w:val="20"/>
          <w:szCs w:val="20"/>
          <w:color w:val="auto"/>
        </w:rPr>
      </w:pPr>
      <w:r>
        <w:rPr>
          <w:rFonts w:ascii="Arial" w:cs="Arial" w:eastAsia="Arial" w:hAnsi="Arial"/>
          <w:sz w:val="16"/>
          <w:szCs w:val="16"/>
          <w:color w:val="auto"/>
        </w:rPr>
        <w:t>Up to December 31, 2019, Rani maintained no employees of its own and contracted with InCube Labs, LLC (“ICL”), the majority common unit holder of the Company and a related party, to provide research, development and administrative services. ICL and Rani have common management and interest holders and, in the course of performing under the terms of the service agreements, ICL employees acted on behalf of Rani. Effective January 1, 2020, the ICL personnel that were substantially dedicated to providing services to Rani were hired by RMS as full-time employees (see Note 6).</w:t>
      </w:r>
    </w:p>
    <w:p>
      <w:pPr>
        <w:spacing w:after="0" w:line="156" w:lineRule="exact"/>
        <w:rPr>
          <w:sz w:val="20"/>
          <w:szCs w:val="20"/>
          <w:color w:val="auto"/>
        </w:rPr>
      </w:pPr>
    </w:p>
    <w:p>
      <w:pPr>
        <w:ind w:right="40" w:firstLine="1018"/>
        <w:spacing w:after="0" w:line="296" w:lineRule="auto"/>
        <w:rPr>
          <w:sz w:val="20"/>
          <w:szCs w:val="20"/>
          <w:color w:val="auto"/>
        </w:rPr>
      </w:pPr>
      <w:r>
        <w:rPr>
          <w:rFonts w:ascii="Arial" w:cs="Arial" w:eastAsia="Arial" w:hAnsi="Arial"/>
          <w:sz w:val="17"/>
          <w:szCs w:val="17"/>
          <w:color w:val="auto"/>
        </w:rPr>
        <w:t>Rani Therapeutics Holdings, Inc. (“Rani Holdings”) was incorporated in April 2021 for the purpose of facilitating an initial public offering in order to carry on the Company’s business. In August 2021, Rani Holdings closed its initial public offering (the “Offering” or "IPO") of 7,666,667 million shares of Class A common stock, including shares issued pursuant to the exercise in full of the underwriters’ option, for cash consideration of $11.00 per share and received approximately $73.7 million in net proceeds, after deducting underwriting discounts, offering costs and commissions.</w:t>
      </w:r>
    </w:p>
    <w:p>
      <w:pPr>
        <w:spacing w:after="0" w:line="170" w:lineRule="exact"/>
        <w:rPr>
          <w:sz w:val="20"/>
          <w:szCs w:val="20"/>
          <w:color w:val="auto"/>
        </w:rPr>
      </w:pPr>
    </w:p>
    <w:p>
      <w:pPr>
        <w:ind w:right="40" w:firstLine="1018"/>
        <w:spacing w:after="0" w:line="279" w:lineRule="auto"/>
        <w:rPr>
          <w:sz w:val="20"/>
          <w:szCs w:val="20"/>
          <w:color w:val="auto"/>
        </w:rPr>
      </w:pPr>
      <w:r>
        <w:rPr>
          <w:rFonts w:ascii="Arial" w:cs="Arial" w:eastAsia="Arial" w:hAnsi="Arial"/>
          <w:sz w:val="18"/>
          <w:szCs w:val="18"/>
          <w:color w:val="auto"/>
        </w:rPr>
        <w:t>In connection with the Offering, Rani Holdings became a holding company and its principal asset is the Class A common units of Rani that it owns. As the sole managing member of the Company, Rani Holdings operates and controls all of the Company’s operations, and through Rani and its subsidiary, conducts all of Rani’s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39" w:lineRule="exact"/>
        <w:rPr>
          <w:sz w:val="20"/>
          <w:szCs w:val="20"/>
          <w:color w:val="auto"/>
        </w:rPr>
      </w:pPr>
    </w:p>
    <w:p>
      <w:pPr>
        <w:ind w:right="20" w:firstLine="1018"/>
        <w:spacing w:after="0" w:line="285" w:lineRule="auto"/>
        <w:rPr>
          <w:sz w:val="20"/>
          <w:szCs w:val="20"/>
          <w:color w:val="auto"/>
        </w:rPr>
      </w:pPr>
      <w:r>
        <w:rPr>
          <w:rFonts w:ascii="Arial" w:cs="Arial" w:eastAsia="Arial" w:hAnsi="Arial"/>
          <w:sz w:val="17"/>
          <w:szCs w:val="17"/>
          <w:color w:val="auto"/>
        </w:rPr>
        <w:t>The Company has incurred recurring losses since its inception, including net losses of $11.1 million for the six months ended June 30, 2021. As of June 30, 2021, the Company had an accumulated deficit of $125.1 million and for the six months ended June 30, 2021 had negative cash flows from operations of $9.7 million. The Company expects to continue to generate operating losses and negative operating cash flows for the foreseeable future as it continues to develop the RaniPill capsule. The Company expects that its cash and cash equivalents of $69.3 million as of June 30, 2021 and net proceeds of $73.7 million from the Offering will be sufficient to fund its operations through at least one year from the date the condensed consolidated financial statements are issued. The Company expects to finance its future operations with its existing cash and through strategic financing opportunities that could include, but are not limited to, future offerings of its equity, collaboration or licensing agreements, or the incurrence of debt. However, there is no guarantee that any of these strategic or financing opportunities will be executed or realized on favorable terms, if at all, and some could be dilutive to existing stockholders and holders of interests in the Company.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85" w:lineRule="exact"/>
        <w:rPr>
          <w:sz w:val="20"/>
          <w:szCs w:val="20"/>
          <w:color w:val="auto"/>
        </w:rPr>
      </w:pPr>
    </w:p>
    <w:p>
      <w:pPr>
        <w:ind w:right="60" w:firstLine="1018"/>
        <w:spacing w:after="0" w:line="303" w:lineRule="auto"/>
        <w:rPr>
          <w:sz w:val="20"/>
          <w:szCs w:val="20"/>
          <w:color w:val="auto"/>
        </w:rPr>
      </w:pPr>
      <w:r>
        <w:rPr>
          <w:rFonts w:ascii="Arial" w:cs="Arial" w:eastAsia="Arial" w:hAnsi="Arial"/>
          <w:sz w:val="17"/>
          <w:szCs w:val="17"/>
          <w:color w:val="auto"/>
        </w:rPr>
        <w:t>The Company’s ability to raise additional capital through either the issuance of equity or debt, is dependent on a number of factors including, but not limited to, the demand for the Company, which itself is subject to a number of development and business risks and uncertainties, as well as the uncertainty that the Company would be able to raise such additional capital at a price or on terms that are favorable to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9" w:lineRule="exact"/>
        <w:rPr>
          <w:sz w:val="20"/>
          <w:szCs w:val="20"/>
          <w:color w:val="auto"/>
        </w:rPr>
      </w:pPr>
    </w:p>
    <w:p>
      <w:pPr>
        <w:jc w:val="both"/>
        <w:ind w:right="280" w:firstLine="1018"/>
        <w:spacing w:after="0" w:line="279" w:lineRule="auto"/>
        <w:rPr>
          <w:sz w:val="20"/>
          <w:szCs w:val="20"/>
          <w:color w:val="auto"/>
        </w:rPr>
      </w:pPr>
      <w:r>
        <w:rPr>
          <w:rFonts w:ascii="Arial" w:cs="Arial" w:eastAsia="Arial" w:hAnsi="Arial"/>
          <w:sz w:val="18"/>
          <w:szCs w:val="18"/>
          <w:color w:val="auto"/>
        </w:rPr>
        <w:t>These condensed consolidated financial statements have been prepared in accordance with accounting principles generally accepted in the United States of America (“U.S. GAAP”). The condensed consolidated financial statements include the accounts of the Company and its wholly owned subsidiary. All intercompany accounts and transactions have been eliminated in consolidation.</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39" w:lineRule="exact"/>
        <w:rPr>
          <w:sz w:val="20"/>
          <w:szCs w:val="20"/>
          <w:color w:val="auto"/>
        </w:rPr>
      </w:pPr>
    </w:p>
    <w:p>
      <w:pPr>
        <w:ind w:right="80" w:firstLine="1018"/>
        <w:spacing w:after="0" w:line="304" w:lineRule="auto"/>
        <w:rPr>
          <w:sz w:val="20"/>
          <w:szCs w:val="20"/>
          <w:color w:val="auto"/>
        </w:rPr>
      </w:pPr>
      <w:r>
        <w:rPr>
          <w:rFonts w:ascii="Arial" w:cs="Arial" w:eastAsia="Arial" w:hAnsi="Arial"/>
          <w:sz w:val="16"/>
          <w:szCs w:val="16"/>
          <w:color w:val="auto"/>
        </w:rPr>
        <w:t>The accompanying condensed consolidated balance sheet at June 30, 2021, condensed consolidated statements of operations and comprehensive loss and condensed consolidated statements of changes in convertible preferred units and members’ deficit for the three-month and six-month periods ended June 30, 2021 and 2020 and the condensed consolidated statements of cash flows for the six-month periods ended June 30, 2021 and 2020 are unaudited. In management’s opinion, the unaudited condensed consolidated financial statements have been prepared on the same basis as the audited annual consolidated financial statements, and include all adjustments necessary to state fairly the financial position as of June 30, 2021, the results of its operations for the three and six months ended June 30, 2021 and 2020 and the condensed consolidated statement of changes in convertible preferred units and members’ deficit for the three months and six months ended June 30, 2021 and 2020. The consolidated balance sheet as of December 31, 2020 included herein was derived from the audited consolidated financial statements as of that date. The results for the three months and six months ended June 30, 2021 are not necessarily indicative of the operating results to be expected for the full fiscal year or any future period. Certain information and footnote disclosures normally included in annual financial statements prepared in accordance with GAAP have been condensed or omitted. Therefore, these interim condensed financial statements should be read in conjunction with the Company’s audited consolidated financial statements included in Rani Holdings' Registration Statement on Form S-1 (No. 333-257809) filed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9" w:lineRule="exact"/>
        <w:rPr>
          <w:sz w:val="20"/>
          <w:szCs w:val="20"/>
          <w:color w:val="auto"/>
        </w:rPr>
      </w:pPr>
    </w:p>
    <w:p>
      <w:pPr>
        <w:ind w:right="220" w:firstLine="1018"/>
        <w:spacing w:after="0" w:line="309"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Significant estimates include, but are not limited to, recovery of long-lived assets, unvested equity-based compensation expense, research and development accruals, the fair value of Profits Interests, and the fair value of the Company’s preferred unit warrants. Actual results may differ materially and adversely from these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9" w:lineRule="exact"/>
        <w:rPr>
          <w:sz w:val="20"/>
          <w:szCs w:val="20"/>
          <w:color w:val="auto"/>
        </w:rPr>
      </w:pPr>
    </w:p>
    <w:p>
      <w:pPr>
        <w:ind w:right="440" w:firstLine="1018"/>
        <w:spacing w:after="0" w:line="293" w:lineRule="auto"/>
        <w:rPr>
          <w:sz w:val="20"/>
          <w:szCs w:val="20"/>
          <w:color w:val="auto"/>
        </w:rPr>
      </w:pPr>
      <w:r>
        <w:rPr>
          <w:rFonts w:ascii="Arial" w:cs="Arial" w:eastAsia="Arial" w:hAnsi="Arial"/>
          <w:sz w:val="18"/>
          <w:szCs w:val="18"/>
          <w:color w:val="auto"/>
        </w:rPr>
        <w:t>The Company enters into evaluation arrangements with certain pharmaceutical partners, under which the Company performs evaluation services of the partner’s drug molecules using the RaniPill capsule.</w:t>
      </w:r>
    </w:p>
    <w:p>
      <w:pPr>
        <w:spacing w:after="0" w:line="170" w:lineRule="exact"/>
        <w:rPr>
          <w:sz w:val="20"/>
          <w:szCs w:val="20"/>
          <w:color w:val="auto"/>
        </w:rPr>
      </w:pPr>
    </w:p>
    <w:p>
      <w:pPr>
        <w:ind w:right="40" w:firstLine="1018"/>
        <w:spacing w:after="0" w:line="272"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91"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 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78" w:lineRule="exact"/>
        <w:rPr>
          <w:sz w:val="20"/>
          <w:szCs w:val="20"/>
          <w:color w:val="auto"/>
        </w:rPr>
      </w:pPr>
    </w:p>
    <w:p>
      <w:pPr>
        <w:ind w:firstLine="1018"/>
        <w:spacing w:after="0" w:line="299" w:lineRule="auto"/>
        <w:rPr>
          <w:sz w:val="20"/>
          <w:szCs w:val="20"/>
          <w:color w:val="auto"/>
        </w:rPr>
      </w:pPr>
      <w:r>
        <w:rPr>
          <w:rFonts w:ascii="Arial" w:cs="Arial" w:eastAsia="Arial" w:hAnsi="Arial"/>
          <w:sz w:val="16"/>
          <w:szCs w:val="16"/>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ind w:right="460"/>
        <w:spacing w:after="0" w:line="293" w:lineRule="auto"/>
        <w:rPr>
          <w:sz w:val="20"/>
          <w:szCs w:val="20"/>
          <w:color w:val="auto"/>
        </w:rPr>
      </w:pPr>
      <w:r>
        <w:rPr>
          <w:rFonts w:ascii="Arial" w:cs="Arial" w:eastAsia="Arial" w:hAnsi="Arial"/>
          <w:sz w:val="18"/>
          <w:szCs w:val="18"/>
          <w:color w:val="auto"/>
        </w:rPr>
        <w:t>recognized as revenue when the licensee exercises the option. The exercise of an option that does not represent a material right is treated as a separate contract for accounting purposes.</w:t>
      </w:r>
    </w:p>
    <w:p>
      <w:pPr>
        <w:spacing w:after="0" w:line="170"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 estimates are based on the Company’s reasonable assumptions and its historical experience. Actual results may differ materially and adversely from these estimates.</w:t>
      </w:r>
    </w:p>
    <w:p>
      <w:pPr>
        <w:spacing w:after="0" w:line="191" w:lineRule="exact"/>
        <w:rPr>
          <w:sz w:val="20"/>
          <w:szCs w:val="20"/>
          <w:color w:val="auto"/>
        </w:rPr>
      </w:pPr>
    </w:p>
    <w:p>
      <w:pPr>
        <w:ind w:firstLine="1018"/>
        <w:spacing w:after="0" w:line="279"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3" w:lineRule="exact"/>
        <w:rPr>
          <w:sz w:val="20"/>
          <w:szCs w:val="20"/>
          <w:color w:val="auto"/>
        </w:rPr>
      </w:pPr>
    </w:p>
    <w:p>
      <w:pPr>
        <w:ind w:right="120" w:firstLine="1018"/>
        <w:spacing w:after="0" w:line="359"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a contract receivable when it has an unconditional right to consideration. No contract assets balance was recorded as of June 30, 2021 and December 31, 2020.</w:t>
      </w:r>
    </w:p>
    <w:p>
      <w:pPr>
        <w:spacing w:after="0" w:line="125" w:lineRule="exact"/>
        <w:rPr>
          <w:sz w:val="20"/>
          <w:szCs w:val="20"/>
          <w:color w:val="auto"/>
        </w:rPr>
      </w:pPr>
    </w:p>
    <w:p>
      <w:pPr>
        <w:ind w:right="280" w:firstLine="1018"/>
        <w:spacing w:after="0" w:line="279"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2020 the Company had deferred revenue of $2.7 million. There was no deferred revenue as of June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39" w:lineRule="exact"/>
        <w:rPr>
          <w:sz w:val="20"/>
          <w:szCs w:val="20"/>
          <w:color w:val="auto"/>
        </w:rPr>
      </w:pPr>
    </w:p>
    <w:p>
      <w:pPr>
        <w:ind w:firstLine="1018"/>
        <w:spacing w:after="0" w:line="319"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56" w:lineRule="exact"/>
        <w:rPr>
          <w:sz w:val="20"/>
          <w:szCs w:val="20"/>
          <w:color w:val="auto"/>
        </w:rPr>
      </w:pPr>
    </w:p>
    <w:p>
      <w:pPr>
        <w:ind w:right="60" w:firstLine="1018"/>
        <w:spacing w:after="0" w:line="286" w:lineRule="auto"/>
        <w:rPr>
          <w:sz w:val="20"/>
          <w:szCs w:val="20"/>
          <w:color w:val="auto"/>
        </w:rPr>
      </w:pPr>
      <w:r>
        <w:rPr>
          <w:rFonts w:ascii="Arial" w:cs="Arial" w:eastAsia="Arial" w:hAnsi="Arial"/>
          <w:sz w:val="17"/>
          <w:szCs w:val="17"/>
          <w:color w:val="auto"/>
        </w:rPr>
        <w:t>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impacted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To date, the Company has not incurred impairment losses in the carrying values of its assets as a result of the pandemic and is not aware of any specific related event or circumstances that would require the Company to revise its estimates reflected in these condensed consolidated financial statements.</w:t>
      </w:r>
    </w:p>
    <w:p>
      <w:pPr>
        <w:spacing w:after="0" w:line="182" w:lineRule="exact"/>
        <w:rPr>
          <w:sz w:val="20"/>
          <w:szCs w:val="20"/>
          <w:color w:val="auto"/>
        </w:rPr>
      </w:pPr>
    </w:p>
    <w:p>
      <w:pPr>
        <w:ind w:right="60" w:firstLine="1018"/>
        <w:spacing w:after="0" w:line="287" w:lineRule="auto"/>
        <w:rPr>
          <w:sz w:val="20"/>
          <w:szCs w:val="20"/>
          <w:color w:val="auto"/>
        </w:rPr>
      </w:pPr>
      <w:r>
        <w:rPr>
          <w:rFonts w:ascii="Arial" w:cs="Arial" w:eastAsia="Arial" w:hAnsi="Arial"/>
          <w:sz w:val="17"/>
          <w:szCs w:val="17"/>
          <w:color w:val="auto"/>
        </w:rPr>
        <w:t>The Company cannot be certain what the overall impact of the COVID-19 pandemic will be on its business and prospects. The extent to which the COVID-19 pandemic will further directly or indirectly impact its business, results of operations, financial condition, and liquidity, including planned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impacted for an extended period, the Company’s business, financial condition, results of operations and prospects may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ind w:right="160" w:firstLine="1018"/>
        <w:spacing w:after="0" w:line="26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ind w:right="180"/>
        <w:spacing w:after="0" w:line="293" w:lineRule="auto"/>
        <w:rPr>
          <w:sz w:val="20"/>
          <w:szCs w:val="20"/>
          <w:color w:val="auto"/>
        </w:rPr>
      </w:pPr>
      <w:r>
        <w:rPr>
          <w:rFonts w:ascii="Arial" w:cs="Arial" w:eastAsia="Arial" w:hAnsi="Arial"/>
          <w:sz w:val="18"/>
          <w:szCs w:val="18"/>
          <w:color w:val="auto"/>
        </w:rPr>
        <w:t>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9" w:lineRule="exact"/>
        <w:rPr>
          <w:sz w:val="20"/>
          <w:szCs w:val="20"/>
          <w:color w:val="auto"/>
        </w:rPr>
      </w:pPr>
    </w:p>
    <w:p>
      <w:pPr>
        <w:ind w:left="1020" w:right="40"/>
        <w:spacing w:after="0" w:line="279"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sz w:val="20"/>
          <w:szCs w:val="20"/>
          <w:color w:val="auto"/>
        </w:rPr>
      </w:pPr>
    </w:p>
    <w:p>
      <w:pPr>
        <w:ind w:left="1020" w:right="280"/>
        <w:spacing w:after="0" w:line="293"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right="60" w:firstLine="1018"/>
        <w:spacing w:after="0" w:line="279" w:lineRule="auto"/>
        <w:rPr>
          <w:sz w:val="20"/>
          <w:szCs w:val="20"/>
          <w:color w:val="auto"/>
        </w:rPr>
      </w:pPr>
      <w:r>
        <w:rPr>
          <w:rFonts w:ascii="Arial" w:cs="Arial" w:eastAsia="Arial" w:hAnsi="Arial"/>
          <w:sz w:val="18"/>
          <w:szCs w:val="18"/>
          <w:color w:val="auto"/>
        </w:rPr>
        <w:t>The carrying values of the Company’s cash equivalents, prepaid expenses, accounts payable, and accruals approximate their fair value due to their short-term nature. The fair value of the Company’s long-term debt approximates its carrying value based on borrowing rates currently available to the Company for debt with similar terms and maturities (Level 2 inputs).</w:t>
      </w:r>
    </w:p>
    <w:p>
      <w:pPr>
        <w:spacing w:after="0" w:line="183" w:lineRule="exact"/>
        <w:rPr>
          <w:sz w:val="20"/>
          <w:szCs w:val="20"/>
          <w:color w:val="auto"/>
        </w:rPr>
      </w:pPr>
    </w:p>
    <w:p>
      <w:pPr>
        <w:ind w:right="40" w:firstLine="1018"/>
        <w:spacing w:after="0" w:line="275"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(see Note 3). A financial instrument’s level within the fair value hierarchy is based on the lowest level of any input that is significant to the fair value of the instrument.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39" w:lineRule="exact"/>
        <w:rPr>
          <w:sz w:val="20"/>
          <w:szCs w:val="20"/>
          <w:color w:val="auto"/>
        </w:rPr>
      </w:pPr>
    </w:p>
    <w:p>
      <w:pPr>
        <w:ind w:right="100" w:firstLine="1018"/>
        <w:spacing w:after="0" w:line="288" w:lineRule="auto"/>
        <w:rPr>
          <w:sz w:val="20"/>
          <w:szCs w:val="20"/>
          <w:color w:val="auto"/>
        </w:rPr>
      </w:pPr>
      <w:r>
        <w:rPr>
          <w:rFonts w:ascii="Arial" w:cs="Arial" w:eastAsia="Arial" w:hAnsi="Arial"/>
          <w:sz w:val="17"/>
          <w:szCs w:val="17"/>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181" w:lineRule="exact"/>
        <w:rPr>
          <w:sz w:val="20"/>
          <w:szCs w:val="20"/>
          <w:color w:val="auto"/>
        </w:rPr>
      </w:pPr>
    </w:p>
    <w:p>
      <w:pPr>
        <w:ind w:right="180" w:firstLine="1018"/>
        <w:spacing w:after="0" w:line="275" w:lineRule="auto"/>
        <w:rPr>
          <w:sz w:val="20"/>
          <w:szCs w:val="20"/>
          <w:color w:val="auto"/>
        </w:rPr>
      </w:pPr>
      <w:r>
        <w:rPr>
          <w:rFonts w:ascii="Arial" w:cs="Arial" w:eastAsia="Arial" w:hAnsi="Arial"/>
          <w:sz w:val="18"/>
          <w:szCs w:val="18"/>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39" w:lineRule="exact"/>
        <w:rPr>
          <w:sz w:val="20"/>
          <w:szCs w:val="20"/>
          <w:color w:val="auto"/>
        </w:rPr>
      </w:pPr>
    </w:p>
    <w:p>
      <w:pPr>
        <w:ind w:right="60" w:firstLine="1018"/>
        <w:spacing w:after="0" w:line="269" w:lineRule="auto"/>
        <w:rPr>
          <w:sz w:val="20"/>
          <w:szCs w:val="20"/>
          <w:color w:val="auto"/>
        </w:rPr>
      </w:pPr>
      <w:r>
        <w:rPr>
          <w:rFonts w:ascii="Arial" w:cs="Arial" w:eastAsia="Arial" w:hAnsi="Arial"/>
          <w:sz w:val="18"/>
          <w:szCs w:val="18"/>
          <w:color w:val="auto"/>
        </w:rPr>
        <w:t>The Company has granted equity-based awards to employees of ICL performing services for the Company, employees of and Board Managers of the Company and consultants in the form of non-vested incentive units (“Profits Interests”) and/or options to purchase common units. All awards of Profits Interests and options to purchase common units are measured based on the estimated fair value of the award on the date of grant. Forfeitures are recognized when they occur. All of the Profits Interests are subject to service and performance-based conditions and the Company evaluates the probability of achieving each performance-based condition at each reporting date and begins to recognize distribution of equity for ICL employee awards and equity-based compensation expense for Company and consultant awards when it is deemed probable that the performance-based condition will be met using the accelerated attribution method over the requisite service period. The options to purchase common units are subject to service conditions and generally vest over three or four years.</w:t>
      </w:r>
    </w:p>
    <w:p>
      <w:pPr>
        <w:spacing w:after="0" w:line="196" w:lineRule="exact"/>
        <w:rPr>
          <w:sz w:val="20"/>
          <w:szCs w:val="20"/>
          <w:color w:val="auto"/>
        </w:rPr>
      </w:pPr>
    </w:p>
    <w:p>
      <w:pPr>
        <w:ind w:right="100" w:firstLine="1018"/>
        <w:spacing w:after="0" w:line="299" w:lineRule="auto"/>
        <w:rPr>
          <w:sz w:val="20"/>
          <w:szCs w:val="20"/>
          <w:color w:val="auto"/>
        </w:rPr>
      </w:pPr>
      <w:r>
        <w:rPr>
          <w:rFonts w:ascii="Arial" w:cs="Arial" w:eastAsia="Arial" w:hAnsi="Arial"/>
          <w:sz w:val="16"/>
          <w:szCs w:val="16"/>
          <w:color w:val="auto"/>
        </w:rPr>
        <w:t xml:space="preserve">The Company utilizes estimates and assumptions in determining the fair value of its Profits Interests and options to purchase common units on the date of grant. As the Company was not a publicly traded company in the six months ended June 30, 2021 and 2020, the Company utilized various valuation methodologies in accordance with the framework of the American Institute of Certified Public Accountants Technical Practice Aid, </w:t>
      </w:r>
      <w:r>
        <w:rPr>
          <w:rFonts w:ascii="Arial" w:cs="Arial" w:eastAsia="Arial" w:hAnsi="Arial"/>
          <w:sz w:val="16"/>
          <w:szCs w:val="16"/>
          <w:i w:val="1"/>
          <w:iCs w:val="1"/>
          <w:color w:val="auto"/>
        </w:rPr>
        <w:t>Valuation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Privately Held Company Equity Securities Issued as Compensation</w:t>
      </w:r>
      <w:r>
        <w:rPr>
          <w:rFonts w:ascii="Arial" w:cs="Arial" w:eastAsia="Arial" w:hAnsi="Arial"/>
          <w:sz w:val="16"/>
          <w:szCs w:val="16"/>
          <w:color w:val="auto"/>
        </w:rPr>
        <w:t>, to estimate the fair value of its preferred units, common units and Profits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the Company sold preferred units, the superior rights, and preferences of the preferred units senior to the Company’s common units at the time, and a discount for the lack of marketability. Changes to the key assumptions used in the valuations could result in different fair values at each valuation date.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right="20" w:firstLine="1018"/>
        <w:spacing w:after="0" w:line="271" w:lineRule="auto"/>
        <w:rPr>
          <w:sz w:val="20"/>
          <w:szCs w:val="20"/>
          <w:color w:val="auto"/>
        </w:rPr>
      </w:pPr>
      <w:r>
        <w:rPr>
          <w:rFonts w:ascii="Arial" w:cs="Arial" w:eastAsia="Arial" w:hAnsi="Arial"/>
          <w:sz w:val="18"/>
          <w:szCs w:val="18"/>
          <w:color w:val="auto"/>
        </w:rPr>
        <w:t>The Company determines the grant-date fair value of options to purchase common units using the Black-Scholes option-pricing model which requires inputs based on certain subjective assumptions, including the expected stock price volatility, the expected term of the unit option, the risk-free interest rate for a period that approximates the expected term of the option, and the Company’s expected dividend yield. The grant-date fair value of awards is amortized over the employees’ requisite service period on a straight-line basis, or the consultants' vesting period as the services are rendered. Equity-based compensation is classified in the accompanying condensed consolidated statements of operations and comprehensive loss based on the function to which the related services are provided.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39" w:lineRule="exact"/>
        <w:rPr>
          <w:sz w:val="20"/>
          <w:szCs w:val="20"/>
          <w:color w:val="auto"/>
        </w:rPr>
      </w:pPr>
    </w:p>
    <w:p>
      <w:pPr>
        <w:jc w:val="both"/>
        <w:ind w:right="300" w:firstLine="1018"/>
        <w:spacing w:after="0" w:line="279"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239" w:lineRule="exact"/>
        <w:rPr>
          <w:sz w:val="20"/>
          <w:szCs w:val="20"/>
          <w:color w:val="auto"/>
        </w:rPr>
      </w:pPr>
    </w:p>
    <w:p>
      <w:pPr>
        <w:ind w:right="60" w:firstLine="1018"/>
        <w:spacing w:after="0" w:line="272" w:lineRule="auto"/>
        <w:rPr>
          <w:sz w:val="20"/>
          <w:szCs w:val="20"/>
          <w:color w:val="auto"/>
        </w:rPr>
      </w:pPr>
      <w:r>
        <w:rPr>
          <w:rFonts w:ascii="Arial" w:cs="Arial" w:eastAsia="Arial" w:hAnsi="Arial"/>
          <w:sz w:val="18"/>
          <w:szCs w:val="18"/>
          <w:color w:val="auto"/>
        </w:rPr>
        <w:t>Basic net loss per unit is computed using the weighted-average number of common units outstanding for the period, without consideration of potential dilutive securities. Diluted net loss per unit is computed using the weighted-average number of common units outstanding during the period and, if dilutive, the weighted-average number of potential common units. Net loss per unit attributable to common unitholders is calculated using the two-class method, which is an earnings allocation formula that determines net loss per unit for the holders of the Company’s common units and participating securities.</w:t>
      </w:r>
    </w:p>
    <w:p>
      <w:pPr>
        <w:spacing w:after="0" w:line="191" w:lineRule="exact"/>
        <w:rPr>
          <w:sz w:val="20"/>
          <w:szCs w:val="20"/>
          <w:color w:val="auto"/>
        </w:rPr>
      </w:pPr>
    </w:p>
    <w:p>
      <w:pPr>
        <w:jc w:val="both"/>
        <w:ind w:right="40" w:firstLine="1018"/>
        <w:spacing w:after="0" w:line="314" w:lineRule="auto"/>
        <w:rPr>
          <w:sz w:val="20"/>
          <w:szCs w:val="20"/>
          <w:color w:val="auto"/>
        </w:rPr>
      </w:pPr>
      <w:r>
        <w:rPr>
          <w:rFonts w:ascii="Arial" w:cs="Arial" w:eastAsia="Arial" w:hAnsi="Arial"/>
          <w:sz w:val="16"/>
          <w:szCs w:val="16"/>
          <w:color w:val="auto"/>
        </w:rPr>
        <w:t>The preferred unit warrants and convertible note are non-participating securities, while the Profits Interests participate in the gains and losses of the Company once the participation threshold is reached. The Company’s convertible preferred units contain participation rights in any dividend paid by the Company and are deemed to be participating securities. The convertible preferred units do not include a contractual obligation to participate in losses of the Company and are not included in the calculation of net loss per unit in the periods in which a net loss is recorded. The Company’s convertible preferred units, common unit warrants, preferred unit warrants, convertible notes and Profits Interests are considered potentially dilutive.</w:t>
      </w:r>
    </w:p>
    <w:p>
      <w:pPr>
        <w:spacing w:after="0" w:line="160" w:lineRule="exact"/>
        <w:rPr>
          <w:sz w:val="20"/>
          <w:szCs w:val="20"/>
          <w:color w:val="auto"/>
        </w:rPr>
      </w:pPr>
    </w:p>
    <w:p>
      <w:pPr>
        <w:ind w:right="20" w:firstLine="1018"/>
        <w:spacing w:after="0" w:line="272" w:lineRule="auto"/>
        <w:rPr>
          <w:sz w:val="20"/>
          <w:szCs w:val="20"/>
          <w:color w:val="auto"/>
        </w:rPr>
      </w:pPr>
      <w:r>
        <w:rPr>
          <w:rFonts w:ascii="Arial" w:cs="Arial" w:eastAsia="Arial" w:hAnsi="Arial"/>
          <w:sz w:val="18"/>
          <w:szCs w:val="18"/>
          <w:color w:val="auto"/>
        </w:rPr>
        <w:t>The Company makes adjustments to diluted net loss to reflect the reversal of gains on the change in the value of preferred unit warrant liabilities, assuming conversion of warrants to acquire convertible preferred units at the beginning of the period or at time of issuance, if later, to the extent that those preferred unit warrants are dilutive. The Company computes diluted net loss per unit after giving consideration to all potentially dilutive common units outstanding during the period, determined using the treasury stock and if-converted methods, as applicable, except where the effect of including such securities would be antidilutive.</w:t>
      </w:r>
    </w:p>
    <w:p>
      <w:pPr>
        <w:spacing w:after="0" w:line="191" w:lineRule="exact"/>
        <w:rPr>
          <w:sz w:val="20"/>
          <w:szCs w:val="20"/>
          <w:color w:val="auto"/>
        </w:rPr>
      </w:pPr>
    </w:p>
    <w:p>
      <w:pPr>
        <w:ind w:firstLine="1018"/>
        <w:spacing w:after="0" w:line="279" w:lineRule="auto"/>
        <w:rPr>
          <w:sz w:val="20"/>
          <w:szCs w:val="20"/>
          <w:color w:val="auto"/>
        </w:rPr>
      </w:pPr>
      <w:r>
        <w:rPr>
          <w:rFonts w:ascii="Arial" w:cs="Arial" w:eastAsia="Arial" w:hAnsi="Arial"/>
          <w:sz w:val="18"/>
          <w:szCs w:val="18"/>
          <w:color w:val="auto"/>
        </w:rPr>
        <w:t>For the six months ended June 30, 2021 and 2020, the Company reported a net loss. The potentially dilutive common units were anti-dilutive, except for the series B preferred unit warrants, which were considered dilutive but did not affect the net loss per share. As a result, basic and diluted net loss per unit were the same.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39" w:lineRule="exact"/>
        <w:rPr>
          <w:sz w:val="20"/>
          <w:szCs w:val="20"/>
          <w:color w:val="auto"/>
        </w:rPr>
      </w:pPr>
    </w:p>
    <w:p>
      <w:pPr>
        <w:ind w:right="180" w:firstLine="1018"/>
        <w:spacing w:after="0" w:line="296" w:lineRule="auto"/>
        <w:rPr>
          <w:sz w:val="20"/>
          <w:szCs w:val="20"/>
          <w:color w:val="auto"/>
        </w:rPr>
      </w:pPr>
      <w:r>
        <w:rPr>
          <w:rFonts w:ascii="Arial" w:cs="Arial" w:eastAsia="Arial" w:hAnsi="Arial"/>
          <w:sz w:val="17"/>
          <w:szCs w:val="17"/>
          <w:color w:val="auto"/>
        </w:rPr>
        <w:t>Deferred financing costs, which consist of direct incremental legal, consulting, banking and accounting fees primarily relating to the Company’s Offering, are capitalized and will be offset against proceeds upon the consummation of the offering within members’ deficit. As of December 31, 2020, there were no capitalized deferred financing costs on the condensed consolidated balance sheet. As of June 30, 2021, there were $3.4 million of deferred financing costs recorded as a long-term asset on the condensed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39" w:lineRule="exact"/>
        <w:rPr>
          <w:sz w:val="20"/>
          <w:szCs w:val="20"/>
          <w:color w:val="auto"/>
        </w:rPr>
      </w:pPr>
    </w:p>
    <w:p>
      <w:pPr>
        <w:ind w:right="20" w:firstLine="1018"/>
        <w:spacing w:after="0" w:line="281" w:lineRule="auto"/>
        <w:rPr>
          <w:sz w:val="20"/>
          <w:szCs w:val="20"/>
          <w:color w:val="auto"/>
        </w:rPr>
      </w:pPr>
      <w:r>
        <w:rPr>
          <w:rFonts w:ascii="Arial" w:cs="Arial" w:eastAsia="Arial" w:hAnsi="Arial"/>
          <w:sz w:val="17"/>
          <w:szCs w:val="17"/>
          <w:color w:val="auto"/>
        </w:rPr>
        <w:t xml:space="preserve">In February 2016, the Financial Accounting Standards Board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subsequently amended, to improve financial reporting and disclosures about leasing transactions. Topic 842 requires companies that lease assets to recognize on the condensed consolidated balance sheet the assets and liabilities for the rights and obligations created by those leases, where the lease terms exceed 12 months. The recognition, measurement, and presentation of expense and cash flows arising from a lease by a lessee will depend primarily on its classification as a finance or operating lease; both types of leases will be recognized on the condensed consolidated balance sheet. Topic 842 also requires disclosures to help financial statement users better understand the amount, timing, and uncertainty of cash flows arising from leases. On June 3, 2020, the FASB amended the effective dates of Topic 842 to give immediate relief from business disruptions caused by the COVID-19 pandemic and provided a one-year deferral of the effective date for nonpublic companies. As a result of the Company having elected the extended transition period for complying with new or revised accounting standards pursuant to Section 107(b) of the JOBS Act, and assuming the Company continues to be considered an emerging growth company, Topic 842 will be effective for the Company on January 1, 2022. The</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right="40"/>
        <w:spacing w:after="0" w:line="275" w:lineRule="auto"/>
        <w:rPr>
          <w:sz w:val="20"/>
          <w:szCs w:val="20"/>
          <w:color w:val="auto"/>
        </w:rPr>
      </w:pPr>
      <w:r>
        <w:rPr>
          <w:rFonts w:ascii="Arial" w:cs="Arial" w:eastAsia="Arial" w:hAnsi="Arial"/>
          <w:sz w:val="18"/>
          <w:szCs w:val="18"/>
          <w:color w:val="auto"/>
        </w:rPr>
        <w:t>Company has not yet determined the effects of Topic 842 on its condensed consolidated financial statements but does expect the adoption of Topic 842 will have a material impact on the Company’s consolidated financial statements and related notes to the recognition of right of use (“ROU”) assets and lease liabilities on the Company’s consolidated balance sheets, but it will not have a material impact on the Company’s consolidated statement of income. The adoption of Topic 842 will also result in enhanced disclosures.</w:t>
      </w:r>
    </w:p>
    <w:p>
      <w:pPr>
        <w:spacing w:after="0" w:line="185" w:lineRule="exact"/>
        <w:rPr>
          <w:sz w:val="20"/>
          <w:szCs w:val="20"/>
          <w:color w:val="auto"/>
        </w:rPr>
      </w:pPr>
    </w:p>
    <w:p>
      <w:pPr>
        <w:ind w:firstLine="1018"/>
        <w:spacing w:after="0" w:line="30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2016-13”) to require the measurement of expected credit losses for financial instruments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condensed consolidated financial statements and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43" w:lineRule="exact"/>
        <w:rPr>
          <w:sz w:val="20"/>
          <w:szCs w:val="20"/>
          <w:color w:val="auto"/>
        </w:rPr>
      </w:pPr>
    </w:p>
    <w:p>
      <w:pPr>
        <w:ind w:right="140" w:firstLine="1018"/>
        <w:spacing w:after="0" w:line="293"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As of June 30, 2021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95"/>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7"/>
                <w:szCs w:val="17"/>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7"/>
                <w:szCs w:val="17"/>
                <w:color w:val="auto"/>
              </w:rPr>
            </w:pPr>
          </w:p>
        </w:tc>
      </w:tr>
      <w:tr>
        <w:trPr>
          <w:trHeight w:val="256"/>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67,002</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9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67,002</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4"/>
                <w:szCs w:val="24"/>
                <w:color w:val="auto"/>
              </w:rPr>
            </w:pPr>
          </w:p>
        </w:tc>
      </w:tr>
      <w:tr>
        <w:trPr>
          <w:trHeight w:val="237"/>
        </w:trPr>
        <w:tc>
          <w:tcPr>
            <w:tcW w:w="52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57"/>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Preferred unit warrant liability</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200" w:type="dxa"/>
            <w:vAlign w:val="bottom"/>
          </w:tcPr>
          <w:p>
            <w:pPr>
              <w:ind w:left="2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5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left="795"/>
              <w:spacing w:after="0"/>
              <w:rPr>
                <w:sz w:val="20"/>
                <w:szCs w:val="20"/>
                <w:color w:val="auto"/>
              </w:rPr>
            </w:pPr>
            <w:r>
              <w:rPr>
                <w:rFonts w:ascii="Arial" w:cs="Arial" w:eastAsia="Arial" w:hAnsi="Arial"/>
                <w:sz w:val="14"/>
                <w:szCs w:val="14"/>
                <w:b w:val="1"/>
                <w:bCs w:val="1"/>
                <w:color w:val="auto"/>
                <w:w w:val="92"/>
              </w:rPr>
              <w:t>As of December 31, 2020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95"/>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7"/>
                <w:szCs w:val="17"/>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7"/>
                <w:szCs w:val="17"/>
                <w:color w:val="auto"/>
              </w:rPr>
            </w:pPr>
          </w:p>
        </w:tc>
      </w:tr>
      <w:tr>
        <w:trPr>
          <w:trHeight w:val="256"/>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71,666</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9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71,666</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4"/>
                <w:szCs w:val="24"/>
                <w:color w:val="auto"/>
              </w:rPr>
            </w:pPr>
          </w:p>
        </w:tc>
      </w:tr>
      <w:tr>
        <w:trPr>
          <w:trHeight w:val="237"/>
        </w:trPr>
        <w:tc>
          <w:tcPr>
            <w:tcW w:w="52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57"/>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Preferred unit warrant liability</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200" w:type="dxa"/>
            <w:vAlign w:val="bottom"/>
          </w:tcPr>
          <w:p>
            <w:pPr>
              <w:ind w:left="2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-2030730</wp:posOffset>
            </wp:positionV>
            <wp:extent cx="1289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-2014220</wp:posOffset>
            </wp:positionV>
            <wp:extent cx="1289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-2030730</wp:posOffset>
            </wp:positionV>
            <wp:extent cx="111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-2014220</wp:posOffset>
            </wp:positionV>
            <wp:extent cx="1111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-2030730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-2014220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-1676400</wp:posOffset>
            </wp:positionV>
            <wp:extent cx="12890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-1676400</wp:posOffset>
            </wp:positionV>
            <wp:extent cx="11112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-1676400</wp:posOffset>
            </wp:positionV>
            <wp:extent cx="5143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-548005</wp:posOffset>
            </wp:positionV>
            <wp:extent cx="1289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-530860</wp:posOffset>
            </wp:positionV>
            <wp:extent cx="1289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-548005</wp:posOffset>
            </wp:positionV>
            <wp:extent cx="111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-530860</wp:posOffset>
            </wp:positionV>
            <wp:extent cx="1111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-548005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-530860</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-193675</wp:posOffset>
            </wp:positionV>
            <wp:extent cx="12890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-193675</wp:posOffset>
            </wp:positionV>
            <wp:extent cx="11112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-193675</wp:posOffset>
            </wp:positionV>
            <wp:extent cx="514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jc w:val="both"/>
        <w:ind w:right="280" w:firstLine="1018"/>
        <w:spacing w:after="0" w:line="279" w:lineRule="auto"/>
        <w:rPr>
          <w:sz w:val="20"/>
          <w:szCs w:val="20"/>
          <w:color w:val="auto"/>
        </w:rPr>
      </w:pPr>
      <w:r>
        <w:rPr>
          <w:rFonts w:ascii="Arial" w:cs="Arial" w:eastAsia="Arial" w:hAnsi="Arial"/>
          <w:sz w:val="18"/>
          <w:szCs w:val="18"/>
          <w:color w:val="auto"/>
        </w:rPr>
        <w:t>The Company estimates the fair value of its money market funds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w:t>
      </w:r>
    </w:p>
    <w:p>
      <w:pPr>
        <w:spacing w:after="0" w:line="18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transfers between Level 1, Level 2 and Level 3 of the fair value hierarchy for any of the periods presented.</w:t>
      </w:r>
    </w:p>
    <w:p>
      <w:pPr>
        <w:spacing w:after="0" w:line="239" w:lineRule="exact"/>
        <w:rPr>
          <w:sz w:val="20"/>
          <w:szCs w:val="20"/>
          <w:color w:val="auto"/>
        </w:rPr>
      </w:pPr>
    </w:p>
    <w:p>
      <w:pPr>
        <w:ind w:right="20" w:firstLine="1018"/>
        <w:spacing w:after="0" w:line="293" w:lineRule="auto"/>
        <w:rPr>
          <w:sz w:val="20"/>
          <w:szCs w:val="20"/>
          <w:color w:val="auto"/>
        </w:rPr>
      </w:pPr>
      <w:r>
        <w:rPr>
          <w:rFonts w:ascii="Arial" w:cs="Arial" w:eastAsia="Arial" w:hAnsi="Arial"/>
          <w:sz w:val="18"/>
          <w:szCs w:val="18"/>
          <w:color w:val="auto"/>
        </w:rPr>
        <w:t>The Company holds a Level 3 liability associated with preferred unit warrants that were issued in connection with the Company’s convertible note and preferred unit financings. The preferred unit warrants are accounted for as liabilities.</w:t>
      </w:r>
    </w:p>
    <w:p>
      <w:pPr>
        <w:spacing w:after="0" w:line="170" w:lineRule="exact"/>
        <w:rPr>
          <w:sz w:val="20"/>
          <w:szCs w:val="20"/>
          <w:color w:val="auto"/>
        </w:rPr>
      </w:pPr>
    </w:p>
    <w:p>
      <w:pPr>
        <w:ind w:right="60" w:firstLine="1018"/>
        <w:spacing w:after="0" w:line="293"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Series E preferred unit warrant liability as of June 30,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2"/>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60" w:type="dxa"/>
            <w:vAlign w:val="bottom"/>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Unobservable Input</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Range</w:t>
            </w:r>
          </w:p>
        </w:tc>
        <w:tc>
          <w:tcPr>
            <w:tcW w:w="14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256"/>
        </w:trPr>
        <w:tc>
          <w:tcPr>
            <w:tcW w:w="2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Hybrid between the</w:t>
            </w:r>
          </w:p>
        </w:tc>
        <w:tc>
          <w:tcPr>
            <w:tcW w:w="16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Time to exit</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0.1 - 2.3 years</w:t>
            </w:r>
          </w:p>
        </w:tc>
        <w:tc>
          <w:tcPr>
            <w:tcW w:w="14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0.3 years</w:t>
            </w:r>
          </w:p>
        </w:tc>
      </w:tr>
      <w:tr>
        <w:trPr>
          <w:trHeight w:val="264"/>
        </w:trPr>
        <w:tc>
          <w:tcPr>
            <w:tcW w:w="2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4"/>
              </w:rPr>
              <w:t>probability weighted</w:t>
            </w:r>
          </w:p>
        </w:tc>
        <w:tc>
          <w:tcPr>
            <w:tcW w:w="16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Probability of exit events</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 - 90%</w:t>
            </w:r>
          </w:p>
        </w:tc>
        <w:tc>
          <w:tcPr>
            <w:tcW w:w="14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r>
        <w:trPr>
          <w:trHeight w:val="250"/>
        </w:trPr>
        <w:tc>
          <w:tcPr>
            <w:tcW w:w="2480" w:type="dxa"/>
            <w:vAlign w:val="bottom"/>
          </w:tcPr>
          <w:p>
            <w:pPr>
              <w:jc w:val="center"/>
              <w:spacing w:after="0"/>
              <w:rPr>
                <w:sz w:val="20"/>
                <w:szCs w:val="20"/>
                <w:color w:val="auto"/>
              </w:rPr>
            </w:pPr>
            <w:r>
              <w:rPr>
                <w:rFonts w:ascii="Arial" w:cs="Arial" w:eastAsia="Arial" w:hAnsi="Arial"/>
                <w:sz w:val="18"/>
                <w:szCs w:val="18"/>
                <w:color w:val="auto"/>
                <w:w w:val="89"/>
              </w:rPr>
              <w:t>$606</w:t>
            </w:r>
          </w:p>
        </w:tc>
        <w:tc>
          <w:tcPr>
            <w:tcW w:w="14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expected return and</w:t>
            </w:r>
          </w:p>
        </w:tc>
        <w:tc>
          <w:tcPr>
            <w:tcW w:w="160" w:type="dxa"/>
            <w:vAlign w:val="bottom"/>
          </w:tcPr>
          <w:p>
            <w:pPr>
              <w:spacing w:after="0"/>
              <w:rPr>
                <w:sz w:val="21"/>
                <w:szCs w:val="21"/>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Discount for lack of marketability</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 - 31%</w:t>
            </w:r>
          </w:p>
        </w:tc>
        <w:tc>
          <w:tcPr>
            <w:tcW w:w="14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12%</w:t>
            </w:r>
          </w:p>
        </w:tc>
      </w:tr>
      <w:tr>
        <w:trPr>
          <w:trHeight w:val="263"/>
        </w:trPr>
        <w:tc>
          <w:tcPr>
            <w:tcW w:w="2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option pricing methods</w:t>
            </w:r>
          </w:p>
        </w:tc>
        <w:tc>
          <w:tcPr>
            <w:tcW w:w="160" w:type="dxa"/>
            <w:vAlign w:val="bottom"/>
          </w:tcPr>
          <w:p>
            <w:pPr>
              <w:spacing w:after="0"/>
              <w:rPr>
                <w:sz w:val="22"/>
                <w:szCs w:val="22"/>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8"/>
              </w:rPr>
              <w:t>Volatility</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72%</w:t>
            </w:r>
          </w:p>
        </w:tc>
        <w:tc>
          <w:tcPr>
            <w:tcW w:w="140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72%</w:t>
            </w:r>
          </w:p>
        </w:tc>
      </w:tr>
    </w:tbl>
    <w:p>
      <w:pPr>
        <w:spacing w:after="0" w:line="283" w:lineRule="exact"/>
        <w:rPr>
          <w:sz w:val="20"/>
          <w:szCs w:val="20"/>
          <w:color w:val="auto"/>
        </w:rPr>
      </w:pPr>
    </w:p>
    <w:p>
      <w:pPr>
        <w:jc w:val="both"/>
        <w:ind w:right="60" w:firstLine="1018"/>
        <w:spacing w:after="0" w:line="266" w:lineRule="auto"/>
        <w:rPr>
          <w:sz w:val="20"/>
          <w:szCs w:val="20"/>
          <w:color w:val="auto"/>
        </w:rPr>
      </w:pPr>
      <w:r>
        <w:rPr>
          <w:rFonts w:ascii="Arial" w:cs="Arial" w:eastAsia="Arial" w:hAnsi="Arial"/>
          <w:sz w:val="18"/>
          <w:szCs w:val="18"/>
          <w:color w:val="auto"/>
        </w:rPr>
        <w:t>Significant increases or decreases in time to exit, probability of exit, discount for lack of marketability and volatility would have resulted in a significantly lower or higher fair value measurement as of June 30, 2021.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ind w:left="102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40" w:type="dxa"/>
            <w:vAlign w:val="bottom"/>
            <w:gridSpan w:val="6"/>
          </w:tcPr>
          <w:p>
            <w:pPr>
              <w:jc w:val="right"/>
              <w:ind w:right="215"/>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1240" w:type="dxa"/>
            <w:vAlign w:val="bottom"/>
          </w:tcPr>
          <w:p>
            <w:pPr>
              <w:spacing w:after="0"/>
              <w:rPr>
                <w:sz w:val="22"/>
                <w:szCs w:val="22"/>
                <w:color w:val="auto"/>
              </w:rPr>
            </w:pPr>
          </w:p>
        </w:tc>
        <w:tc>
          <w:tcPr>
            <w:tcW w:w="4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60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536</w:t>
            </w:r>
          </w:p>
        </w:tc>
        <w:tc>
          <w:tcPr>
            <w:tcW w:w="3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4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FF0FC"/>
          </w:tcPr>
          <w:p>
            <w:pPr>
              <w:spacing w:after="0"/>
              <w:rPr>
                <w:sz w:val="22"/>
                <w:szCs w:val="22"/>
                <w:color w:val="auto"/>
              </w:rPr>
            </w:pPr>
          </w:p>
        </w:tc>
      </w:tr>
      <w:tr>
        <w:trPr>
          <w:trHeight w:val="250"/>
        </w:trPr>
        <w:tc>
          <w:tcPr>
            <w:tcW w:w="124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Change in estimated fair value of Series B warrants</w:t>
            </w:r>
          </w:p>
        </w:tc>
        <w:tc>
          <w:tcPr>
            <w:tcW w:w="6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r>
      <w:tr>
        <w:trPr>
          <w:trHeight w:val="263"/>
        </w:trPr>
        <w:tc>
          <w:tcPr>
            <w:tcW w:w="1240" w:type="dxa"/>
            <w:vAlign w:val="bottom"/>
          </w:tcPr>
          <w:p>
            <w:pPr>
              <w:spacing w:after="0"/>
              <w:rPr>
                <w:sz w:val="22"/>
                <w:szCs w:val="22"/>
                <w:color w:val="auto"/>
              </w:rPr>
            </w:pPr>
          </w:p>
        </w:tc>
        <w:tc>
          <w:tcPr>
            <w:tcW w:w="4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Change in estimated fair value of Series E warrants</w:t>
            </w: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50"/>
        </w:trPr>
        <w:tc>
          <w:tcPr>
            <w:tcW w:w="124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Expiration of Series B warrants</w:t>
            </w:r>
          </w:p>
        </w:tc>
        <w:tc>
          <w:tcPr>
            <w:tcW w:w="6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(671 )</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(671 )</w:t>
            </w:r>
          </w:p>
        </w:tc>
      </w:tr>
      <w:tr>
        <w:trPr>
          <w:trHeight w:val="290"/>
        </w:trPr>
        <w:tc>
          <w:tcPr>
            <w:tcW w:w="1240" w:type="dxa"/>
            <w:vAlign w:val="bottom"/>
          </w:tcPr>
          <w:p>
            <w:pPr>
              <w:spacing w:after="0"/>
              <w:rPr>
                <w:sz w:val="24"/>
                <w:szCs w:val="24"/>
                <w:color w:val="auto"/>
              </w:rPr>
            </w:pPr>
          </w:p>
        </w:tc>
        <w:tc>
          <w:tcPr>
            <w:tcW w:w="45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600" w:type="dxa"/>
            <w:vAlign w:val="bottom"/>
            <w:tcBorders>
              <w:top w:val="single" w:sz="8" w:color="auto"/>
              <w:bottom w:val="single" w:sz="8" w:color="auto"/>
            </w:tcBorders>
            <w:shd w:val="clear" w:color="auto" w:fill="CFF0FC"/>
          </w:tcPr>
          <w:p>
            <w:pPr>
              <w:jc w:val="right"/>
              <w:ind w:right="419"/>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606</w:t>
            </w:r>
          </w:p>
        </w:tc>
        <w:tc>
          <w:tcPr>
            <w:tcW w:w="160" w:type="dxa"/>
            <w:vAlign w:val="bottom"/>
            <w:tcBorders>
              <w:bottom w:val="single" w:sz="8" w:color="CFF0FC"/>
            </w:tcBorders>
            <w:gridSpan w:val="2"/>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606</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487"/>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4. Accrued Expenses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5800" w:type="dxa"/>
            <w:vAlign w:val="bottom"/>
            <w:gridSpan w:val="3"/>
          </w:tcPr>
          <w:p>
            <w:pPr>
              <w:ind w:left="1020"/>
              <w:spacing w:after="0"/>
              <w:rPr>
                <w:sz w:val="20"/>
                <w:szCs w:val="20"/>
                <w:color w:val="auto"/>
              </w:rPr>
            </w:pPr>
            <w:r>
              <w:rPr>
                <w:rFonts w:ascii="Arial" w:cs="Arial" w:eastAsia="Arial" w:hAnsi="Arial"/>
                <w:sz w:val="18"/>
                <w:szCs w:val="18"/>
                <w:color w:val="auto"/>
              </w:rPr>
              <w:t>Accrued expenses consist of the following (in thousands):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6"/>
        </w:trPr>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8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22"/>
                <w:szCs w:val="22"/>
                <w:color w:val="auto"/>
              </w:rPr>
            </w:pP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6"/>
              </w:rPr>
              <w:t>348</w:t>
            </w:r>
          </w:p>
        </w:tc>
        <w:tc>
          <w:tcPr>
            <w:tcW w:w="20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458"/>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22"/>
                <w:szCs w:val="22"/>
                <w:color w:val="auto"/>
              </w:rPr>
            </w:pPr>
          </w:p>
        </w:tc>
      </w:tr>
      <w:tr>
        <w:trPr>
          <w:trHeight w:val="250"/>
        </w:trPr>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Payroll and related</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1,222</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3"/>
        </w:trPr>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6"/>
              </w:rPr>
              <w:t>998</w:t>
            </w:r>
          </w:p>
        </w:tc>
        <w:tc>
          <w:tcPr>
            <w:tcW w:w="20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22"/>
                <w:szCs w:val="22"/>
                <w:color w:val="auto"/>
              </w:rPr>
            </w:pPr>
          </w:p>
        </w:tc>
      </w:tr>
      <w:tr>
        <w:trPr>
          <w:trHeight w:val="250"/>
        </w:trPr>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353</w:t>
            </w:r>
          </w:p>
        </w:tc>
        <w:tc>
          <w:tcPr>
            <w:tcW w:w="2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90"/>
        </w:trPr>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accrued expenses</w:t>
            </w:r>
          </w:p>
        </w:tc>
        <w:tc>
          <w:tcPr>
            <w:tcW w:w="6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2,921</w:t>
            </w:r>
          </w:p>
        </w:tc>
        <w:tc>
          <w:tcPr>
            <w:tcW w:w="2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8"/>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550</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-1919605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-1902460</wp:posOffset>
            </wp:positionV>
            <wp:extent cx="1111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-1919605</wp:posOffset>
            </wp:positionV>
            <wp:extent cx="1460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-1902460</wp:posOffset>
            </wp:positionV>
            <wp:extent cx="1460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-1919605</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-1902460</wp:posOffset>
            </wp:positionV>
            <wp:extent cx="93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-1919605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-1902460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120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120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Evaluation Agreements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w:t>
      </w:r>
    </w:p>
    <w:p>
      <w:pPr>
        <w:spacing w:after="0" w:line="239" w:lineRule="exact"/>
        <w:rPr>
          <w:sz w:val="20"/>
          <w:szCs w:val="20"/>
          <w:color w:val="auto"/>
        </w:rPr>
      </w:pPr>
    </w:p>
    <w:p>
      <w:pPr>
        <w:ind w:right="20" w:firstLine="1018"/>
        <w:spacing w:after="0" w:line="306" w:lineRule="auto"/>
        <w:rPr>
          <w:sz w:val="20"/>
          <w:szCs w:val="20"/>
          <w:color w:val="auto"/>
        </w:rPr>
      </w:pPr>
      <w:r>
        <w:rPr>
          <w:rFonts w:ascii="Arial" w:cs="Arial" w:eastAsia="Arial" w:hAnsi="Arial"/>
          <w:sz w:val="16"/>
          <w:szCs w:val="16"/>
          <w:color w:val="auto"/>
        </w:rPr>
        <w:t>Takeda Pharmaceutical Company, Limited ("Takeda") was collaborating with the Company to conduct research on the use of the RaniPill capsule for the oral delivery of factor VIII (“FVIII”) therapy for patients with hemophilia A. The agreement granted Takeda a right of first negotiation to a worldwide, exclusive license under the Company’s intellectual property related to a FVIII-RaniPill therapeutic. Takeda paid the Company up-front payments of $5.9 million upon execution of and subsequent modifications to the agreement. Upon the initial evaluation services being completed, Takeda had an option to pay the Company $3.0 million to perform later stage evaluation services. Takeda also had the ability to terminate the agreement at any time by providing 30 days written notice after the effective date of the agreement. Unless terminated early, the agreement term ended upon the expiration of the right of first negotiation period which is 120 days after the completion of the evaluation services. The Takeda agreement could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would terminate.</w:t>
      </w:r>
    </w:p>
    <w:p>
      <w:pPr>
        <w:spacing w:after="0" w:line="170" w:lineRule="exact"/>
        <w:rPr>
          <w:sz w:val="20"/>
          <w:szCs w:val="20"/>
          <w:color w:val="auto"/>
        </w:rPr>
      </w:pPr>
    </w:p>
    <w:p>
      <w:pPr>
        <w:ind w:right="180" w:firstLine="1018"/>
        <w:spacing w:after="0" w:line="279" w:lineRule="auto"/>
        <w:rPr>
          <w:sz w:val="20"/>
          <w:szCs w:val="20"/>
          <w:color w:val="auto"/>
        </w:rPr>
      </w:pPr>
      <w:r>
        <w:rPr>
          <w:rFonts w:ascii="Arial" w:cs="Arial" w:eastAsia="Arial" w:hAnsi="Arial"/>
          <w:sz w:val="18"/>
          <w:szCs w:val="18"/>
          <w:color w:val="auto"/>
        </w:rPr>
        <w:t>The Company identified one material promise under the Takeda agreement, the obligation to perform services to evaluate if Takeda’s FVIII therapy can be orally delivered using the RaniPill capsule (“Research and Development Services”), which was concluded be a single performance obligation.</w:t>
      </w:r>
    </w:p>
    <w:p>
      <w:pPr>
        <w:spacing w:after="0" w:line="183" w:lineRule="exact"/>
        <w:rPr>
          <w:sz w:val="20"/>
          <w:szCs w:val="20"/>
          <w:color w:val="auto"/>
        </w:rPr>
      </w:pPr>
    </w:p>
    <w:p>
      <w:pPr>
        <w:ind w:right="60" w:firstLine="1018"/>
        <w:spacing w:after="0" w:line="272" w:lineRule="auto"/>
        <w:rPr>
          <w:sz w:val="20"/>
          <w:szCs w:val="20"/>
          <w:color w:val="auto"/>
        </w:rPr>
      </w:pPr>
      <w:r>
        <w:rPr>
          <w:rFonts w:ascii="Arial" w:cs="Arial" w:eastAsia="Arial" w:hAnsi="Arial"/>
          <w:sz w:val="18"/>
          <w:szCs w:val="18"/>
          <w:color w:val="auto"/>
        </w:rPr>
        <w:t>For revenue recognition purposes, the Company determined that the duration of the contract began on the effective date in November 2017 and ends upon completion of the Research and Development Services. The contract duration is defined as the period in which parties to the contract have present enforceable rights and obligations. The Company also analyzed the impact of Takeda terminating the agreement prior to the completion of the performance obligation and determined, considering both quantitative and qualitative factors, that there were substantive non-monetary penalties to Takeda for doing so.</w:t>
      </w:r>
    </w:p>
    <w:p>
      <w:pPr>
        <w:spacing w:after="0" w:line="191" w:lineRule="exact"/>
        <w:rPr>
          <w:sz w:val="20"/>
          <w:szCs w:val="20"/>
          <w:color w:val="auto"/>
        </w:rPr>
      </w:pPr>
    </w:p>
    <w:p>
      <w:pPr>
        <w:ind w:right="200" w:firstLine="1018"/>
        <w:spacing w:after="0" w:line="266" w:lineRule="auto"/>
        <w:rPr>
          <w:sz w:val="20"/>
          <w:szCs w:val="20"/>
          <w:color w:val="auto"/>
        </w:rPr>
      </w:pPr>
      <w:r>
        <w:rPr>
          <w:rFonts w:ascii="Arial" w:cs="Arial" w:eastAsia="Arial" w:hAnsi="Arial"/>
          <w:sz w:val="18"/>
          <w:szCs w:val="18"/>
          <w:color w:val="auto"/>
        </w:rPr>
        <w:t>The Company has determined that the cost-based input method most faithfully depicts the transfer of its performance obligation to Takeda. Accordingly, the Company recognizes its contract revenue based on actual costs incurred as a percentage of total estimated costs the Company expects to incur to deliver its performance obligation. These actual costs consist of internal labor efforts, in vivo testing services and materials costs related to the Takeda agreement, as the costs incurred over time reflect the transfer of its performance obligations to Takeda. The cumulative effect of revisions to estimated costs to complete the Company’s performance obligation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ind w:right="100" w:firstLine="1018"/>
        <w:spacing w:after="0" w:line="303" w:lineRule="auto"/>
        <w:rPr>
          <w:sz w:val="20"/>
          <w:szCs w:val="20"/>
          <w:color w:val="auto"/>
        </w:rPr>
      </w:pPr>
      <w:r>
        <w:rPr>
          <w:rFonts w:ascii="Arial" w:cs="Arial" w:eastAsia="Arial" w:hAnsi="Arial"/>
          <w:sz w:val="17"/>
          <w:szCs w:val="17"/>
          <w:color w:val="auto"/>
        </w:rPr>
        <w:t xml:space="preserve">In May 2021, the Company received written notice from Takeda as to their intent to terminate the contract for convenience. </w:t>
      </w:r>
      <w:r>
        <w:rPr>
          <w:rFonts w:ascii="Arial" w:cs="Arial" w:eastAsia="Arial" w:hAnsi="Arial"/>
          <w:sz w:val="17"/>
          <w:szCs w:val="17"/>
          <w:color w:val="212529"/>
        </w:rPr>
        <w:t>Due to the</w:t>
      </w:r>
      <w:r>
        <w:rPr>
          <w:rFonts w:ascii="Arial" w:cs="Arial" w:eastAsia="Arial" w:hAnsi="Arial"/>
          <w:sz w:val="17"/>
          <w:szCs w:val="17"/>
          <w:color w:val="auto"/>
        </w:rPr>
        <w:t xml:space="preserve"> </w:t>
      </w:r>
      <w:r>
        <w:rPr>
          <w:rFonts w:ascii="Arial" w:cs="Arial" w:eastAsia="Arial" w:hAnsi="Arial"/>
          <w:sz w:val="17"/>
          <w:szCs w:val="17"/>
          <w:color w:val="212529"/>
        </w:rPr>
        <w:t xml:space="preserve">delivery of the termination notice, the Company determined that there were no further enforceable rights and obligations under the agreement beyond May 2021 and the remaining $2.0 million of deferred revenue was recognized in the </w:t>
      </w:r>
      <w:r>
        <w:rPr>
          <w:rFonts w:ascii="Arial" w:cs="Arial" w:eastAsia="Arial" w:hAnsi="Arial"/>
          <w:sz w:val="17"/>
          <w:szCs w:val="17"/>
          <w:color w:val="000000"/>
        </w:rPr>
        <w:t>three months ended June 30, 2021.</w:t>
      </w:r>
    </w:p>
    <w:p>
      <w:pPr>
        <w:spacing w:after="0" w:line="164" w:lineRule="exact"/>
        <w:rPr>
          <w:sz w:val="20"/>
          <w:szCs w:val="20"/>
          <w:color w:val="auto"/>
        </w:rPr>
      </w:pPr>
    </w:p>
    <w:p>
      <w:pPr>
        <w:ind w:right="460" w:firstLine="1018"/>
        <w:spacing w:after="0" w:line="293" w:lineRule="auto"/>
        <w:rPr>
          <w:sz w:val="20"/>
          <w:szCs w:val="20"/>
          <w:color w:val="auto"/>
        </w:rPr>
      </w:pPr>
      <w:r>
        <w:rPr>
          <w:rFonts w:ascii="Arial" w:cs="Arial" w:eastAsia="Arial" w:hAnsi="Arial"/>
          <w:sz w:val="18"/>
          <w:szCs w:val="18"/>
          <w:color w:val="auto"/>
        </w:rPr>
        <w:t>For the three months ended June 30, 2021 and 2020, the Company recognized contract revenue related to the Takeda agreement of $2.0 million and $0.1 million, respectively.</w:t>
      </w:r>
    </w:p>
    <w:p>
      <w:pPr>
        <w:spacing w:after="0" w:line="170" w:lineRule="exact"/>
        <w:rPr>
          <w:sz w:val="20"/>
          <w:szCs w:val="20"/>
          <w:color w:val="auto"/>
        </w:rPr>
      </w:pPr>
    </w:p>
    <w:p>
      <w:pPr>
        <w:ind w:right="40" w:firstLine="1018"/>
        <w:spacing w:after="0" w:line="329" w:lineRule="auto"/>
        <w:rPr>
          <w:sz w:val="20"/>
          <w:szCs w:val="20"/>
          <w:color w:val="auto"/>
        </w:rPr>
      </w:pPr>
      <w:r>
        <w:rPr>
          <w:rFonts w:ascii="Arial" w:cs="Arial" w:eastAsia="Arial" w:hAnsi="Arial"/>
          <w:sz w:val="16"/>
          <w:szCs w:val="16"/>
          <w:color w:val="auto"/>
        </w:rPr>
        <w:t>For the six months ended June 30, 2021 and 2020, the Company recognized contract revenue related to the Takeda agreement of $2.7 million and $0.1 million, respectively. As of December 31, 2020, deferred revenue related to the remaining identified performance obligation for the Takeda agreement of $2.7 million was recorded on the condensed consolidated balance sheets. There was no deferred revenue as of June 30, 2021.</w:t>
      </w:r>
    </w:p>
    <w:p>
      <w:pPr>
        <w:spacing w:after="0" w:line="200" w:lineRule="exact"/>
        <w:rPr>
          <w:sz w:val="20"/>
          <w:szCs w:val="20"/>
          <w:color w:val="auto"/>
        </w:rPr>
      </w:pPr>
    </w:p>
    <w:p>
      <w:pPr>
        <w:spacing w:after="0" w:line="3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Changes in the deferred revenue balance are as follows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December 31,</w:t>
            </w:r>
          </w:p>
        </w:tc>
      </w:tr>
      <w:tr>
        <w:trPr>
          <w:trHeight w:val="196"/>
        </w:trPr>
        <w:tc>
          <w:tcPr>
            <w:tcW w:w="50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22"/>
                <w:szCs w:val="22"/>
                <w:color w:val="auto"/>
              </w:rPr>
            </w:pPr>
          </w:p>
        </w:tc>
      </w:tr>
      <w:tr>
        <w:trPr>
          <w:trHeight w:val="250"/>
        </w:trPr>
        <w:tc>
          <w:tcPr>
            <w:tcW w:w="5060" w:type="dxa"/>
            <w:vAlign w:val="bottom"/>
          </w:tcPr>
          <w:p>
            <w:pPr>
              <w:ind w:left="26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r>
      <w:tr>
        <w:trPr>
          <w:trHeight w:val="257"/>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Deductions</w:t>
            </w:r>
          </w:p>
        </w:tc>
        <w:tc>
          <w:tcPr>
            <w:tcW w:w="2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(2,717 )</w:t>
            </w:r>
          </w:p>
        </w:tc>
        <w:tc>
          <w:tcPr>
            <w:tcW w:w="1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(462 )</w:t>
            </w:r>
          </w:p>
        </w:tc>
      </w:tr>
      <w:tr>
        <w:trPr>
          <w:trHeight w:val="250"/>
        </w:trPr>
        <w:tc>
          <w:tcPr>
            <w:tcW w:w="506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2,717</w:t>
            </w:r>
          </w:p>
        </w:tc>
        <w:tc>
          <w:tcPr>
            <w:tcW w:w="120" w:type="dxa"/>
            <w:vAlign w:val="bottom"/>
            <w:tcBorders>
              <w:top w:val="single" w:sz="8" w:color="CFF0FC"/>
            </w:tcBorders>
          </w:tcPr>
          <w:p>
            <w:pPr>
              <w:spacing w:after="0"/>
              <w:rPr>
                <w:sz w:val="21"/>
                <w:szCs w:val="2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-193675</wp:posOffset>
            </wp:positionV>
            <wp:extent cx="14605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There were no receivables or net contract assets recorded as of June 30, 2021 or December 31, 2020 associated with the Takeda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expensed all incremental costs of obtaining the Takeda agreements, as such amounts were insignificant.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43" w:lineRule="exact"/>
        <w:rPr>
          <w:sz w:val="20"/>
          <w:szCs w:val="20"/>
          <w:color w:val="auto"/>
        </w:rPr>
      </w:pPr>
    </w:p>
    <w:p>
      <w:pPr>
        <w:jc w:val="both"/>
        <w:ind w:right="420" w:firstLine="1018"/>
        <w:spacing w:after="0" w:line="279" w:lineRule="auto"/>
        <w:rPr>
          <w:sz w:val="20"/>
          <w:szCs w:val="20"/>
          <w:color w:val="auto"/>
        </w:rPr>
      </w:pPr>
      <w:r>
        <w:rPr>
          <w:rFonts w:ascii="Arial" w:cs="Arial" w:eastAsia="Arial" w:hAnsi="Arial"/>
          <w:sz w:val="18"/>
          <w:szCs w:val="18"/>
          <w:color w:val="auto"/>
        </w:rPr>
        <w:t>ICL is wholly-owned by the Company’s founder and Executive Chairman and his family. The Company’s Chief Scientific Officer is the brother of the founder and Executive Chairman and uncle of the Company’s Chief Executive Officer. The founder and Executive Chairman is also the father of the Company’s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39" w:lineRule="exact"/>
        <w:rPr>
          <w:sz w:val="20"/>
          <w:szCs w:val="20"/>
          <w:color w:val="auto"/>
        </w:rPr>
      </w:pPr>
    </w:p>
    <w:p>
      <w:pPr>
        <w:ind w:right="20" w:firstLine="1018"/>
        <w:spacing w:after="0" w:line="311" w:lineRule="auto"/>
        <w:rPr>
          <w:sz w:val="20"/>
          <w:szCs w:val="20"/>
          <w:color w:val="auto"/>
        </w:rPr>
      </w:pPr>
      <w:r>
        <w:rPr>
          <w:rFonts w:ascii="Arial" w:cs="Arial" w:eastAsia="Arial" w:hAnsi="Arial"/>
          <w:sz w:val="16"/>
          <w:szCs w:val="16"/>
          <w:color w:val="auto"/>
        </w:rPr>
        <w:t>In January 2019, the Company entered into a one year service agreement with ICL. This agreement was amended in January 2020 to extend the period for an additional year and expired in December 2020. The Company is presently operating under a service agreement with ICL executed in June 2021, retroactive to January 1, 2021. The Company or ICL may terminate services under the service agreement upon 60 days' notice to the other party, except for occupancy which requires six months' notice. The service agreement specifies the scope of services to be provided by ICL as well as the methods for determining the costs of services for the year ended December 31, 2021. Costs are billed on a monthly basis and based upon the hours incurred by ICL employees working on behalf of Rani as well as allocations of expenses based upon Rani’s utilization of ICL’s facilities and equipment.</w:t>
      </w:r>
    </w:p>
    <w:p>
      <w:pPr>
        <w:spacing w:after="0" w:line="163" w:lineRule="exact"/>
        <w:rPr>
          <w:sz w:val="20"/>
          <w:szCs w:val="20"/>
          <w:color w:val="auto"/>
        </w:rPr>
      </w:pPr>
    </w:p>
    <w:p>
      <w:pPr>
        <w:ind w:right="100" w:firstLine="1018"/>
        <w:spacing w:after="0" w:line="266" w:lineRule="auto"/>
        <w:rPr>
          <w:sz w:val="20"/>
          <w:szCs w:val="20"/>
          <w:color w:val="auto"/>
        </w:rPr>
      </w:pPr>
      <w:r>
        <w:rPr>
          <w:rFonts w:ascii="Arial" w:cs="Arial" w:eastAsia="Arial" w:hAnsi="Arial"/>
          <w:sz w:val="18"/>
          <w:szCs w:val="18"/>
          <w:color w:val="auto"/>
        </w:rPr>
        <w:t>In June 2021, RMS entered into the RMS-ICL Service Agreement with ICL effective January 1, 2021 (the "RMS-ICL Service Agreement"), pursuant to which ICL agreed to rent a specified portion of its facility to RMS. Additionally, RMS and ICL agreed to provide personnel services to the other upon requests based on rates specified in the agreement. The RMS-ICL Service Agreement has a 12-month term and will automatically renew for successive 12-month periods unless terminated. For the six months ended June 30, 2020 and 2021, RMS charged ICL $0.2 million and $0.3 million for services performed, respectively, and such amounts charged were recorded as a reduction to research and development expense in the condensed consolidated statement of operations and comprehensive loss.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right="100" w:firstLine="1018"/>
        <w:spacing w:after="0" w:line="293" w:lineRule="auto"/>
        <w:rPr>
          <w:sz w:val="20"/>
          <w:szCs w:val="20"/>
          <w:color w:val="auto"/>
        </w:rPr>
      </w:pPr>
      <w:r>
        <w:rPr>
          <w:rFonts w:ascii="Arial" w:cs="Arial" w:eastAsia="Arial" w:hAnsi="Arial"/>
          <w:sz w:val="18"/>
          <w:szCs w:val="18"/>
          <w:color w:val="auto"/>
        </w:rPr>
        <w:t>The table below details the amounts charged by ICL for services and rent, net of the amount that RMS charged ICL, which is included in the condensed consolidated statements of operations and comprehensive loss (in thousands):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236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43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320" w:type="dxa"/>
            <w:vAlign w:val="bottom"/>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7"/>
                <w:szCs w:val="17"/>
                <w:color w:val="auto"/>
              </w:rPr>
            </w:pPr>
          </w:p>
        </w:tc>
      </w:tr>
      <w:tr>
        <w:trPr>
          <w:trHeight w:val="25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1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(63 )</w:t>
            </w: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6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22"/>
                <w:szCs w:val="22"/>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r>
      <w:tr>
        <w:trPr>
          <w:trHeight w:val="290"/>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307</w:t>
            </w:r>
          </w:p>
        </w:tc>
        <w:tc>
          <w:tcPr>
            <w:tcW w:w="2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w:t>
            </w:r>
          </w:p>
        </w:tc>
        <w:tc>
          <w:tcPr>
            <w:tcW w:w="2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522</w:t>
            </w:r>
          </w:p>
        </w:tc>
        <w:tc>
          <w:tcPr>
            <w:tcW w:w="2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-25400</wp:posOffset>
            </wp:positionV>
            <wp:extent cx="1460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1460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-25400</wp:posOffset>
            </wp:positionV>
            <wp:extent cx="1714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1714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1289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1289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9" w:lineRule="exact"/>
        <w:rPr>
          <w:sz w:val="20"/>
          <w:szCs w:val="20"/>
          <w:color w:val="auto"/>
        </w:rPr>
      </w:pPr>
    </w:p>
    <w:p>
      <w:pPr>
        <w:ind w:right="480" w:firstLine="1018"/>
        <w:spacing w:after="0" w:line="359" w:lineRule="auto"/>
        <w:rPr>
          <w:sz w:val="20"/>
          <w:szCs w:val="20"/>
          <w:color w:val="auto"/>
        </w:rPr>
      </w:pPr>
      <w:r>
        <w:rPr>
          <w:rFonts w:ascii="Arial" w:cs="Arial" w:eastAsia="Arial" w:hAnsi="Arial"/>
          <w:sz w:val="16"/>
          <w:szCs w:val="16"/>
          <w:color w:val="auto"/>
        </w:rPr>
        <w:t>The Company’s eligible employees are permitted to participate in ICL’s 401(k) Plan (“401(k) Plan”). Participation in the 401(k) Plan is offered for the benefit of the employees, including the Company’s named executive officers, and who satisfy certain eligibility requirements.</w:t>
      </w:r>
    </w:p>
    <w:p>
      <w:pPr>
        <w:spacing w:after="0" w:line="125" w:lineRule="exact"/>
        <w:rPr>
          <w:sz w:val="20"/>
          <w:szCs w:val="20"/>
          <w:color w:val="auto"/>
        </w:rPr>
      </w:pPr>
    </w:p>
    <w:p>
      <w:pPr>
        <w:ind w:right="360" w:firstLine="1018"/>
        <w:spacing w:after="0" w:line="293" w:lineRule="auto"/>
        <w:rPr>
          <w:sz w:val="20"/>
          <w:szCs w:val="20"/>
          <w:color w:val="auto"/>
        </w:rPr>
      </w:pPr>
      <w:r>
        <w:rPr>
          <w:rFonts w:ascii="Arial" w:cs="Arial" w:eastAsia="Arial" w:hAnsi="Arial"/>
          <w:sz w:val="18"/>
          <w:szCs w:val="18"/>
          <w:color w:val="auto"/>
        </w:rPr>
        <w:t>All of Rani's facilities are owned by an entity affiliated with the Company’s Executive Chairman. Rani pays for the use of these facilities through the services agreement with ICL.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39" w:lineRule="exact"/>
        <w:rPr>
          <w:sz w:val="20"/>
          <w:szCs w:val="20"/>
          <w:color w:val="auto"/>
        </w:rPr>
      </w:pPr>
    </w:p>
    <w:p>
      <w:pPr>
        <w:ind w:right="160" w:firstLine="1018"/>
        <w:spacing w:after="0" w:line="293" w:lineRule="auto"/>
        <w:rPr>
          <w:sz w:val="20"/>
          <w:szCs w:val="20"/>
          <w:color w:val="auto"/>
        </w:rPr>
      </w:pPr>
      <w:r>
        <w:rPr>
          <w:rFonts w:ascii="Arial" w:cs="Arial" w:eastAsia="Arial" w:hAnsi="Arial"/>
          <w:sz w:val="18"/>
          <w:szCs w:val="18"/>
          <w:color w:val="auto"/>
        </w:rPr>
        <w:t>From inception to the first half of 2017, Rani advanced funds to ICL, and ICL made payments directly to certain vendors on behalf of Rani, Rani has reimbursed ICL for all such payments at cost on a monthly basis.</w:t>
      </w:r>
    </w:p>
    <w:p>
      <w:pPr>
        <w:spacing w:after="0" w:line="170" w:lineRule="exact"/>
        <w:rPr>
          <w:sz w:val="20"/>
          <w:szCs w:val="20"/>
          <w:color w:val="auto"/>
        </w:rPr>
      </w:pPr>
    </w:p>
    <w:p>
      <w:pPr>
        <w:ind w:right="20" w:firstLine="1018"/>
        <w:spacing w:after="0" w:line="279" w:lineRule="auto"/>
        <w:rPr>
          <w:sz w:val="20"/>
          <w:szCs w:val="20"/>
          <w:color w:val="auto"/>
        </w:rPr>
      </w:pPr>
      <w:r>
        <w:rPr>
          <w:rFonts w:ascii="Arial" w:cs="Arial" w:eastAsia="Arial" w:hAnsi="Arial"/>
          <w:sz w:val="18"/>
          <w:szCs w:val="18"/>
          <w:color w:val="auto"/>
        </w:rPr>
        <w:t>In June 2017, Rani converted the outstanding net advances of $6.6 million to ICL into three notes receivable. The notes provide for interest at 1.97% compounded annually, loan fees of 2.75% and are payable upon demand to Rani any time after January 1, 2024. During 2020, the Company received $0.2 million in payments for interest and repayment of principal on the remaining notes receivable.</w:t>
      </w:r>
    </w:p>
    <w:p>
      <w:pPr>
        <w:spacing w:after="0" w:line="183" w:lineRule="exact"/>
        <w:rPr>
          <w:sz w:val="20"/>
          <w:szCs w:val="20"/>
          <w:color w:val="auto"/>
        </w:rPr>
      </w:pPr>
    </w:p>
    <w:p>
      <w:pPr>
        <w:ind w:right="260" w:firstLine="1018"/>
        <w:spacing w:after="0" w:line="293" w:lineRule="auto"/>
        <w:rPr>
          <w:sz w:val="20"/>
          <w:szCs w:val="20"/>
          <w:color w:val="auto"/>
        </w:rPr>
      </w:pPr>
      <w:r>
        <w:rPr>
          <w:rFonts w:ascii="Arial" w:cs="Arial" w:eastAsia="Arial" w:hAnsi="Arial"/>
          <w:sz w:val="18"/>
          <w:szCs w:val="18"/>
          <w:color w:val="auto"/>
        </w:rPr>
        <w:t>As of December 31, 2020, $1.7 million of the notes receivable was outstanding. In March 2021, the outstanding balance due, including all accrued interest, was fully repaid by ICL.</w:t>
      </w:r>
    </w:p>
    <w:p>
      <w:pPr>
        <w:spacing w:after="0" w:line="170" w:lineRule="exact"/>
        <w:rPr>
          <w:sz w:val="20"/>
          <w:szCs w:val="20"/>
          <w:color w:val="auto"/>
        </w:rPr>
      </w:pPr>
    </w:p>
    <w:p>
      <w:pPr>
        <w:ind w:right="80" w:firstLine="1018"/>
        <w:spacing w:after="0" w:line="279" w:lineRule="auto"/>
        <w:rPr>
          <w:sz w:val="20"/>
          <w:szCs w:val="20"/>
          <w:color w:val="auto"/>
        </w:rPr>
      </w:pPr>
      <w:r>
        <w:rPr>
          <w:rFonts w:ascii="Arial" w:cs="Arial" w:eastAsia="Arial" w:hAnsi="Arial"/>
          <w:sz w:val="18"/>
          <w:szCs w:val="18"/>
          <w:color w:val="auto"/>
        </w:rPr>
        <w:t>During 2020, the Company amended certain Series B warrants held by an entity affiliated with ICL. In December 2020, this entity elected to cashless exercise all of their Series B warrants in return for 51,341 Series B units (see Note 7). This same entity also acquired 59,312 Series D units for $1.0 million in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39" w:lineRule="exact"/>
        <w:rPr>
          <w:sz w:val="20"/>
          <w:szCs w:val="20"/>
          <w:color w:val="auto"/>
        </w:rPr>
      </w:pPr>
    </w:p>
    <w:p>
      <w:pPr>
        <w:ind w:right="120" w:firstLine="1018"/>
        <w:spacing w:after="0" w:line="271" w:lineRule="auto"/>
        <w:rPr>
          <w:sz w:val="20"/>
          <w:szCs w:val="20"/>
          <w:color w:val="auto"/>
        </w:rPr>
      </w:pPr>
      <w:r>
        <w:rPr>
          <w:rFonts w:ascii="Arial" w:cs="Arial" w:eastAsia="Arial" w:hAnsi="Arial"/>
          <w:sz w:val="18"/>
          <w:szCs w:val="18"/>
          <w:color w:val="auto"/>
        </w:rPr>
        <w:t>The Company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condensed consolidated balance sheet as the transaction was considered a common control transaction.</w:t>
      </w:r>
    </w:p>
    <w:p>
      <w:pPr>
        <w:spacing w:after="0" w:line="191" w:lineRule="exact"/>
        <w:rPr>
          <w:sz w:val="20"/>
          <w:szCs w:val="20"/>
          <w:color w:val="auto"/>
        </w:rPr>
      </w:pPr>
    </w:p>
    <w:p>
      <w:pPr>
        <w:ind w:firstLine="1018"/>
        <w:spacing w:after="0" w:line="286" w:lineRule="auto"/>
        <w:rPr>
          <w:sz w:val="20"/>
          <w:szCs w:val="20"/>
          <w:color w:val="auto"/>
        </w:rPr>
      </w:pPr>
      <w:r>
        <w:rPr>
          <w:rFonts w:ascii="Arial" w:cs="Arial" w:eastAsia="Arial" w:hAnsi="Arial"/>
          <w:sz w:val="17"/>
          <w:szCs w:val="17"/>
          <w:color w:val="auto"/>
        </w:rPr>
        <w:t>In June 2021, ICL and the Company entered into an Amended and Restated Exclusive License Agreement which replaces the 2012 Exclusive License Agreement, as amended in 2013, and terminates the Intellectual Property Agreement, as amended in June 2013. Under the Amended and Restated License Agreement, the Company will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will cover patent-related expenses and, after a certain period, the Company will have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ind w:firstLine="1018"/>
        <w:spacing w:after="0" w:line="290" w:lineRule="auto"/>
        <w:rPr>
          <w:sz w:val="20"/>
          <w:szCs w:val="20"/>
          <w:color w:val="auto"/>
        </w:rPr>
      </w:pPr>
      <w:r>
        <w:rPr>
          <w:rFonts w:ascii="Arial" w:cs="Arial" w:eastAsia="Arial" w:hAnsi="Arial"/>
          <w:sz w:val="17"/>
          <w:szCs w:val="17"/>
          <w:color w:val="auto"/>
        </w:rPr>
        <w:t>In June 2021, the Company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39" w:lineRule="exact"/>
        <w:rPr>
          <w:sz w:val="20"/>
          <w:szCs w:val="20"/>
          <w:color w:val="auto"/>
        </w:rPr>
      </w:pPr>
    </w:p>
    <w:p>
      <w:pPr>
        <w:ind w:right="80" w:firstLine="1018"/>
        <w:spacing w:after="0" w:line="290" w:lineRule="auto"/>
        <w:rPr>
          <w:sz w:val="20"/>
          <w:szCs w:val="20"/>
          <w:color w:val="auto"/>
        </w:rPr>
      </w:pPr>
      <w:r>
        <w:rPr>
          <w:rFonts w:ascii="Arial" w:cs="Arial" w:eastAsia="Arial" w:hAnsi="Arial"/>
          <w:sz w:val="17"/>
          <w:szCs w:val="17"/>
          <w:color w:val="auto"/>
        </w:rPr>
        <w:t>In June 2021, the Company entered into the Mir Agreement, pursuant to which the Company and Mir Imran agreed that the Company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Services</w:t>
      </w:r>
    </w:p>
    <w:p>
      <w:pPr>
        <w:spacing w:after="0" w:line="239" w:lineRule="exact"/>
        <w:rPr>
          <w:sz w:val="20"/>
          <w:szCs w:val="20"/>
          <w:color w:val="auto"/>
        </w:rPr>
      </w:pPr>
    </w:p>
    <w:p>
      <w:pPr>
        <w:ind w:right="340" w:firstLine="1018"/>
        <w:spacing w:after="0" w:line="293" w:lineRule="auto"/>
        <w:rPr>
          <w:sz w:val="20"/>
          <w:szCs w:val="20"/>
          <w:color w:val="auto"/>
        </w:rPr>
      </w:pPr>
      <w:r>
        <w:rPr>
          <w:rFonts w:ascii="Arial" w:cs="Arial" w:eastAsia="Arial" w:hAnsi="Arial"/>
          <w:sz w:val="18"/>
          <w:szCs w:val="18"/>
          <w:color w:val="auto"/>
        </w:rPr>
        <w:t>During the year ended December 31, 2020, the Company made a $0.2 million payment to a member of the Board of Managers for legacy board services provided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Sales Transactions</w:t>
      </w:r>
    </w:p>
    <w:p>
      <w:pPr>
        <w:spacing w:after="0" w:line="239" w:lineRule="exact"/>
        <w:rPr>
          <w:sz w:val="20"/>
          <w:szCs w:val="20"/>
          <w:color w:val="auto"/>
        </w:rPr>
      </w:pPr>
    </w:p>
    <w:p>
      <w:pPr>
        <w:ind w:right="120" w:firstLine="1018"/>
        <w:spacing w:after="0" w:line="272" w:lineRule="auto"/>
        <w:rPr>
          <w:sz w:val="20"/>
          <w:szCs w:val="20"/>
          <w:color w:val="auto"/>
        </w:rPr>
      </w:pPr>
      <w:r>
        <w:rPr>
          <w:rFonts w:ascii="Arial" w:cs="Arial" w:eastAsia="Arial" w:hAnsi="Arial"/>
          <w:sz w:val="18"/>
          <w:szCs w:val="18"/>
          <w:color w:val="auto"/>
        </w:rPr>
        <w:t>In February 2021, one of the Company's named executive officer's and then member of the Board of Managers, and a current member of the Board of Managers sold a total of 210,000 common units to a third-party investor at $7.1471 per unit. The Company determined that the sales price was above fair value of such units and as a result recorded equity-based compensation expense of $0.5 million for which $0.2 million was recorded as general and administrative expense and $0.3 million was recorded as research and development expense. The $0.5 million represents the difference between the sales price and fair value of the common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unit warrants</w:t>
      </w:r>
    </w:p>
    <w:p>
      <w:pPr>
        <w:spacing w:after="0" w:line="239" w:lineRule="exact"/>
        <w:rPr>
          <w:sz w:val="20"/>
          <w:szCs w:val="20"/>
          <w:color w:val="auto"/>
        </w:rPr>
      </w:pPr>
    </w:p>
    <w:p>
      <w:pPr>
        <w:ind w:right="180" w:firstLine="1018"/>
        <w:spacing w:after="0" w:line="288" w:lineRule="auto"/>
        <w:rPr>
          <w:sz w:val="20"/>
          <w:szCs w:val="20"/>
          <w:color w:val="auto"/>
        </w:rPr>
      </w:pPr>
      <w:r>
        <w:rPr>
          <w:rFonts w:ascii="Arial" w:cs="Arial" w:eastAsia="Arial" w:hAnsi="Arial"/>
          <w:sz w:val="17"/>
          <w:szCs w:val="17"/>
          <w:color w:val="auto"/>
        </w:rPr>
        <w:t>In September 2020, in conjunction with a loan and security Agreement (see Note 11), the Company issued warrants to purchase up to 118,929 Series E preferred units. The Series E warrants are exercisable for a period of seven years from the grant date at an exercise price of $7.1471 per unit. At June 30, 2021 and December 31, 2020 all of these Series E warrants were outstanding. In the event of a change of control or IPO, the Series E warrants were to automatically be exchanged for the same number of units of the Company’s securities for no consideration had the holder of the warrant elected to exercise the warrant immediately prior to a change in control or IPO. In conjunction with the Rani Holdings IPO in August 2021, the Series A warrants were exchanged for Class A common units of the Company as part of a set of organization transactions. These Class A common units were then exchanged for 62,887 shares of Rani Holdings Class A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warrants</w:t>
      </w:r>
    </w:p>
    <w:p>
      <w:pPr>
        <w:spacing w:after="0" w:line="239" w:lineRule="exact"/>
        <w:rPr>
          <w:sz w:val="20"/>
          <w:szCs w:val="20"/>
          <w:color w:val="auto"/>
        </w:rPr>
      </w:pPr>
    </w:p>
    <w:p>
      <w:pPr>
        <w:ind w:right="20" w:firstLine="1018"/>
        <w:spacing w:after="0" w:line="311" w:lineRule="auto"/>
        <w:rPr>
          <w:sz w:val="20"/>
          <w:szCs w:val="20"/>
          <w:color w:val="auto"/>
        </w:rPr>
      </w:pPr>
      <w:r>
        <w:rPr>
          <w:rFonts w:ascii="Arial" w:cs="Arial" w:eastAsia="Arial" w:hAnsi="Arial"/>
          <w:sz w:val="16"/>
          <w:szCs w:val="16"/>
          <w:color w:val="auto"/>
        </w:rPr>
        <w:t>In 2017, in conjunction with the Series D convertible preferred unit financing, the Company issued 229,315 common unit warrants with an exercise price of $2.18 per unit and an exercise period of five years. The Company recorded the issuance-date fair value of the common warrants of $0.3 million in equity as the warrant met all criteria for equity classification. In January 2021, 6,000 common unit warrants were exercised at $2.18 per share. At June 30, 2021 and December 31, 2020, 223,315 common unit warrants and 229,315 common unit warrants were outstanding, respectively. In conjunction with the Rani Holdings IPO in August 2021, the common warrants were net exchanged for Class A common units of the Company as part of a set of organization transactions. These Class A common units were then exchanged for 71,867 shares of Rani Holdings Class A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Members’ deficit</w:t>
      </w:r>
    </w:p>
    <w:p>
      <w:pPr>
        <w:spacing w:after="0" w:line="243" w:lineRule="exact"/>
        <w:rPr>
          <w:sz w:val="20"/>
          <w:szCs w:val="20"/>
          <w:color w:val="auto"/>
        </w:rPr>
      </w:pPr>
    </w:p>
    <w:p>
      <w:pPr>
        <w:ind w:right="40" w:firstLine="1018"/>
        <w:spacing w:after="0" w:line="266" w:lineRule="auto"/>
        <w:rPr>
          <w:sz w:val="20"/>
          <w:szCs w:val="20"/>
          <w:color w:val="auto"/>
        </w:rPr>
      </w:pPr>
      <w:r>
        <w:rPr>
          <w:rFonts w:ascii="Arial" w:cs="Arial" w:eastAsia="Arial" w:hAnsi="Arial"/>
          <w:sz w:val="18"/>
          <w:szCs w:val="18"/>
          <w:color w:val="auto"/>
        </w:rPr>
        <w:t>Under the Fourth Amended and Restated Limited Liability Company Agreement (the “Operating Agreement”), the Company is authorized to issue 101,000,000 common units, of which 10,850,000 have been reserved for issuance as Profits Interests and 32,620,000 are reserved for six separate classes, the Series A convertible preferred units (the “Series A units”), the Series B</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both"/>
        <w:ind w:right="160"/>
        <w:spacing w:after="0" w:line="279" w:lineRule="auto"/>
        <w:rPr>
          <w:sz w:val="20"/>
          <w:szCs w:val="20"/>
          <w:color w:val="auto"/>
        </w:rPr>
      </w:pPr>
      <w:r>
        <w:rPr>
          <w:rFonts w:ascii="Arial" w:cs="Arial" w:eastAsia="Arial" w:hAnsi="Arial"/>
          <w:sz w:val="18"/>
          <w:szCs w:val="18"/>
          <w:color w:val="auto"/>
        </w:rPr>
        <w:t>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83" w:lineRule="exact"/>
        <w:rPr>
          <w:sz w:val="20"/>
          <w:szCs w:val="20"/>
          <w:color w:val="auto"/>
        </w:rPr>
      </w:pPr>
    </w:p>
    <w:p>
      <w:pPr>
        <w:ind w:right="100" w:firstLine="1018"/>
        <w:spacing w:after="0" w:line="275" w:lineRule="auto"/>
        <w:rPr>
          <w:sz w:val="20"/>
          <w:szCs w:val="20"/>
          <w:color w:val="auto"/>
        </w:rPr>
      </w:pPr>
      <w:r>
        <w:rPr>
          <w:rFonts w:ascii="Arial" w:cs="Arial" w:eastAsia="Arial" w:hAnsi="Arial"/>
          <w:sz w:val="18"/>
          <w:szCs w:val="18"/>
          <w:color w:val="auto"/>
        </w:rPr>
        <w:t>The members of the Company who hold these common and Preferred Units are not liable, solely by reason of being a member, for the debts, obligations, or liabilities of the Company whether arising in contract or tort; under a judgment, decree, or order of a court; or otherwise. The members are not obligated to make capital contributions to the Company. The Company will dissolve generally only upon the written consent of a majority of the members.</w:t>
      </w:r>
    </w:p>
    <w:p>
      <w:pPr>
        <w:spacing w:after="0" w:line="185" w:lineRule="exact"/>
        <w:rPr>
          <w:sz w:val="20"/>
          <w:szCs w:val="20"/>
          <w:color w:val="auto"/>
        </w:rPr>
      </w:pPr>
    </w:p>
    <w:p>
      <w:pPr>
        <w:ind w:right="80" w:firstLine="1018"/>
        <w:spacing w:after="0" w:line="293" w:lineRule="auto"/>
        <w:rPr>
          <w:sz w:val="20"/>
          <w:szCs w:val="20"/>
          <w:color w:val="auto"/>
        </w:rPr>
      </w:pPr>
      <w:r>
        <w:rPr>
          <w:rFonts w:ascii="Arial" w:cs="Arial" w:eastAsia="Arial" w:hAnsi="Arial"/>
          <w:sz w:val="18"/>
          <w:szCs w:val="18"/>
          <w:color w:val="auto"/>
        </w:rPr>
        <w:t>The Company’s Profits Interests may be subject to either a combination of service, market, or performance vesting conditions. Vested Profits Interests are treated as common units for purposes of distributions.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39"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In October 2020, the Company entered into a Series E Preferred Unit Purchase Agreement (“Series E Agreement”). Between October 2020 and January 2021, the Company sold a total of 10,493,767 units of its Series E units at a purchase price of $7.1471 per unit, for total net proceeds of $74.8 million, net of issuance costs of $0.2 million. The subsequent closings were considered to be mutual options as neither the purchasers nor the Company had a commitment or obligation to purchase or sell additional units. As such, these rights were not accounted for separately. The Series E units were sold at a price lower than the Series C-1 and Series D units resulting in an anti-dilution adjustment to the Series C-1 and Series D conversion prices. The anti-dilution adjustment did not create a contingent beneficial conversion.</w:t>
      </w:r>
    </w:p>
    <w:p>
      <w:pPr>
        <w:spacing w:after="0" w:line="19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Company’s convertible preferred units consisted of the following (in thousands, except unit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Units</w:t>
            </w:r>
          </w:p>
        </w:tc>
        <w:tc>
          <w:tcPr>
            <w:tcW w:w="11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ind w:right="134"/>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4"/>
              <w:spacing w:after="0"/>
              <w:rPr>
                <w:sz w:val="20"/>
                <w:szCs w:val="20"/>
                <w:color w:val="auto"/>
              </w:rPr>
            </w:pPr>
            <w:r>
              <w:rPr>
                <w:rFonts w:ascii="Arial" w:cs="Arial" w:eastAsia="Arial" w:hAnsi="Arial"/>
                <w:sz w:val="14"/>
                <w:szCs w:val="14"/>
                <w:b w:val="1"/>
                <w:bCs w:val="1"/>
                <w:color w:val="auto"/>
                <w:w w:val="98"/>
              </w:rPr>
              <w:t>Liquidation</w:t>
            </w:r>
          </w:p>
        </w:tc>
        <w:tc>
          <w:tcPr>
            <w:tcW w:w="2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Units issuable</w:t>
            </w:r>
          </w:p>
        </w:tc>
        <w:tc>
          <w:tcPr>
            <w:tcW w:w="100" w:type="dxa"/>
            <w:vAlign w:val="bottom"/>
          </w:tcPr>
          <w:p>
            <w:pPr>
              <w:spacing w:after="0"/>
              <w:rPr>
                <w:sz w:val="17"/>
                <w:szCs w:val="17"/>
                <w:color w:val="auto"/>
              </w:rPr>
            </w:pPr>
          </w:p>
        </w:tc>
      </w:tr>
      <w:tr>
        <w:trPr>
          <w:trHeight w:val="190"/>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Authorized</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Preference</w:t>
            </w:r>
          </w:p>
        </w:tc>
        <w:tc>
          <w:tcPr>
            <w:tcW w:w="24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upon conversion</w:t>
            </w:r>
          </w:p>
        </w:tc>
        <w:tc>
          <w:tcPr>
            <w:tcW w:w="100" w:type="dxa"/>
            <w:vAlign w:val="bottom"/>
          </w:tcPr>
          <w:p>
            <w:pPr>
              <w:spacing w:after="0"/>
              <w:rPr>
                <w:sz w:val="16"/>
                <w:szCs w:val="16"/>
                <w:color w:val="auto"/>
              </w:rPr>
            </w:pPr>
          </w:p>
        </w:tc>
      </w:tr>
      <w:tr>
        <w:trPr>
          <w:trHeight w:val="256"/>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Series A convertible preferred units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FF0FC"/>
          </w:tcPr>
          <w:p>
            <w:pPr>
              <w:spacing w:after="0"/>
              <w:rPr>
                <w:sz w:val="22"/>
                <w:szCs w:val="22"/>
                <w:color w:val="auto"/>
              </w:rPr>
            </w:pPr>
          </w:p>
        </w:tc>
      </w:tr>
      <w:tr>
        <w:trPr>
          <w:trHeight w:val="25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Series B convertible preferred units</w:t>
            </w:r>
          </w:p>
        </w:tc>
        <w:tc>
          <w:tcPr>
            <w:tcW w:w="1280" w:type="dxa"/>
            <w:vAlign w:val="bottom"/>
          </w:tcPr>
          <w:p>
            <w:pPr>
              <w:jc w:val="right"/>
              <w:spacing w:after="0"/>
              <w:rPr>
                <w:sz w:val="20"/>
                <w:szCs w:val="20"/>
                <w:color w:val="auto"/>
              </w:rPr>
            </w:pPr>
            <w:r>
              <w:rPr>
                <w:rFonts w:ascii="Arial" w:cs="Arial" w:eastAsia="Arial" w:hAnsi="Arial"/>
                <w:sz w:val="18"/>
                <w:szCs w:val="18"/>
                <w:color w:val="auto"/>
              </w:rPr>
              <w:t>2,600,000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2,510,246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10,080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19,332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2,510,246</w:t>
            </w:r>
          </w:p>
        </w:tc>
        <w:tc>
          <w:tcPr>
            <w:tcW w:w="100" w:type="dxa"/>
            <w:vAlign w:val="bottom"/>
          </w:tcPr>
          <w:p>
            <w:pPr>
              <w:spacing w:after="0"/>
              <w:rPr>
                <w:sz w:val="21"/>
                <w:szCs w:val="21"/>
                <w:color w:val="auto"/>
              </w:rPr>
            </w:pPr>
          </w:p>
        </w:tc>
      </w:tr>
      <w:tr>
        <w:trPr>
          <w:trHeight w:val="263"/>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Series C convertible preferred units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4,972,115</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32,348</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32,488</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4,972,115</w:t>
            </w:r>
          </w:p>
        </w:tc>
        <w:tc>
          <w:tcPr>
            <w:tcW w:w="100" w:type="dxa"/>
            <w:vAlign w:val="bottom"/>
            <w:shd w:val="clear" w:color="auto" w:fill="CFF0FC"/>
          </w:tcPr>
          <w:p>
            <w:pPr>
              <w:spacing w:after="0"/>
              <w:rPr>
                <w:sz w:val="22"/>
                <w:szCs w:val="22"/>
                <w:color w:val="auto"/>
              </w:rPr>
            </w:pPr>
          </w:p>
        </w:tc>
      </w:tr>
      <w:tr>
        <w:trPr>
          <w:trHeight w:val="25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Series C-1 convertible preferred units</w:t>
            </w:r>
          </w:p>
        </w:tc>
        <w:tc>
          <w:tcPr>
            <w:tcW w:w="1280" w:type="dxa"/>
            <w:vAlign w:val="bottom"/>
          </w:tcPr>
          <w:p>
            <w:pPr>
              <w:jc w:val="right"/>
              <w:spacing w:after="0"/>
              <w:rPr>
                <w:sz w:val="20"/>
                <w:szCs w:val="20"/>
                <w:color w:val="auto"/>
              </w:rPr>
            </w:pPr>
            <w:r>
              <w:rPr>
                <w:rFonts w:ascii="Arial" w:cs="Arial" w:eastAsia="Arial" w:hAnsi="Arial"/>
                <w:sz w:val="18"/>
                <w:szCs w:val="18"/>
                <w:color w:val="auto"/>
              </w:rPr>
              <w:t>2,520,000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2,504,099</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17,607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18,270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2,511,608</w:t>
            </w:r>
          </w:p>
        </w:tc>
        <w:tc>
          <w:tcPr>
            <w:tcW w:w="100" w:type="dxa"/>
            <w:vAlign w:val="bottom"/>
          </w:tcPr>
          <w:p>
            <w:pPr>
              <w:spacing w:after="0"/>
              <w:rPr>
                <w:sz w:val="21"/>
                <w:szCs w:val="21"/>
                <w:color w:val="auto"/>
              </w:rPr>
            </w:pPr>
          </w:p>
        </w:tc>
      </w:tr>
      <w:tr>
        <w:trPr>
          <w:trHeight w:val="263"/>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Series D convertible preferred units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7,500,000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3,149,577</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52,214</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49,174</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3,400,875</w:t>
            </w:r>
          </w:p>
        </w:tc>
        <w:tc>
          <w:tcPr>
            <w:tcW w:w="100" w:type="dxa"/>
            <w:vAlign w:val="bottom"/>
            <w:shd w:val="clear" w:color="auto" w:fill="CFF0FC"/>
          </w:tcPr>
          <w:p>
            <w:pPr>
              <w:spacing w:after="0"/>
              <w:rPr>
                <w:sz w:val="22"/>
                <w:szCs w:val="22"/>
                <w:color w:val="auto"/>
              </w:rPr>
            </w:pPr>
          </w:p>
        </w:tc>
      </w:tr>
      <w:tr>
        <w:trPr>
          <w:trHeight w:val="25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Series E convertible preferred units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11,000,000</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10,493,767</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74,811</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10,493,767</w:t>
            </w:r>
          </w:p>
        </w:tc>
        <w:tc>
          <w:tcPr>
            <w:tcW w:w="100" w:type="dxa"/>
            <w:vAlign w:val="bottom"/>
          </w:tcPr>
          <w:p>
            <w:pPr>
              <w:spacing w:after="0"/>
              <w:rPr>
                <w:sz w:val="21"/>
                <w:szCs w:val="21"/>
                <w:color w:val="auto"/>
              </w:rPr>
            </w:pPr>
          </w:p>
        </w:tc>
      </w:tr>
      <w:tr>
        <w:trPr>
          <w:trHeight w:val="250"/>
        </w:trPr>
        <w:tc>
          <w:tcPr>
            <w:tcW w:w="3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32,620,000</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27,629,804</w:t>
            </w:r>
          </w:p>
        </w:tc>
        <w:tc>
          <w:tcPr>
            <w:tcW w:w="26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191,034</w:t>
            </w:r>
          </w:p>
        </w:tc>
        <w:tc>
          <w:tcPr>
            <w:tcW w:w="24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202,264</w:t>
            </w:r>
          </w:p>
        </w:tc>
        <w:tc>
          <w:tcPr>
            <w:tcW w:w="24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27,888,611</w:t>
            </w:r>
          </w:p>
        </w:tc>
        <w:tc>
          <w:tcPr>
            <w:tcW w:w="100" w:type="dxa"/>
            <w:vAlign w:val="bottom"/>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9"/>
        </w:trPr>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Units</w:t>
            </w:r>
          </w:p>
        </w:tc>
        <w:tc>
          <w:tcPr>
            <w:tcW w:w="11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center"/>
              <w:ind w:right="134"/>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14"/>
              <w:spacing w:after="0"/>
              <w:rPr>
                <w:sz w:val="20"/>
                <w:szCs w:val="20"/>
                <w:color w:val="auto"/>
              </w:rPr>
            </w:pPr>
            <w:r>
              <w:rPr>
                <w:rFonts w:ascii="Arial" w:cs="Arial" w:eastAsia="Arial" w:hAnsi="Arial"/>
                <w:sz w:val="14"/>
                <w:szCs w:val="14"/>
                <w:b w:val="1"/>
                <w:bCs w:val="1"/>
                <w:color w:val="auto"/>
                <w:w w:val="98"/>
              </w:rPr>
              <w:t>Liquidation</w:t>
            </w:r>
          </w:p>
        </w:tc>
        <w:tc>
          <w:tcPr>
            <w:tcW w:w="2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Units issuable</w:t>
            </w:r>
          </w:p>
        </w:tc>
        <w:tc>
          <w:tcPr>
            <w:tcW w:w="100" w:type="dxa"/>
            <w:vAlign w:val="bottom"/>
          </w:tcPr>
          <w:p>
            <w:pPr>
              <w:spacing w:after="0"/>
              <w:rPr>
                <w:sz w:val="24"/>
                <w:szCs w:val="24"/>
                <w:color w:val="auto"/>
              </w:rPr>
            </w:pPr>
          </w:p>
        </w:tc>
      </w:tr>
      <w:tr>
        <w:trPr>
          <w:trHeight w:val="190"/>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Authorized</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Preference</w:t>
            </w:r>
          </w:p>
        </w:tc>
        <w:tc>
          <w:tcPr>
            <w:tcW w:w="24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upon conversion</w:t>
            </w:r>
          </w:p>
        </w:tc>
        <w:tc>
          <w:tcPr>
            <w:tcW w:w="100" w:type="dxa"/>
            <w:vAlign w:val="bottom"/>
          </w:tcPr>
          <w:p>
            <w:pPr>
              <w:spacing w:after="0"/>
              <w:rPr>
                <w:sz w:val="16"/>
                <w:szCs w:val="16"/>
                <w:color w:val="auto"/>
              </w:rPr>
            </w:pPr>
          </w:p>
        </w:tc>
      </w:tr>
      <w:tr>
        <w:trPr>
          <w:trHeight w:val="256"/>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Series A units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FF0FC"/>
          </w:tcPr>
          <w:p>
            <w:pPr>
              <w:spacing w:after="0"/>
              <w:rPr>
                <w:sz w:val="22"/>
                <w:szCs w:val="22"/>
                <w:color w:val="auto"/>
              </w:rPr>
            </w:pPr>
          </w:p>
        </w:tc>
      </w:tr>
      <w:tr>
        <w:trPr>
          <w:trHeight w:val="25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Series B units</w:t>
            </w:r>
          </w:p>
        </w:tc>
        <w:tc>
          <w:tcPr>
            <w:tcW w:w="1280" w:type="dxa"/>
            <w:vAlign w:val="bottom"/>
          </w:tcPr>
          <w:p>
            <w:pPr>
              <w:jc w:val="right"/>
              <w:spacing w:after="0"/>
              <w:rPr>
                <w:sz w:val="20"/>
                <w:szCs w:val="20"/>
                <w:color w:val="auto"/>
              </w:rPr>
            </w:pPr>
            <w:r>
              <w:rPr>
                <w:rFonts w:ascii="Arial" w:cs="Arial" w:eastAsia="Arial" w:hAnsi="Arial"/>
                <w:sz w:val="18"/>
                <w:szCs w:val="18"/>
                <w:color w:val="auto"/>
              </w:rPr>
              <w:t>2,600,000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2,510,246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10,080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19,332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2,510,246</w:t>
            </w:r>
          </w:p>
        </w:tc>
        <w:tc>
          <w:tcPr>
            <w:tcW w:w="100" w:type="dxa"/>
            <w:vAlign w:val="bottom"/>
          </w:tcPr>
          <w:p>
            <w:pPr>
              <w:spacing w:after="0"/>
              <w:rPr>
                <w:sz w:val="21"/>
                <w:szCs w:val="21"/>
                <w:color w:val="auto"/>
              </w:rPr>
            </w:pPr>
          </w:p>
        </w:tc>
      </w:tr>
      <w:tr>
        <w:trPr>
          <w:trHeight w:val="263"/>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Series C units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4,972,115</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32,348</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32,488</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4,972,115</w:t>
            </w:r>
          </w:p>
        </w:tc>
        <w:tc>
          <w:tcPr>
            <w:tcW w:w="100" w:type="dxa"/>
            <w:vAlign w:val="bottom"/>
            <w:shd w:val="clear" w:color="auto" w:fill="CFF0FC"/>
          </w:tcPr>
          <w:p>
            <w:pPr>
              <w:spacing w:after="0"/>
              <w:rPr>
                <w:sz w:val="22"/>
                <w:szCs w:val="22"/>
                <w:color w:val="auto"/>
              </w:rPr>
            </w:pPr>
          </w:p>
        </w:tc>
      </w:tr>
      <w:tr>
        <w:trPr>
          <w:trHeight w:val="25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Series C-1 units</w:t>
            </w:r>
          </w:p>
        </w:tc>
        <w:tc>
          <w:tcPr>
            <w:tcW w:w="1280" w:type="dxa"/>
            <w:vAlign w:val="bottom"/>
          </w:tcPr>
          <w:p>
            <w:pPr>
              <w:jc w:val="right"/>
              <w:spacing w:after="0"/>
              <w:rPr>
                <w:sz w:val="20"/>
                <w:szCs w:val="20"/>
                <w:color w:val="auto"/>
              </w:rPr>
            </w:pPr>
            <w:r>
              <w:rPr>
                <w:rFonts w:ascii="Arial" w:cs="Arial" w:eastAsia="Arial" w:hAnsi="Arial"/>
                <w:sz w:val="18"/>
                <w:szCs w:val="18"/>
                <w:color w:val="auto"/>
              </w:rPr>
              <w:t>2,520,000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2,504,099</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17,607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18,325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2,511,058</w:t>
            </w:r>
          </w:p>
        </w:tc>
        <w:tc>
          <w:tcPr>
            <w:tcW w:w="100" w:type="dxa"/>
            <w:vAlign w:val="bottom"/>
          </w:tcPr>
          <w:p>
            <w:pPr>
              <w:spacing w:after="0"/>
              <w:rPr>
                <w:sz w:val="21"/>
                <w:szCs w:val="21"/>
                <w:color w:val="auto"/>
              </w:rPr>
            </w:pPr>
          </w:p>
        </w:tc>
      </w:tr>
      <w:tr>
        <w:trPr>
          <w:trHeight w:val="263"/>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Series D units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7,500,000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3,149,577</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52,214</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53,102</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3,380,906</w:t>
            </w:r>
          </w:p>
        </w:tc>
        <w:tc>
          <w:tcPr>
            <w:tcW w:w="100" w:type="dxa"/>
            <w:vAlign w:val="bottom"/>
            <w:shd w:val="clear" w:color="auto" w:fill="CFF0FC"/>
          </w:tcPr>
          <w:p>
            <w:pPr>
              <w:spacing w:after="0"/>
              <w:rPr>
                <w:sz w:val="22"/>
                <w:szCs w:val="22"/>
                <w:color w:val="auto"/>
              </w:rPr>
            </w:pPr>
          </w:p>
        </w:tc>
      </w:tr>
      <w:tr>
        <w:trPr>
          <w:trHeight w:val="25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Series E units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11,000,000</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9,609,491</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68,491</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68,680</w:t>
            </w:r>
          </w:p>
        </w:tc>
        <w:tc>
          <w:tcPr>
            <w:tcW w:w="24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9,609,491</w:t>
            </w:r>
          </w:p>
        </w:tc>
        <w:tc>
          <w:tcPr>
            <w:tcW w:w="100" w:type="dxa"/>
            <w:vAlign w:val="bottom"/>
          </w:tcPr>
          <w:p>
            <w:pPr>
              <w:spacing w:after="0"/>
              <w:rPr>
                <w:sz w:val="21"/>
                <w:szCs w:val="21"/>
                <w:color w:val="auto"/>
              </w:rPr>
            </w:pPr>
          </w:p>
        </w:tc>
      </w:tr>
      <w:tr>
        <w:trPr>
          <w:trHeight w:val="250"/>
        </w:trPr>
        <w:tc>
          <w:tcPr>
            <w:tcW w:w="3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32,620,000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26,745,528</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184,714</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199,927</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26,983,816</w:t>
            </w:r>
          </w:p>
        </w:tc>
        <w:tc>
          <w:tcPr>
            <w:tcW w:w="100" w:type="dxa"/>
            <w:vAlign w:val="bottom"/>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provides a summary of the rights of the holders of convertible preferred and common units, prior to the Offering:</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Conversion Rights</w:t>
      </w:r>
    </w:p>
    <w:p>
      <w:pPr>
        <w:spacing w:after="0" w:line="239" w:lineRule="exact"/>
        <w:rPr>
          <w:sz w:val="20"/>
          <w:szCs w:val="20"/>
          <w:color w:val="auto"/>
        </w:rPr>
      </w:pPr>
    </w:p>
    <w:p>
      <w:pPr>
        <w:jc w:val="both"/>
        <w:ind w:right="300" w:firstLine="1018"/>
        <w:spacing w:after="0" w:line="303" w:lineRule="auto"/>
        <w:rPr>
          <w:sz w:val="20"/>
          <w:szCs w:val="20"/>
          <w:color w:val="auto"/>
        </w:rPr>
      </w:pPr>
      <w:r>
        <w:rPr>
          <w:rFonts w:ascii="Arial" w:cs="Arial" w:eastAsia="Arial" w:hAnsi="Arial"/>
          <w:sz w:val="17"/>
          <w:szCs w:val="17"/>
          <w:color w:val="auto"/>
        </w:rPr>
        <w:t>The holders of Preferred Units have the right to convert the Preferred Units at any time into common units at an initial conversion ratio of one-to-one, subject to certain adjustments. The Preferred Units will automatically convert into common units at the conversion rate in effect at that time immediately upon the closing of an IPO that results in total proceeds to the Company of at least $100.0 million.</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Redemption rights</w:t>
      </w:r>
    </w:p>
    <w:p>
      <w:pPr>
        <w:spacing w:after="0" w:line="239" w:lineRule="exact"/>
        <w:rPr>
          <w:sz w:val="20"/>
          <w:szCs w:val="20"/>
          <w:color w:val="auto"/>
        </w:rPr>
      </w:pPr>
    </w:p>
    <w:p>
      <w:pPr>
        <w:ind w:right="700" w:firstLine="1018"/>
        <w:spacing w:after="0" w:line="299" w:lineRule="auto"/>
        <w:rPr>
          <w:sz w:val="20"/>
          <w:szCs w:val="20"/>
          <w:color w:val="auto"/>
        </w:rPr>
      </w:pPr>
      <w:r>
        <w:rPr>
          <w:rFonts w:ascii="Arial" w:cs="Arial" w:eastAsia="Arial" w:hAnsi="Arial"/>
          <w:sz w:val="16"/>
          <w:szCs w:val="16"/>
          <w:color w:val="auto"/>
        </w:rPr>
        <w:t>No Preferred Units or common units are unilaterally redeemable by either the unitholders or the Company; however, the Company’s Operating Agreement provides that upon any liquidation event such units shall be entitled to receive the applicable liquidation preference.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left="1020"/>
        <w:spacing w:after="0"/>
        <w:rPr>
          <w:sz w:val="20"/>
          <w:szCs w:val="20"/>
          <w:color w:val="auto"/>
        </w:rPr>
      </w:pPr>
      <w:r>
        <w:rPr>
          <w:rFonts w:ascii="Arial" w:cs="Arial" w:eastAsia="Arial" w:hAnsi="Arial"/>
          <w:sz w:val="18"/>
          <w:szCs w:val="18"/>
          <w:i w:val="1"/>
          <w:iCs w:val="1"/>
          <w:color w:val="auto"/>
        </w:rPr>
        <w:t>Net Income and Loss Allocation</w:t>
      </w:r>
    </w:p>
    <w:p>
      <w:pPr>
        <w:spacing w:after="0" w:line="239" w:lineRule="exact"/>
        <w:rPr>
          <w:sz w:val="20"/>
          <w:szCs w:val="20"/>
          <w:color w:val="auto"/>
        </w:rPr>
      </w:pPr>
    </w:p>
    <w:p>
      <w:pPr>
        <w:ind w:right="60" w:firstLine="1018"/>
        <w:spacing w:after="0" w:line="314" w:lineRule="auto"/>
        <w:rPr>
          <w:sz w:val="20"/>
          <w:szCs w:val="20"/>
          <w:color w:val="auto"/>
        </w:rPr>
      </w:pPr>
      <w:r>
        <w:rPr>
          <w:rFonts w:ascii="Arial" w:cs="Arial" w:eastAsia="Arial" w:hAnsi="Arial"/>
          <w:sz w:val="16"/>
          <w:szCs w:val="16"/>
          <w:color w:val="auto"/>
        </w:rPr>
        <w:t>Net income and loss shall be allocated to the Preferred Units in a manner that if the Company were to liquidate completely and in connection with such liquidation (i) sell all of its assets at their carrying values, defined as the fair market value, (ii) settle all of its liabilities to the extent of the available assets of the Company, and (iii) each Preferred Unit holder were to pay to the Company at that time the amount of any obligation then unconditionally due to the Company, then each Preferred Unit holder’s capital account balance would correspond as closely as possible to the distributions that would result if the distributions to such Preferred Unit holders were made in accordance with the Operating Agreement.</w:t>
      </w:r>
    </w:p>
    <w:p>
      <w:pPr>
        <w:spacing w:after="0" w:line="160"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Distributions</w:t>
      </w:r>
    </w:p>
    <w:p>
      <w:pPr>
        <w:spacing w:after="0" w:line="239" w:lineRule="exact"/>
        <w:rPr>
          <w:sz w:val="20"/>
          <w:szCs w:val="20"/>
          <w:color w:val="auto"/>
        </w:rPr>
      </w:pPr>
    </w:p>
    <w:p>
      <w:pPr>
        <w:ind w:right="80" w:firstLine="1018"/>
        <w:spacing w:after="0" w:line="275" w:lineRule="auto"/>
        <w:rPr>
          <w:sz w:val="20"/>
          <w:szCs w:val="20"/>
          <w:color w:val="auto"/>
        </w:rPr>
      </w:pPr>
      <w:r>
        <w:rPr>
          <w:rFonts w:ascii="Arial" w:cs="Arial" w:eastAsia="Arial" w:hAnsi="Arial"/>
          <w:sz w:val="18"/>
          <w:szCs w:val="18"/>
          <w:color w:val="auto"/>
        </w:rPr>
        <w:t>Distributions of the Company’s assets to Preferred Unit holders or common unit holders shall be made with the approval of the Board of Managers and with sufficient working capital reserves retained. There shall be no distribution to the Preferred Unit holders until such time as the Company has earned gross revenues of $20.0 million on a cumulative basis (or such other lesser amount as unanimously approved by the board of managers). The Company has not declared any distributions to date.</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After the Company earns $20.0 million and prior to $50.0 million in gross revenue on a cumulative basis, distributions are as follows:</w:t>
      </w:r>
    </w:p>
    <w:p>
      <w:pPr>
        <w:spacing w:after="0" w:line="304" w:lineRule="exact"/>
        <w:rPr>
          <w:sz w:val="20"/>
          <w:szCs w:val="20"/>
          <w:color w:val="auto"/>
        </w:rPr>
      </w:pPr>
    </w:p>
    <w:p>
      <w:pPr>
        <w:ind w:left="1340" w:right="120" w:hanging="333"/>
        <w:spacing w:after="0" w:line="293"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until the cumulative amount of distributions made with respect to each unit equals their aggregate capital contributions; and</w:t>
      </w:r>
    </w:p>
    <w:p>
      <w:pPr>
        <w:spacing w:after="0" w:line="237" w:lineRule="exact"/>
        <w:rPr>
          <w:rFonts w:ascii="Arial" w:cs="Arial" w:eastAsia="Arial" w:hAnsi="Arial"/>
          <w:sz w:val="18"/>
          <w:szCs w:val="18"/>
          <w:color w:val="auto"/>
        </w:rPr>
      </w:pPr>
    </w:p>
    <w:p>
      <w:pPr>
        <w:ind w:left="1340" w:hanging="333"/>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Second, to common unit holders pro rata in proportion to the number of common units held.</w:t>
      </w:r>
    </w:p>
    <w:p>
      <w:pPr>
        <w:spacing w:after="0" w:line="200" w:lineRule="exact"/>
        <w:rPr>
          <w:sz w:val="20"/>
          <w:szCs w:val="20"/>
          <w:color w:val="auto"/>
        </w:rPr>
      </w:pPr>
    </w:p>
    <w:p>
      <w:pPr>
        <w:spacing w:after="0" w:line="28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After the Company earns $50.0 million and prior to $100.0 million in gross revenue on a cumulative basis, distributions are as follows:</w:t>
      </w:r>
    </w:p>
    <w:p>
      <w:pPr>
        <w:spacing w:after="0" w:line="304" w:lineRule="exact"/>
        <w:rPr>
          <w:sz w:val="20"/>
          <w:szCs w:val="20"/>
          <w:color w:val="auto"/>
        </w:rPr>
      </w:pPr>
    </w:p>
    <w:p>
      <w:pPr>
        <w:ind w:left="1340" w:right="80" w:hanging="333"/>
        <w:spacing w:after="0" w:line="293"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First, to Preferred and common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units, until the cumulative amount of distributions made with respect to each unit equals their aggregate capital contributions;</w:t>
      </w:r>
    </w:p>
    <w:p>
      <w:pPr>
        <w:spacing w:after="0" w:line="237" w:lineRule="exact"/>
        <w:rPr>
          <w:rFonts w:ascii="Arial" w:cs="Arial" w:eastAsia="Arial" w:hAnsi="Arial"/>
          <w:sz w:val="18"/>
          <w:szCs w:val="18"/>
          <w:color w:val="auto"/>
        </w:rPr>
      </w:pPr>
    </w:p>
    <w:p>
      <w:pPr>
        <w:ind w:left="1340" w:right="80" w:hanging="333"/>
        <w:spacing w:after="0" w:line="293"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Second, to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held, until they have been distributed an additional amount equal to their aggregate capital contributions; and</w:t>
      </w:r>
    </w:p>
    <w:p>
      <w:pPr>
        <w:spacing w:after="0" w:line="237" w:lineRule="exact"/>
        <w:rPr>
          <w:rFonts w:ascii="Arial" w:cs="Arial" w:eastAsia="Arial" w:hAnsi="Arial"/>
          <w:sz w:val="18"/>
          <w:szCs w:val="18"/>
          <w:color w:val="auto"/>
        </w:rPr>
      </w:pPr>
    </w:p>
    <w:p>
      <w:pPr>
        <w:ind w:left="1340" w:right="280" w:hanging="333"/>
        <w:spacing w:after="0" w:line="293"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 100% to common unit holders, excluding common unit holders who were formerly Preferred Unit holders subject to automatic conversion of their Preferred Units.</w:t>
      </w:r>
    </w:p>
    <w:p>
      <w:pPr>
        <w:spacing w:after="0" w:line="18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After the Company earns $100.0 million in gross revenue on a cumulative basis, distributions are as follows:</w:t>
      </w:r>
    </w:p>
    <w:p>
      <w:pPr>
        <w:spacing w:after="0" w:line="200" w:lineRule="exact"/>
        <w:rPr>
          <w:sz w:val="20"/>
          <w:szCs w:val="20"/>
          <w:color w:val="auto"/>
        </w:rPr>
      </w:pPr>
    </w:p>
    <w:p>
      <w:pPr>
        <w:spacing w:after="0" w:line="268" w:lineRule="exact"/>
        <w:rPr>
          <w:sz w:val="20"/>
          <w:szCs w:val="20"/>
          <w:color w:val="auto"/>
        </w:rPr>
      </w:pPr>
    </w:p>
    <w:p>
      <w:pPr>
        <w:ind w:left="1340" w:right="60" w:hanging="333"/>
        <w:spacing w:after="0" w:line="279"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until the cumulative amount of distributions made with respect to each unit equals their original capital contribution, then until the cumulative amount made with respect to each unit equals their aggregate contribution; and</w:t>
      </w:r>
    </w:p>
    <w:p>
      <w:pPr>
        <w:spacing w:after="0" w:line="250" w:lineRule="exact"/>
        <w:rPr>
          <w:rFonts w:ascii="Arial" w:cs="Arial" w:eastAsia="Arial" w:hAnsi="Arial"/>
          <w:sz w:val="18"/>
          <w:szCs w:val="18"/>
          <w:color w:val="auto"/>
        </w:rPr>
      </w:pPr>
    </w:p>
    <w:p>
      <w:pPr>
        <w:ind w:left="1340" w:right="340" w:hanging="333"/>
        <w:spacing w:after="0" w:line="293"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Second, to Preferred Unit holders and common unit holders pro rata in proportion to the number of common units held assuming full conversion of Preferred Units to common units at the applicable conversion rate.</w:t>
      </w:r>
    </w:p>
    <w:p>
      <w:pPr>
        <w:spacing w:after="0" w:line="200" w:lineRule="exact"/>
        <w:rPr>
          <w:sz w:val="20"/>
          <w:szCs w:val="20"/>
          <w:color w:val="auto"/>
        </w:rPr>
      </w:pP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Liquidating Distributions</w:t>
      </w:r>
    </w:p>
    <w:p>
      <w:pPr>
        <w:spacing w:after="0" w:line="239" w:lineRule="exact"/>
        <w:rPr>
          <w:sz w:val="20"/>
          <w:szCs w:val="20"/>
          <w:color w:val="auto"/>
        </w:rPr>
      </w:pPr>
    </w:p>
    <w:p>
      <w:pPr>
        <w:ind w:right="260" w:firstLine="1018"/>
        <w:spacing w:after="0" w:line="279" w:lineRule="auto"/>
        <w:rPr>
          <w:sz w:val="20"/>
          <w:szCs w:val="20"/>
          <w:color w:val="auto"/>
        </w:rPr>
      </w:pPr>
      <w:r>
        <w:rPr>
          <w:rFonts w:ascii="Arial" w:cs="Arial" w:eastAsia="Arial" w:hAnsi="Arial"/>
          <w:sz w:val="18"/>
          <w:szCs w:val="18"/>
          <w:color w:val="auto"/>
        </w:rPr>
        <w:t>In the event of any voluntary or involuntary liquidation, dissolution or winding up of the Company, including a merger or sale of the Company (“Deemed Liquidation Event”), the amount to be paid for each class of unit is equal to the original price of the issuance, plus any declared but unpaid dividends. At June 30, 2021, the liquidation priority is as follows:</w:t>
      </w:r>
    </w:p>
    <w:p>
      <w:pPr>
        <w:spacing w:after="0" w:line="237" w:lineRule="exact"/>
        <w:rPr>
          <w:sz w:val="20"/>
          <w:szCs w:val="20"/>
          <w:color w:val="auto"/>
        </w:rPr>
      </w:pPr>
    </w:p>
    <w:p>
      <w:pPr>
        <w:ind w:left="1340" w:right="160" w:hanging="333"/>
        <w:spacing w:after="0" w:line="293"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First 100% to the holders of Series E units until they have been distributed an amount equal to their aggregate capital contributions less any amounts previously distributed to the Preferred Unit holders;</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ind w:left="1340" w:right="220" w:hanging="333"/>
        <w:spacing w:after="0" w:line="293"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Second 100% to the holders of Series D units, until they have been distributed an amount equal to their aggregate capital contributions less any amounts previously distributed to the Preferred Unit holders;</w:t>
      </w:r>
    </w:p>
    <w:p>
      <w:pPr>
        <w:spacing w:after="0" w:line="237" w:lineRule="exact"/>
        <w:rPr>
          <w:rFonts w:ascii="Arial" w:cs="Arial" w:eastAsia="Arial" w:hAnsi="Arial"/>
          <w:sz w:val="18"/>
          <w:szCs w:val="18"/>
          <w:color w:val="auto"/>
        </w:rPr>
      </w:pPr>
    </w:p>
    <w:p>
      <w:pPr>
        <w:ind w:left="1340" w:right="160" w:hanging="333"/>
        <w:spacing w:after="0" w:line="272"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100% to the holders of Series A, B, C, C-1 units pari passu and pro rata in proportion to the number of Preferred Units held by each, until the holders of Series A units and Series B units have been distributed an amount equal to 200% of their aggregate capital contributions less any amounts previously distributed to the Preferred Unit holders and the holders of Series C units and C-1 units have been distributed an amount equal to their aggregate capital contributions less any amounts previously distributed to the Preferred Unit holders; and</w:t>
      </w:r>
    </w:p>
    <w:p>
      <w:pPr>
        <w:spacing w:after="0" w:line="258" w:lineRule="exact"/>
        <w:rPr>
          <w:rFonts w:ascii="Arial" w:cs="Arial" w:eastAsia="Arial" w:hAnsi="Arial"/>
          <w:sz w:val="18"/>
          <w:szCs w:val="18"/>
          <w:color w:val="auto"/>
        </w:rPr>
      </w:pPr>
    </w:p>
    <w:p>
      <w:pPr>
        <w:ind w:left="1340" w:right="60" w:hanging="333"/>
        <w:spacing w:after="0" w:line="279"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Thereafter, 100% to the holders of Series A, B, and common units pari passu and pro rata in proportion to the number of common units held by each, assuming full conversion of the Preferred Units into common units at the then-applicable conversion rate, as defined in the Operating Agreement.</w:t>
      </w:r>
    </w:p>
    <w:p>
      <w:pPr>
        <w:spacing w:after="0" w:line="19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Tax Distributions</w:t>
      </w:r>
    </w:p>
    <w:p>
      <w:pPr>
        <w:spacing w:after="0" w:line="239" w:lineRule="exact"/>
        <w:rPr>
          <w:sz w:val="20"/>
          <w:szCs w:val="20"/>
          <w:color w:val="auto"/>
        </w:rPr>
      </w:pPr>
    </w:p>
    <w:p>
      <w:pPr>
        <w:ind w:right="240" w:firstLine="1018"/>
        <w:spacing w:after="0" w:line="293" w:lineRule="auto"/>
        <w:rPr>
          <w:sz w:val="20"/>
          <w:szCs w:val="20"/>
          <w:color w:val="auto"/>
        </w:rPr>
      </w:pPr>
      <w:r>
        <w:rPr>
          <w:rFonts w:ascii="Arial" w:cs="Arial" w:eastAsia="Arial" w:hAnsi="Arial"/>
          <w:sz w:val="18"/>
          <w:szCs w:val="18"/>
          <w:color w:val="auto"/>
        </w:rPr>
        <w:t>Within ninety days of the end of each fiscal year, the Company will make a distribution to each holder of units out of any available cash of the Company an amount equal to the excess of the sum of:</w:t>
      </w:r>
    </w:p>
    <w:p>
      <w:pPr>
        <w:spacing w:after="0" w:line="224" w:lineRule="exact"/>
        <w:rPr>
          <w:sz w:val="20"/>
          <w:szCs w:val="20"/>
          <w:color w:val="auto"/>
        </w:rPr>
      </w:pPr>
    </w:p>
    <w:p>
      <w:pPr>
        <w:ind w:left="1340" w:right="420" w:hanging="333"/>
        <w:spacing w:after="0" w:line="279"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product of any amount of net income and gain taxable at ordinary tax rates allocated with respect to each unit and the maximum marginal rate of federal, state and local income and employment tax applicable to an individual subject to tax with respect to such income or gain, and</w:t>
      </w:r>
    </w:p>
    <w:p>
      <w:pPr>
        <w:spacing w:after="0" w:line="250" w:lineRule="exact"/>
        <w:rPr>
          <w:rFonts w:ascii="Arial" w:cs="Arial" w:eastAsia="Arial" w:hAnsi="Arial"/>
          <w:sz w:val="18"/>
          <w:szCs w:val="18"/>
          <w:color w:val="auto"/>
        </w:rPr>
      </w:pPr>
    </w:p>
    <w:p>
      <w:pPr>
        <w:ind w:left="1340" w:right="160" w:hanging="333"/>
        <w:spacing w:after="0" w:line="279"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product of the amount of net income and gain table at long-term capital gains rates allocated with respect to such unit and the maximum marginal rate of federal, state and local income and employment tax applicable to an individual subject to tax with respect to such income or gain, and</w:t>
      </w:r>
    </w:p>
    <w:p>
      <w:pPr>
        <w:spacing w:after="0" w:line="250" w:lineRule="exact"/>
        <w:rPr>
          <w:rFonts w:ascii="Arial" w:cs="Arial" w:eastAsia="Arial" w:hAnsi="Arial"/>
          <w:sz w:val="18"/>
          <w:szCs w:val="18"/>
          <w:color w:val="auto"/>
        </w:rPr>
      </w:pPr>
    </w:p>
    <w:p>
      <w:pPr>
        <w:ind w:left="1340" w:right="140" w:hanging="333"/>
        <w:spacing w:after="0" w:line="272"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of allocation by the Company of net income or gain taxable at a rate other than the ordinary or long-term capital gains rates contemplated in clauses (i) and (ii) above, the product of the amount of such net income and gain taxable at such other rate allocated with respect to such unit and the maximum marginal rate of federal, state and local income and employment tax applicable to an individual subject to tax with respect to such income or gain, over the cumulative cash distributions previously made with respect to such unit.</w:t>
      </w:r>
    </w:p>
    <w:p>
      <w:pPr>
        <w:spacing w:after="0" w:line="2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 tax distributions were made during any of the periods presented.</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Voting Rights</w:t>
      </w:r>
    </w:p>
    <w:p>
      <w:pPr>
        <w:spacing w:after="0" w:line="239" w:lineRule="exact"/>
        <w:rPr>
          <w:sz w:val="20"/>
          <w:szCs w:val="20"/>
          <w:color w:val="auto"/>
        </w:rPr>
      </w:pPr>
    </w:p>
    <w:p>
      <w:pPr>
        <w:ind w:right="380" w:firstLine="1018"/>
        <w:spacing w:after="0" w:line="359" w:lineRule="auto"/>
        <w:rPr>
          <w:sz w:val="20"/>
          <w:szCs w:val="20"/>
          <w:color w:val="auto"/>
        </w:rPr>
      </w:pPr>
      <w:r>
        <w:rPr>
          <w:rFonts w:ascii="Arial" w:cs="Arial" w:eastAsia="Arial" w:hAnsi="Arial"/>
          <w:sz w:val="16"/>
          <w:szCs w:val="16"/>
          <w:color w:val="auto"/>
        </w:rPr>
        <w:t>The holders of Preferred Units, on an as converted to common unit basis, and the holders of common units shall vote together and not as separate voting groups on all matters required or permitted to be voted on, consented to, or taken or approved by the unit holders of the Company.</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Registration Rights</w:t>
      </w:r>
    </w:p>
    <w:p>
      <w:pPr>
        <w:spacing w:after="0" w:line="239" w:lineRule="exact"/>
        <w:rPr>
          <w:sz w:val="20"/>
          <w:szCs w:val="20"/>
          <w:color w:val="auto"/>
        </w:rPr>
      </w:pPr>
    </w:p>
    <w:p>
      <w:pPr>
        <w:jc w:val="both"/>
        <w:ind w:right="200" w:firstLine="1018"/>
        <w:spacing w:after="0" w:line="299" w:lineRule="auto"/>
        <w:rPr>
          <w:sz w:val="20"/>
          <w:szCs w:val="20"/>
          <w:color w:val="auto"/>
        </w:rPr>
      </w:pPr>
      <w:r>
        <w:rPr>
          <w:rFonts w:ascii="Arial" w:cs="Arial" w:eastAsia="Arial" w:hAnsi="Arial"/>
          <w:sz w:val="16"/>
          <w:szCs w:val="16"/>
          <w:color w:val="auto"/>
        </w:rPr>
        <w:t>Under our investors’ rights agreement, certain holders of our units have the right to demand that we file a registration statement or request that their units be covered by a registration statement that we are otherwise filing. Holders of the Company’s Preferred Units have the right to request the Company to file certain registration statements with the Securities and Exchange Commission for the registration of shares related to the Preferred Units.</w:t>
      </w:r>
    </w:p>
    <w:p>
      <w:pPr>
        <w:spacing w:after="0" w:line="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 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Common Units</w:t>
      </w:r>
    </w:p>
    <w:p>
      <w:pPr>
        <w:spacing w:after="0" w:line="239" w:lineRule="exact"/>
        <w:rPr>
          <w:sz w:val="20"/>
          <w:szCs w:val="20"/>
          <w:color w:val="auto"/>
        </w:rPr>
      </w:pPr>
    </w:p>
    <w:p>
      <w:pPr>
        <w:ind w:right="80" w:firstLine="1018"/>
        <w:spacing w:after="0" w:line="293" w:lineRule="auto"/>
        <w:rPr>
          <w:sz w:val="20"/>
          <w:szCs w:val="20"/>
          <w:color w:val="auto"/>
        </w:rPr>
      </w:pPr>
      <w:r>
        <w:rPr>
          <w:rFonts w:ascii="Arial" w:cs="Arial" w:eastAsia="Arial" w:hAnsi="Arial"/>
          <w:sz w:val="18"/>
          <w:szCs w:val="18"/>
          <w:color w:val="auto"/>
        </w:rPr>
        <w:t>Holders of the Company’s common units have no explicit redemption rights and vote on a one-to-one basis based on the number of common units held. Common units reserved for future issuance, consisted of the following as of:</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62"/>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6"/>
                <w:szCs w:val="16"/>
                <w:color w:val="auto"/>
              </w:rPr>
            </w:pPr>
          </w:p>
        </w:tc>
        <w:tc>
          <w:tcPr>
            <w:tcW w:w="158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r>
      <w:tr>
        <w:trPr>
          <w:trHeight w:val="208"/>
        </w:trPr>
        <w:tc>
          <w:tcPr>
            <w:tcW w:w="6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of Units/Shares</w:t>
            </w:r>
          </w:p>
        </w:tc>
        <w:tc>
          <w:tcPr>
            <w:tcW w:w="160" w:type="dxa"/>
            <w:vAlign w:val="bottom"/>
          </w:tcPr>
          <w:p>
            <w:pPr>
              <w:spacing w:after="0"/>
              <w:rPr>
                <w:sz w:val="18"/>
                <w:szCs w:val="18"/>
                <w:color w:val="auto"/>
              </w:rPr>
            </w:pPr>
          </w:p>
        </w:tc>
        <w:tc>
          <w:tcPr>
            <w:tcW w:w="16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15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5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Units reserved for conversion of outstanding Series A</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FF0FC"/>
          </w:tcPr>
          <w:p>
            <w:pPr>
              <w:spacing w:after="0"/>
              <w:rPr>
                <w:sz w:val="22"/>
                <w:szCs w:val="22"/>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8"/>
                <w:szCs w:val="18"/>
                <w:color w:val="auto"/>
              </w:rPr>
              <w:t>Units reserved for conversion of outstanding Series B</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2,510,246</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2,510,246</w:t>
            </w:r>
          </w:p>
        </w:tc>
        <w:tc>
          <w:tcPr>
            <w:tcW w:w="80" w:type="dxa"/>
            <w:vAlign w:val="bottom"/>
          </w:tcPr>
          <w:p>
            <w:pPr>
              <w:spacing w:after="0"/>
              <w:rPr>
                <w:sz w:val="21"/>
                <w:szCs w:val="21"/>
                <w:color w:val="auto"/>
              </w:rPr>
            </w:pPr>
          </w:p>
        </w:tc>
      </w:tr>
      <w:tr>
        <w:trPr>
          <w:trHeight w:val="26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Units reserved for conversion of outstanding Series C</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4,972,115</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4,972,115</w:t>
            </w:r>
          </w:p>
        </w:tc>
        <w:tc>
          <w:tcPr>
            <w:tcW w:w="80" w:type="dxa"/>
            <w:vAlign w:val="bottom"/>
            <w:shd w:val="clear" w:color="auto" w:fill="CFF0FC"/>
          </w:tcPr>
          <w:p>
            <w:pPr>
              <w:spacing w:after="0"/>
              <w:rPr>
                <w:sz w:val="22"/>
                <w:szCs w:val="22"/>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8"/>
                <w:szCs w:val="18"/>
                <w:color w:val="auto"/>
              </w:rPr>
              <w:t>Units reserved for conversion of outstanding Series C-1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2,511,608</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2,511,058</w:t>
            </w:r>
          </w:p>
        </w:tc>
        <w:tc>
          <w:tcPr>
            <w:tcW w:w="80" w:type="dxa"/>
            <w:vAlign w:val="bottom"/>
          </w:tcPr>
          <w:p>
            <w:pPr>
              <w:spacing w:after="0"/>
              <w:rPr>
                <w:sz w:val="21"/>
                <w:szCs w:val="21"/>
                <w:color w:val="auto"/>
              </w:rPr>
            </w:pPr>
          </w:p>
        </w:tc>
      </w:tr>
      <w:tr>
        <w:trPr>
          <w:trHeight w:val="26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Units reserved for conversion of outstanding Series D</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3,400,875</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3,380,906</w:t>
            </w:r>
          </w:p>
        </w:tc>
        <w:tc>
          <w:tcPr>
            <w:tcW w:w="80" w:type="dxa"/>
            <w:vAlign w:val="bottom"/>
            <w:shd w:val="clear" w:color="auto" w:fill="CFF0FC"/>
          </w:tcPr>
          <w:p>
            <w:pPr>
              <w:spacing w:after="0"/>
              <w:rPr>
                <w:sz w:val="22"/>
                <w:szCs w:val="22"/>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8"/>
                <w:szCs w:val="18"/>
                <w:color w:val="auto"/>
              </w:rPr>
              <w:t>Units reserved for conversion of outstanding Series 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10,493,767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9,609,491</w:t>
            </w:r>
          </w:p>
        </w:tc>
        <w:tc>
          <w:tcPr>
            <w:tcW w:w="80" w:type="dxa"/>
            <w:vAlign w:val="bottom"/>
          </w:tcPr>
          <w:p>
            <w:pPr>
              <w:spacing w:after="0"/>
              <w:rPr>
                <w:sz w:val="21"/>
                <w:szCs w:val="21"/>
                <w:color w:val="auto"/>
              </w:rPr>
            </w:pPr>
          </w:p>
        </w:tc>
      </w:tr>
      <w:tr>
        <w:trPr>
          <w:trHeight w:val="26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Units reserved for Profit Interests, issued and outstanding</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8,547,401</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6,926,358</w:t>
            </w:r>
          </w:p>
        </w:tc>
        <w:tc>
          <w:tcPr>
            <w:tcW w:w="80" w:type="dxa"/>
            <w:vAlign w:val="bottom"/>
            <w:shd w:val="clear" w:color="auto" w:fill="CFF0FC"/>
          </w:tcPr>
          <w:p>
            <w:pPr>
              <w:spacing w:after="0"/>
              <w:rPr>
                <w:sz w:val="22"/>
                <w:szCs w:val="22"/>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8"/>
                <w:szCs w:val="18"/>
                <w:color w:val="auto"/>
              </w:rPr>
              <w:t>Units reserved for options, issued and outstanding</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2,292,309</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57"/>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Units reserved for Profit Interests and options, authorized for future issuance</w:t>
            </w:r>
          </w:p>
        </w:tc>
        <w:tc>
          <w:tcPr>
            <w:tcW w:w="16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w:t>
            </w:r>
          </w:p>
        </w:tc>
        <w:tc>
          <w:tcPr>
            <w:tcW w:w="26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3,923,642</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642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38,738,611</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37,833,816</w:t>
            </w:r>
          </w:p>
        </w:tc>
        <w:tc>
          <w:tcPr>
            <w:tcW w:w="80" w:type="dxa"/>
            <w:vAlign w:val="bottom"/>
          </w:tcPr>
          <w:p>
            <w:pPr>
              <w:spacing w:after="0"/>
              <w:rPr>
                <w:sz w:val="21"/>
                <w:szCs w:val="21"/>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-193675</wp:posOffset>
            </wp:positionV>
            <wp:extent cx="15430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-193675</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Equity-Based Compensation</w:t>
      </w:r>
    </w:p>
    <w:p>
      <w:pPr>
        <w:spacing w:after="0" w:line="243" w:lineRule="exact"/>
        <w:rPr>
          <w:sz w:val="20"/>
          <w:szCs w:val="20"/>
          <w:color w:val="auto"/>
        </w:rPr>
      </w:pPr>
    </w:p>
    <w:p>
      <w:pPr>
        <w:ind w:right="40" w:firstLine="1018"/>
        <w:spacing w:after="0" w:line="287" w:lineRule="auto"/>
        <w:rPr>
          <w:sz w:val="20"/>
          <w:szCs w:val="20"/>
          <w:color w:val="auto"/>
        </w:rPr>
      </w:pPr>
      <w:r>
        <w:rPr>
          <w:rFonts w:ascii="Arial" w:cs="Arial" w:eastAsia="Arial" w:hAnsi="Arial"/>
          <w:sz w:val="17"/>
          <w:szCs w:val="17"/>
          <w:color w:val="auto"/>
        </w:rPr>
        <w:t>In 2016, the Company adopted the 2016 Equity Incentive Plan (the “Plan”) under which the Board of Managers may issue options for common units, Profits Interests, and restricted common units to managers, consultants or other individuals who provide service to the Company. The Board of Managers has the authority to determine to whom Profits Interests will be granted, the number of options granted, and the Profits Interests threshold amount, which is the minimum amount determined by the Board of Managers in its reasonable discretion to be necessary to cause such interests to be treated as Profits Interests (“Threshold Amounts”). In 2020, the Board of Managers approved an additional 2,000,000 common units to be reserved under the Plan for issuance as Profit Interests. Effective April, 2021, in anticipation of the Offering the Company ceased granting Profits Interests and began to issue options for common units out of the remaining pool. At June 30, 2021 there was a total of 10,850,000 common units were reserved under the Plan, and 10,290 common units remained available for future grants.</w:t>
      </w:r>
    </w:p>
    <w:p>
      <w:pPr>
        <w:spacing w:after="0" w:line="182" w:lineRule="exact"/>
        <w:rPr>
          <w:sz w:val="20"/>
          <w:szCs w:val="20"/>
          <w:color w:val="auto"/>
        </w:rPr>
      </w:pPr>
    </w:p>
    <w:p>
      <w:pPr>
        <w:ind w:right="20" w:firstLine="1018"/>
        <w:spacing w:after="0" w:line="269" w:lineRule="auto"/>
        <w:rPr>
          <w:sz w:val="20"/>
          <w:szCs w:val="20"/>
          <w:color w:val="auto"/>
        </w:rPr>
      </w:pPr>
      <w:r>
        <w:rPr>
          <w:rFonts w:ascii="Arial" w:cs="Arial" w:eastAsia="Arial" w:hAnsi="Arial"/>
          <w:sz w:val="18"/>
          <w:szCs w:val="18"/>
          <w:color w:val="auto"/>
        </w:rPr>
        <w:t>Immediately upon receipt of a Profits Interests award, the recipient will have no initial capital account balance and the Profits Interests received shall not entitle such recipient to any portion of the capital of the Company at the time of such recipient’s admission to the Company as an unitholder member, such that if the Company’s assets were sold at fair market value immediately after the grant to such recipient of Profits Interests and the proceeds distributed in complete liquidation of the Company, the Profits Interests received would entitle such recipient to receive no portion of those proceeds. Additionally, the Company shall not make a distribution with respect to any Profits Interests unless the Company has made aggregate distributions to each interest subject to a lower or no Profits Interests Threshold Amount. The common units underlying each Profits Interests award entitle the holder, upon a sale or other specified capital transaction (as set forth in the Operating Agreement), to participate in a portion of the profits and appreciation in the equity value of the Company arising after the date of grant, as determined in reference to the Profits Interests Threshold Amount set forth in each award agreement.</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summary of Profits Interests activity during the periods indicated is as follows:</w:t>
      </w:r>
    </w:p>
    <w:p>
      <w:pPr>
        <w:spacing w:after="0" w:line="298" w:lineRule="exact"/>
        <w:rPr>
          <w:sz w:val="20"/>
          <w:szCs w:val="20"/>
          <w:color w:val="auto"/>
        </w:rPr>
      </w:pPr>
    </w:p>
    <w:tbl>
      <w:tblPr>
        <w:tblLayout w:type="fixed"/>
        <w:tblInd w:w="80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4780" w:type="dxa"/>
            <w:vAlign w:val="bottom"/>
          </w:tcPr>
          <w:p>
            <w:pPr>
              <w:spacing w:after="0"/>
              <w:rPr>
                <w:sz w:val="15"/>
                <w:szCs w:val="15"/>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5"/>
                <w:szCs w:val="15"/>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Profits</w:t>
            </w:r>
          </w:p>
        </w:tc>
      </w:tr>
      <w:tr>
        <w:trPr>
          <w:trHeight w:val="175"/>
        </w:trPr>
        <w:tc>
          <w:tcPr>
            <w:tcW w:w="4780" w:type="dxa"/>
            <w:vAlign w:val="bottom"/>
          </w:tcPr>
          <w:p>
            <w:pPr>
              <w:spacing w:after="0"/>
              <w:rPr>
                <w:sz w:val="15"/>
                <w:szCs w:val="15"/>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Profits</w:t>
            </w:r>
          </w:p>
        </w:tc>
        <w:tc>
          <w:tcPr>
            <w:tcW w:w="220" w:type="dxa"/>
            <w:vAlign w:val="bottom"/>
          </w:tcPr>
          <w:p>
            <w:pPr>
              <w:spacing w:after="0"/>
              <w:rPr>
                <w:sz w:val="15"/>
                <w:szCs w:val="15"/>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w w:val="97"/>
              </w:rPr>
              <w:t>Grant Date</w:t>
            </w:r>
          </w:p>
        </w:tc>
        <w:tc>
          <w:tcPr>
            <w:tcW w:w="260" w:type="dxa"/>
            <w:vAlign w:val="bottom"/>
          </w:tcPr>
          <w:p>
            <w:pPr>
              <w:spacing w:after="0"/>
              <w:rPr>
                <w:sz w:val="15"/>
                <w:szCs w:val="15"/>
                <w:color w:val="auto"/>
              </w:rPr>
            </w:pPr>
          </w:p>
        </w:tc>
        <w:tc>
          <w:tcPr>
            <w:tcW w:w="1440" w:type="dxa"/>
            <w:vAlign w:val="bottom"/>
          </w:tcPr>
          <w:p>
            <w:pPr>
              <w:ind w:left="440"/>
              <w:spacing w:after="0"/>
              <w:rPr>
                <w:sz w:val="20"/>
                <w:szCs w:val="20"/>
                <w:color w:val="auto"/>
              </w:rPr>
            </w:pPr>
            <w:r>
              <w:rPr>
                <w:rFonts w:ascii="Arial" w:cs="Arial" w:eastAsia="Arial" w:hAnsi="Arial"/>
                <w:sz w:val="14"/>
                <w:szCs w:val="14"/>
                <w:b w:val="1"/>
                <w:bCs w:val="1"/>
                <w:color w:val="auto"/>
              </w:rPr>
              <w:t>Interests</w:t>
            </w:r>
          </w:p>
        </w:tc>
      </w:tr>
      <w:tr>
        <w:trPr>
          <w:trHeight w:val="192"/>
        </w:trPr>
        <w:tc>
          <w:tcPr>
            <w:tcW w:w="478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Threshold</w:t>
            </w:r>
          </w:p>
        </w:tc>
      </w:tr>
      <w:tr>
        <w:trPr>
          <w:trHeight w:val="256"/>
        </w:trPr>
        <w:tc>
          <w:tcPr>
            <w:tcW w:w="4780" w:type="dxa"/>
            <w:vAlign w:val="bottom"/>
            <w:shd w:val="clear" w:color="auto" w:fill="CFF0FC"/>
          </w:tcPr>
          <w:p>
            <w:pPr>
              <w:jc w:val="right"/>
              <w:ind w:right="2470"/>
              <w:spacing w:after="0"/>
              <w:rPr>
                <w:sz w:val="20"/>
                <w:szCs w:val="20"/>
                <w:color w:val="auto"/>
              </w:rPr>
            </w:pPr>
            <w:r>
              <w:rPr>
                <w:rFonts w:ascii="Arial" w:cs="Arial" w:eastAsia="Arial" w:hAnsi="Arial"/>
                <w:sz w:val="18"/>
                <w:szCs w:val="18"/>
                <w:color w:val="auto"/>
                <w:w w:val="88"/>
              </w:rPr>
              <w:t>Balance at December 31, 2020</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6,926,358</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7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0"/>
              </w:rPr>
              <w:t>$1.44 - $2.29</w:t>
            </w:r>
          </w:p>
        </w:tc>
      </w:tr>
      <w:tr>
        <w:trPr>
          <w:trHeight w:val="250"/>
        </w:trPr>
        <w:tc>
          <w:tcPr>
            <w:tcW w:w="4780" w:type="dxa"/>
            <w:vAlign w:val="bottom"/>
          </w:tcPr>
          <w:p>
            <w:pPr>
              <w:jc w:val="right"/>
              <w:ind w:right="3630"/>
              <w:spacing w:after="0"/>
              <w:rPr>
                <w:sz w:val="20"/>
                <w:szCs w:val="20"/>
                <w:color w:val="auto"/>
              </w:rPr>
            </w:pPr>
            <w:r>
              <w:rPr>
                <w:rFonts w:ascii="Arial" w:cs="Arial" w:eastAsia="Arial" w:hAnsi="Arial"/>
                <w:sz w:val="18"/>
                <w:szCs w:val="18"/>
                <w:color w:val="auto"/>
              </w:rPr>
              <w:t>Forfeitures</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(235,957 )</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c>
          <w:tcPr>
            <w:tcW w:w="1700" w:type="dxa"/>
            <w:vAlign w:val="bottom"/>
            <w:gridSpan w:val="2"/>
          </w:tcPr>
          <w:p>
            <w:pPr>
              <w:ind w:left="720"/>
              <w:spacing w:after="0"/>
              <w:rPr>
                <w:sz w:val="20"/>
                <w:szCs w:val="20"/>
                <w:color w:val="auto"/>
              </w:rPr>
            </w:pPr>
            <w:r>
              <w:rPr>
                <w:rFonts w:ascii="Arial" w:cs="Arial" w:eastAsia="Arial" w:hAnsi="Arial"/>
                <w:sz w:val="18"/>
                <w:szCs w:val="18"/>
                <w:color w:val="auto"/>
                <w:w w:val="90"/>
              </w:rPr>
              <w:t>$1.45 - $2.29</w:t>
            </w:r>
          </w:p>
        </w:tc>
      </w:tr>
      <w:tr>
        <w:trPr>
          <w:trHeight w:val="263"/>
        </w:trPr>
        <w:tc>
          <w:tcPr>
            <w:tcW w:w="4780" w:type="dxa"/>
            <w:vAlign w:val="bottom"/>
            <w:tcBorders>
              <w:bottom w:val="single" w:sz="8" w:color="CFF0FC"/>
            </w:tcBorders>
            <w:shd w:val="clear" w:color="auto" w:fill="CFF0FC"/>
          </w:tcPr>
          <w:p>
            <w:pPr>
              <w:jc w:val="right"/>
              <w:ind w:right="2870"/>
              <w:spacing w:after="0"/>
              <w:rPr>
                <w:sz w:val="20"/>
                <w:szCs w:val="20"/>
                <w:color w:val="auto"/>
              </w:rPr>
            </w:pPr>
            <w:r>
              <w:rPr>
                <w:rFonts w:ascii="Arial" w:cs="Arial" w:eastAsia="Arial" w:hAnsi="Arial"/>
                <w:sz w:val="18"/>
                <w:szCs w:val="18"/>
                <w:color w:val="auto"/>
              </w:rPr>
              <w:t>Profit Interests grants</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1,857,000</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700" w:type="dxa"/>
            <w:vAlign w:val="bottom"/>
            <w:tcBorders>
              <w:bottom w:val="single" w:sz="8" w:color="CFF0FC"/>
            </w:tcBorders>
            <w:gridSpan w:val="2"/>
            <w:shd w:val="clear" w:color="auto" w:fill="CFF0FC"/>
          </w:tcPr>
          <w:p>
            <w:pPr>
              <w:ind w:left="720"/>
              <w:spacing w:after="0"/>
              <w:rPr>
                <w:sz w:val="20"/>
                <w:szCs w:val="20"/>
                <w:color w:val="auto"/>
              </w:rPr>
            </w:pPr>
            <w:r>
              <w:rPr>
                <w:rFonts w:ascii="Arial" w:cs="Arial" w:eastAsia="Arial" w:hAnsi="Arial"/>
                <w:sz w:val="18"/>
                <w:szCs w:val="18"/>
                <w:color w:val="auto"/>
                <w:w w:val="90"/>
              </w:rPr>
              <w:t>$1.99 - $2.13</w:t>
            </w:r>
          </w:p>
        </w:tc>
      </w:tr>
      <w:tr>
        <w:trPr>
          <w:trHeight w:val="250"/>
        </w:trPr>
        <w:tc>
          <w:tcPr>
            <w:tcW w:w="4780" w:type="dxa"/>
            <w:vAlign w:val="bottom"/>
          </w:tcPr>
          <w:p>
            <w:pPr>
              <w:jc w:val="right"/>
              <w:ind w:right="2870"/>
              <w:spacing w:after="0"/>
              <w:rPr>
                <w:sz w:val="20"/>
                <w:szCs w:val="20"/>
                <w:color w:val="auto"/>
              </w:rPr>
            </w:pPr>
            <w:r>
              <w:rPr>
                <w:rFonts w:ascii="Arial" w:cs="Arial" w:eastAsia="Arial" w:hAnsi="Arial"/>
                <w:sz w:val="18"/>
                <w:szCs w:val="18"/>
                <w:color w:val="auto"/>
                <w:w w:val="88"/>
              </w:rPr>
              <w:t>Balance at June 30,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8,547,401</w:t>
            </w:r>
          </w:p>
        </w:tc>
        <w:tc>
          <w:tcPr>
            <w:tcW w:w="30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1.70</w:t>
            </w:r>
          </w:p>
        </w:tc>
        <w:tc>
          <w:tcPr>
            <w:tcW w:w="1700" w:type="dxa"/>
            <w:vAlign w:val="bottom"/>
            <w:gridSpan w:val="2"/>
          </w:tcPr>
          <w:p>
            <w:pPr>
              <w:ind w:left="720"/>
              <w:spacing w:after="0"/>
              <w:rPr>
                <w:sz w:val="20"/>
                <w:szCs w:val="20"/>
                <w:color w:val="auto"/>
              </w:rPr>
            </w:pPr>
            <w:r>
              <w:rPr>
                <w:rFonts w:ascii="Arial" w:cs="Arial" w:eastAsia="Arial" w:hAnsi="Arial"/>
                <w:sz w:val="18"/>
                <w:szCs w:val="18"/>
                <w:color w:val="auto"/>
                <w:w w:val="90"/>
              </w:rPr>
              <w:t>$1.44 - $2.29</w:t>
            </w:r>
          </w:p>
        </w:tc>
      </w:tr>
      <w:tr>
        <w:trPr>
          <w:trHeight w:val="20"/>
        </w:trPr>
        <w:tc>
          <w:tcPr>
            <w:tcW w:w="4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-193675</wp:posOffset>
            </wp:positionV>
            <wp:extent cx="17970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9705" cy="5715"/>
                    </a:xfrm>
                    <a:prstGeom prst="rect">
                      <a:avLst/>
                    </a:prstGeom>
                    <a:noFill/>
                  </pic:spPr>
                </pic:pic>
              </a:graphicData>
            </a:graphic>
          </wp:anchor>
        </w:drawing>
      </w:r>
    </w:p>
    <w:p>
      <w:pPr>
        <w:spacing w:after="0" w:line="209" w:lineRule="exact"/>
        <w:rPr>
          <w:sz w:val="20"/>
          <w:szCs w:val="20"/>
          <w:color w:val="auto"/>
        </w:rPr>
      </w:pPr>
    </w:p>
    <w:p>
      <w:pPr>
        <w:ind w:right="260" w:firstLine="1018"/>
        <w:spacing w:after="0" w:line="319" w:lineRule="auto"/>
        <w:rPr>
          <w:sz w:val="20"/>
          <w:szCs w:val="20"/>
          <w:color w:val="auto"/>
        </w:rPr>
      </w:pPr>
      <w:r>
        <w:rPr>
          <w:rFonts w:ascii="Arial" w:cs="Arial" w:eastAsia="Arial" w:hAnsi="Arial"/>
          <w:sz w:val="16"/>
          <w:szCs w:val="16"/>
          <w:color w:val="auto"/>
        </w:rPr>
        <w:t>All Profits Interests are subject to a performance-based condition, which is subject to the achievement of certain revenue targets or a liquidation of the Company, and a service condition subject to the holder’s continued employment with Rani or ICL. An IPO accelerates the service condition vesting of the Profits Interests. No equity distribution to ICL or equity-based compensation expense to the Company have been recorded since inception, as the Company has concluded that achievement of the performance-based condition is not considered probable as of June 30, 2021.</w:t>
      </w:r>
    </w:p>
    <w:p>
      <w:pPr>
        <w:spacing w:after="0" w:line="169" w:lineRule="exact"/>
        <w:rPr>
          <w:sz w:val="20"/>
          <w:szCs w:val="20"/>
          <w:color w:val="auto"/>
        </w:rPr>
      </w:pPr>
    </w:p>
    <w:p>
      <w:pPr>
        <w:ind w:right="740" w:firstLine="1018"/>
        <w:spacing w:after="0" w:line="266" w:lineRule="auto"/>
        <w:rPr>
          <w:sz w:val="20"/>
          <w:szCs w:val="20"/>
          <w:color w:val="auto"/>
        </w:rPr>
      </w:pPr>
      <w:r>
        <w:rPr>
          <w:rFonts w:ascii="Arial" w:cs="Arial" w:eastAsia="Arial" w:hAnsi="Arial"/>
          <w:sz w:val="18"/>
          <w:szCs w:val="18"/>
          <w:color w:val="auto"/>
        </w:rPr>
        <w:t>As of June 30, 2021, there was $14.5 million of unrecognized equity-based compensation expense and distribution of equity to ICL associated with the total of all Profits Interests subject to performance conditions.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ind w:left="1020"/>
        <w:spacing w:after="0"/>
        <w:rPr>
          <w:sz w:val="20"/>
          <w:szCs w:val="20"/>
          <w:color w:val="auto"/>
        </w:rPr>
      </w:pPr>
      <w:r>
        <w:rPr>
          <w:rFonts w:ascii="Arial" w:cs="Arial" w:eastAsia="Arial" w:hAnsi="Arial"/>
          <w:sz w:val="18"/>
          <w:szCs w:val="18"/>
          <w:i w:val="1"/>
          <w:iCs w:val="1"/>
          <w:color w:val="auto"/>
        </w:rPr>
        <w:t>Options for Common Units</w:t>
      </w:r>
    </w:p>
    <w:p>
      <w:pPr>
        <w:spacing w:after="0" w:line="252" w:lineRule="exact"/>
        <w:rPr>
          <w:sz w:val="20"/>
          <w:szCs w:val="20"/>
          <w:color w:val="auto"/>
        </w:rPr>
      </w:pPr>
    </w:p>
    <w:p>
      <w:pPr>
        <w:jc w:val="both"/>
        <w:ind w:right="620" w:firstLine="1108"/>
        <w:spacing w:after="0" w:line="359" w:lineRule="auto"/>
        <w:rPr>
          <w:sz w:val="20"/>
          <w:szCs w:val="20"/>
          <w:color w:val="auto"/>
        </w:rPr>
      </w:pPr>
      <w:r>
        <w:rPr>
          <w:rFonts w:ascii="Arial" w:cs="Arial" w:eastAsia="Arial" w:hAnsi="Arial"/>
          <w:sz w:val="16"/>
          <w:szCs w:val="16"/>
          <w:color w:val="auto"/>
        </w:rPr>
        <w:t>During the second quarter of 2021, the Company granted options to acquire the Company’s common units to certain executives and members of the Board of Managers. These options for common units vest based on the grantees continued services over a three to four year period.</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summary of options for common units activity during the periods indicated is as follows:</w:t>
      </w:r>
    </w:p>
    <w:p>
      <w:pPr>
        <w:spacing w:after="0" w:line="200" w:lineRule="exact"/>
        <w:rPr>
          <w:sz w:val="20"/>
          <w:szCs w:val="20"/>
          <w:color w:val="auto"/>
        </w:rPr>
      </w:pPr>
    </w:p>
    <w:p>
      <w:pPr>
        <w:spacing w:after="0" w:line="273"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3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420" w:type="dxa"/>
            <w:vAlign w:val="bottom"/>
          </w:tcPr>
          <w:p>
            <w:pPr>
              <w:spacing w:after="0"/>
              <w:rPr>
                <w:sz w:val="15"/>
                <w:szCs w:val="15"/>
                <w:color w:val="auto"/>
              </w:rPr>
            </w:pPr>
          </w:p>
        </w:tc>
        <w:tc>
          <w:tcPr>
            <w:tcW w:w="1380" w:type="dxa"/>
            <w:vAlign w:val="bottom"/>
          </w:tcPr>
          <w:p>
            <w:pPr>
              <w:jc w:val="right"/>
              <w:ind w:right="135"/>
              <w:spacing w:after="0"/>
              <w:rPr>
                <w:sz w:val="20"/>
                <w:szCs w:val="20"/>
                <w:color w:val="auto"/>
              </w:rPr>
            </w:pPr>
            <w:r>
              <w:rPr>
                <w:rFonts w:ascii="Arial" w:cs="Arial" w:eastAsia="Arial" w:hAnsi="Arial"/>
                <w:sz w:val="14"/>
                <w:szCs w:val="14"/>
                <w:b w:val="1"/>
                <w:bCs w:val="1"/>
                <w:color w:val="auto"/>
              </w:rPr>
              <w:t>Number of Unit</w:t>
            </w:r>
          </w:p>
        </w:tc>
        <w:tc>
          <w:tcPr>
            <w:tcW w:w="220" w:type="dxa"/>
            <w:vAlign w:val="bottom"/>
          </w:tcPr>
          <w:p>
            <w:pPr>
              <w:spacing w:after="0"/>
              <w:rPr>
                <w:sz w:val="15"/>
                <w:szCs w:val="15"/>
                <w:color w:val="auto"/>
              </w:rPr>
            </w:pPr>
          </w:p>
        </w:tc>
        <w:tc>
          <w:tcPr>
            <w:tcW w:w="134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Weighted Average</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Term (in</w:t>
            </w:r>
          </w:p>
        </w:tc>
        <w:tc>
          <w:tcPr>
            <w:tcW w:w="200" w:type="dxa"/>
            <w:vAlign w:val="bottom"/>
          </w:tcPr>
          <w:p>
            <w:pPr>
              <w:spacing w:after="0"/>
              <w:rPr>
                <w:sz w:val="15"/>
                <w:szCs w:val="15"/>
                <w:color w:val="auto"/>
              </w:rPr>
            </w:pPr>
          </w:p>
        </w:tc>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Aggregate Intrinsic</w:t>
            </w:r>
          </w:p>
        </w:tc>
        <w:tc>
          <w:tcPr>
            <w:tcW w:w="60" w:type="dxa"/>
            <w:vAlign w:val="bottom"/>
          </w:tcPr>
          <w:p>
            <w:pPr>
              <w:spacing w:after="0"/>
              <w:rPr>
                <w:sz w:val="15"/>
                <w:szCs w:val="15"/>
                <w:color w:val="auto"/>
              </w:rPr>
            </w:pPr>
          </w:p>
        </w:tc>
      </w:tr>
      <w:tr>
        <w:trPr>
          <w:trHeight w:val="192"/>
        </w:trPr>
        <w:tc>
          <w:tcPr>
            <w:tcW w:w="3420" w:type="dxa"/>
            <w:vAlign w:val="bottom"/>
          </w:tcPr>
          <w:p>
            <w:pPr>
              <w:spacing w:after="0"/>
              <w:rPr>
                <w:sz w:val="16"/>
                <w:szCs w:val="16"/>
                <w:color w:val="auto"/>
              </w:rPr>
            </w:pPr>
          </w:p>
        </w:tc>
        <w:tc>
          <w:tcPr>
            <w:tcW w:w="13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Pr>
          <w:p>
            <w:pPr>
              <w:spacing w:after="0"/>
              <w:rPr>
                <w:sz w:val="16"/>
                <w:szCs w:val="16"/>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Value (in thousands)</w:t>
            </w:r>
          </w:p>
        </w:tc>
        <w:tc>
          <w:tcPr>
            <w:tcW w:w="60" w:type="dxa"/>
            <w:vAlign w:val="bottom"/>
          </w:tcPr>
          <w:p>
            <w:pPr>
              <w:spacing w:after="0"/>
              <w:rPr>
                <w:sz w:val="16"/>
                <w:szCs w:val="16"/>
                <w:color w:val="auto"/>
              </w:rPr>
            </w:pPr>
          </w:p>
        </w:tc>
      </w:tr>
      <w:tr>
        <w:trPr>
          <w:trHeight w:val="256"/>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6"/>
        </w:trPr>
        <w:tc>
          <w:tcPr>
            <w:tcW w:w="3420" w:type="dxa"/>
            <w:vAlign w:val="bottom"/>
          </w:tcPr>
          <w:p>
            <w:pPr>
              <w:ind w:left="260"/>
              <w:spacing w:after="0"/>
              <w:rPr>
                <w:sz w:val="20"/>
                <w:szCs w:val="20"/>
                <w:color w:val="auto"/>
              </w:rPr>
            </w:pPr>
            <w:r>
              <w:rPr>
                <w:rFonts w:ascii="Arial" w:cs="Arial" w:eastAsia="Arial" w:hAnsi="Arial"/>
                <w:sz w:val="18"/>
                <w:szCs w:val="18"/>
                <w:color w:val="auto"/>
              </w:rPr>
              <w:t>Options for common units granted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2,292,309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2"/>
                <w:szCs w:val="22"/>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2"/>
                <w:szCs w:val="22"/>
                <w:color w:val="auto"/>
              </w:rPr>
            </w:pPr>
          </w:p>
        </w:tc>
      </w:tr>
      <w:tr>
        <w:trPr>
          <w:trHeight w:val="290"/>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2,292,309</w:t>
            </w:r>
          </w:p>
        </w:tc>
        <w:tc>
          <w:tcPr>
            <w:tcW w:w="15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r>
      <w:tr>
        <w:trPr>
          <w:trHeight w:val="237"/>
        </w:trPr>
        <w:tc>
          <w:tcPr>
            <w:tcW w:w="3420" w:type="dxa"/>
            <w:vAlign w:val="bottom"/>
          </w:tcPr>
          <w:p>
            <w:pPr>
              <w:spacing w:after="0"/>
              <w:rPr>
                <w:sz w:val="20"/>
                <w:szCs w:val="20"/>
                <w:color w:val="auto"/>
              </w:rPr>
            </w:pPr>
            <w:r>
              <w:rPr>
                <w:rFonts w:ascii="Arial" w:cs="Arial" w:eastAsia="Arial" w:hAnsi="Arial"/>
                <w:sz w:val="18"/>
                <w:szCs w:val="18"/>
                <w:color w:val="auto"/>
              </w:rPr>
              <w:t>Exercisable at June 30, 2021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June 30, 2021</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2,292,309</w:t>
            </w:r>
          </w:p>
        </w:tc>
        <w:tc>
          <w:tcPr>
            <w:tcW w:w="15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-402590</wp:posOffset>
            </wp:positionV>
            <wp:extent cx="137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-385445</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-25400</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-8255</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20" w:firstLine="1018"/>
        <w:spacing w:after="0" w:line="293" w:lineRule="auto"/>
        <w:rPr>
          <w:sz w:val="20"/>
          <w:szCs w:val="20"/>
          <w:color w:val="auto"/>
        </w:rPr>
      </w:pPr>
      <w:r>
        <w:rPr>
          <w:rFonts w:ascii="Arial" w:cs="Arial" w:eastAsia="Arial" w:hAnsi="Arial"/>
          <w:sz w:val="18"/>
          <w:szCs w:val="18"/>
          <w:color w:val="auto"/>
        </w:rPr>
        <w:t>As of June 30, 2021, there was $7.6 million of unrecognized equity-based compensation expense related to options for common units which is expected to be recognized over a weighted-average period of approximately 3.5 years.</w:t>
      </w:r>
    </w:p>
    <w:p>
      <w:pPr>
        <w:spacing w:after="0" w:line="170" w:lineRule="exact"/>
        <w:rPr>
          <w:sz w:val="20"/>
          <w:szCs w:val="20"/>
          <w:color w:val="auto"/>
        </w:rPr>
      </w:pPr>
    </w:p>
    <w:p>
      <w:pPr>
        <w:ind w:right="440" w:firstLine="1018"/>
        <w:spacing w:after="0" w:line="293" w:lineRule="auto"/>
        <w:rPr>
          <w:sz w:val="20"/>
          <w:szCs w:val="20"/>
          <w:color w:val="auto"/>
        </w:rPr>
      </w:pPr>
      <w:r>
        <w:rPr>
          <w:rFonts w:ascii="Arial" w:cs="Arial" w:eastAsia="Arial" w:hAnsi="Arial"/>
          <w:sz w:val="18"/>
          <w:szCs w:val="18"/>
          <w:color w:val="auto"/>
        </w:rPr>
        <w:t>The following table summarizes the components of equity-based compensation expense resulting from the grant of options for common units, recorded in the Company’s condensed consolidated statement of operations and comprehensive loss (in thousands):</w:t>
      </w:r>
    </w:p>
    <w:p>
      <w:pPr>
        <w:spacing w:after="0" w:line="229"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2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ind w:left="10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40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1"/>
                <w:szCs w:val="21"/>
                <w:color w:val="auto"/>
              </w:rPr>
            </w:pPr>
          </w:p>
        </w:tc>
        <w:tc>
          <w:tcPr>
            <w:tcW w:w="12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90"/>
        </w:trPr>
        <w:tc>
          <w:tcPr>
            <w:tcW w:w="40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equity-based compensation</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-24765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137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1289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1289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1200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1200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9" w:lineRule="exact"/>
        <w:rPr>
          <w:sz w:val="20"/>
          <w:szCs w:val="20"/>
          <w:color w:val="auto"/>
        </w:rPr>
      </w:pPr>
    </w:p>
    <w:p>
      <w:pPr>
        <w:jc w:val="both"/>
        <w:ind w:right="160" w:firstLine="1018"/>
        <w:spacing w:after="0" w:line="279" w:lineRule="auto"/>
        <w:rPr>
          <w:sz w:val="20"/>
          <w:szCs w:val="20"/>
          <w:color w:val="auto"/>
        </w:rPr>
      </w:pPr>
      <w:r>
        <w:rPr>
          <w:rFonts w:ascii="Arial" w:cs="Arial" w:eastAsia="Arial" w:hAnsi="Arial"/>
          <w:sz w:val="18"/>
          <w:szCs w:val="18"/>
          <w:color w:val="auto"/>
        </w:rPr>
        <w:t>Rani pays for the use of its office, laboratory and manufacturing facilities in San Jose, California as part of the services agreement with ICL (see Note 6) which is accounted for as an operating lease with an implied renewal option into 2025. Rent expense incurred with ICL was $0.4 million for both of the six months ended June 30, 2021 and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39" w:lineRule="exact"/>
        <w:rPr>
          <w:sz w:val="20"/>
          <w:szCs w:val="20"/>
          <w:color w:val="auto"/>
        </w:rPr>
      </w:pPr>
    </w:p>
    <w:p>
      <w:pPr>
        <w:ind w:right="120" w:firstLine="1018"/>
        <w:spacing w:after="0" w:line="271"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9" w:lineRule="exact"/>
        <w:rPr>
          <w:sz w:val="20"/>
          <w:szCs w:val="20"/>
          <w:color w:val="auto"/>
        </w:rPr>
      </w:pPr>
    </w:p>
    <w:p>
      <w:pPr>
        <w:ind w:right="20" w:firstLine="1018"/>
        <w:spacing w:after="0" w:line="266" w:lineRule="auto"/>
        <w:rPr>
          <w:sz w:val="20"/>
          <w:szCs w:val="20"/>
          <w:color w:val="auto"/>
        </w:rPr>
      </w:pPr>
      <w:r>
        <w:rPr>
          <w:rFonts w:ascii="Arial" w:cs="Arial" w:eastAsia="Arial" w:hAnsi="Arial"/>
          <w:sz w:val="18"/>
          <w:szCs w:val="18"/>
          <w:color w:val="auto"/>
        </w:rPr>
        <w:t>In September 2020, the Company entered into a secured convertible loan agreement (the “Loan and Security Agreement” or the “Loan”) with Avenue Venture Opportunity Fund L.P. (“Avenue”), whereby the Company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ind w:right="140"/>
        <w:spacing w:after="0" w:line="290" w:lineRule="auto"/>
        <w:rPr>
          <w:sz w:val="20"/>
          <w:szCs w:val="20"/>
          <w:color w:val="auto"/>
        </w:rPr>
      </w:pPr>
      <w:r>
        <w:rPr>
          <w:rFonts w:ascii="Arial" w:cs="Arial" w:eastAsia="Arial" w:hAnsi="Arial"/>
          <w:sz w:val="17"/>
          <w:szCs w:val="17"/>
          <w:color w:val="auto"/>
        </w:rPr>
        <w:t>payments in connection with strategic partnerships by March 31, 2021. The Company opted not to drawn down this additional amount, and the option has since expired undrawn. Avenue has the right, while the Loan is outstanding, to convert, at any time, an amount up to $3.0 million of the outstanding loan principal into the previous round of preferred units issued by the Company, currently Series E preferred, or the then current series of units subject to the Company’s most current round of financing, at a 20% premium of the latest preferred unit offering price. In exchange for access to this facility, the Company agreed to issue warrants exercisable into the Company’s preferred units amounting to $0.9 million; the Company subsequently granted 118,929 Series E warrants with an exercise price of $7.1471 per unit (Note 7).</w:t>
      </w:r>
    </w:p>
    <w:p>
      <w:pPr>
        <w:spacing w:after="0" w:line="176" w:lineRule="exact"/>
        <w:rPr>
          <w:sz w:val="20"/>
          <w:szCs w:val="20"/>
          <w:color w:val="auto"/>
        </w:rPr>
      </w:pPr>
    </w:p>
    <w:p>
      <w:pPr>
        <w:ind w:right="20" w:firstLine="1018"/>
        <w:spacing w:after="0" w:line="279" w:lineRule="auto"/>
        <w:rPr>
          <w:sz w:val="20"/>
          <w:szCs w:val="20"/>
          <w:color w:val="auto"/>
        </w:rPr>
      </w:pPr>
      <w:r>
        <w:rPr>
          <w:rFonts w:ascii="Arial" w:cs="Arial" w:eastAsia="Arial" w:hAnsi="Arial"/>
          <w:sz w:val="18"/>
          <w:szCs w:val="18"/>
          <w:color w:val="auto"/>
        </w:rPr>
        <w:t>In the event of a qualified financing, whereby the Company raises capital of at least $75.0 million of total gross proceeds in cash, the Series E warrant will automatically convert into preferred units at a price equal to the issue price per share of the shares issued in the qualified financing and on the same terms and conditions of such qualified financing.</w:t>
      </w:r>
    </w:p>
    <w:p>
      <w:pPr>
        <w:spacing w:after="0" w:line="183" w:lineRule="exact"/>
        <w:rPr>
          <w:sz w:val="20"/>
          <w:szCs w:val="20"/>
          <w:color w:val="auto"/>
        </w:rPr>
      </w:pPr>
    </w:p>
    <w:p>
      <w:pPr>
        <w:ind w:right="140" w:firstLine="1018"/>
        <w:spacing w:after="0" w:line="319" w:lineRule="auto"/>
        <w:rPr>
          <w:sz w:val="20"/>
          <w:szCs w:val="20"/>
          <w:color w:val="auto"/>
        </w:rPr>
      </w:pPr>
      <w:r>
        <w:rPr>
          <w:rFonts w:ascii="Arial" w:cs="Arial" w:eastAsia="Arial" w:hAnsi="Arial"/>
          <w:sz w:val="16"/>
          <w:szCs w:val="16"/>
          <w:color w:val="auto"/>
        </w:rPr>
        <w:t>The Loan is interest only until September 2021 and bears interest at a variable rate of interest per annum, compounded monthly until its maturity date of September 2023, at which time all outstanding principal and interest will become due and payable in cash if not already converted. The Company’s obligations under the Loan are secured by a first priority security interest in substantially all of its assets. The Loan includes customary events of default, including instances of a material adverse change in the Company’s operations, which may require prepayment of the outstanding Loan.</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At June 30, 2021 and December 31, 2020 the effective interest rate on the Loan was 20.56%.</w:t>
      </w:r>
    </w:p>
    <w:p>
      <w:pPr>
        <w:spacing w:after="0" w:line="239" w:lineRule="exact"/>
        <w:rPr>
          <w:sz w:val="20"/>
          <w:szCs w:val="20"/>
          <w:color w:val="auto"/>
        </w:rPr>
      </w:pPr>
    </w:p>
    <w:p>
      <w:pPr>
        <w:ind w:right="120" w:firstLine="1018"/>
        <w:spacing w:after="0" w:line="359" w:lineRule="auto"/>
        <w:rPr>
          <w:sz w:val="20"/>
          <w:szCs w:val="20"/>
          <w:color w:val="auto"/>
        </w:rPr>
      </w:pPr>
      <w:r>
        <w:rPr>
          <w:rFonts w:ascii="Arial" w:cs="Arial" w:eastAsia="Arial" w:hAnsi="Arial"/>
          <w:sz w:val="16"/>
          <w:szCs w:val="16"/>
          <w:color w:val="auto"/>
        </w:rPr>
        <w:t>The Loan contains a contingent interest feature in the event of default that is not clearly and closely related to the underlying note and meets the definition of a derivative. The Company concluded that the fair value of this derivative was insignificant at June 30, 2021 and December 31, 2020.</w:t>
      </w:r>
    </w:p>
    <w:p>
      <w:pPr>
        <w:spacing w:after="0" w:line="125" w:lineRule="exact"/>
        <w:rPr>
          <w:sz w:val="20"/>
          <w:szCs w:val="20"/>
          <w:color w:val="auto"/>
        </w:rPr>
      </w:pPr>
    </w:p>
    <w:p>
      <w:pPr>
        <w:ind w:right="20" w:firstLine="1018"/>
        <w:spacing w:after="0" w:line="290" w:lineRule="auto"/>
        <w:rPr>
          <w:sz w:val="20"/>
          <w:szCs w:val="20"/>
          <w:color w:val="auto"/>
        </w:rPr>
      </w:pPr>
      <w:r>
        <w:rPr>
          <w:rFonts w:ascii="Arial" w:cs="Arial" w:eastAsia="Arial" w:hAnsi="Arial"/>
          <w:sz w:val="17"/>
          <w:szCs w:val="17"/>
          <w:color w:val="auto"/>
        </w:rPr>
        <w:t>The Loan and Security Agreement contains negative and affirmative covenants, including covenants that restrict the ability of the Company and its current and future subsidiaries ability to, among other things, incur or prepay existing indebtedness, pay dividends or distributions, dispose of assets, engage in mergers and consolidations, make acquisitions or other investments, and make changes in the nature of the business. The Loan and Security Agreement also contains certain objective events of default, including, without limitation, nonpayment of principal, interest or other obligations, violation of the covenants, insolvency, court ordered judgments, and change in control. The Loan and Security Agreement also requires the Company to provide audited consolidated financial statements to the lenders no later than 120 days after year-end.</w:t>
      </w:r>
    </w:p>
    <w:p>
      <w:pPr>
        <w:spacing w:after="0" w:line="176" w:lineRule="exact"/>
        <w:rPr>
          <w:sz w:val="20"/>
          <w:szCs w:val="20"/>
          <w:color w:val="auto"/>
        </w:rPr>
      </w:pPr>
    </w:p>
    <w:p>
      <w:pPr>
        <w:ind w:right="160" w:firstLine="1018"/>
        <w:spacing w:after="0" w:line="329" w:lineRule="auto"/>
        <w:rPr>
          <w:sz w:val="20"/>
          <w:szCs w:val="20"/>
          <w:color w:val="auto"/>
        </w:rPr>
      </w:pPr>
      <w:r>
        <w:rPr>
          <w:rFonts w:ascii="Arial" w:cs="Arial" w:eastAsia="Arial" w:hAnsi="Arial"/>
          <w:sz w:val="16"/>
          <w:szCs w:val="16"/>
          <w:color w:val="auto"/>
        </w:rPr>
        <w:t>The Company was in compliance with all of the debt covenants under the Loan and Security Agreement as of June 30, 2021 and there were no events of default during the six months ended June 30, 2021. In July 2021, the Company repaid the Loan in full (see Note 14). Due to the Company having the intent and ability to repay the Loan as of June 30, 2021, such Loan has been classified as a current liability as of June 30,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39" w:lineRule="exact"/>
        <w:rPr>
          <w:sz w:val="20"/>
          <w:szCs w:val="20"/>
          <w:color w:val="auto"/>
        </w:rPr>
      </w:pPr>
    </w:p>
    <w:p>
      <w:pPr>
        <w:jc w:val="both"/>
        <w:ind w:right="40" w:firstLine="1018"/>
        <w:spacing w:after="0" w:line="275" w:lineRule="auto"/>
        <w:rPr>
          <w:sz w:val="20"/>
          <w:szCs w:val="20"/>
          <w:color w:val="auto"/>
        </w:rPr>
      </w:pPr>
      <w:r>
        <w:rPr>
          <w:rFonts w:ascii="Arial" w:cs="Arial" w:eastAsia="Arial" w:hAnsi="Arial"/>
          <w:sz w:val="18"/>
          <w:szCs w:val="18"/>
          <w:color w:val="auto"/>
        </w:rPr>
        <w:t>In April 2020, the Company received a $1.3 million small business loan under the Paycheck Protection Program (“PPP Loan”) as part of the CARES Act. The PPP Loan matures in April 2022, and bears interest at a rate of 1.0% per annum. The PPP Loan is evidenced by a promissory note, which contains customary events of default relating to, among other things, payment defaults and breaches of representations and warranties. The PPP Loan may be prepaid by us at any time prior to maturity with no prepayment penalties.</w:t>
      </w:r>
    </w:p>
    <w:p>
      <w:pPr>
        <w:spacing w:after="0" w:line="185" w:lineRule="exact"/>
        <w:rPr>
          <w:sz w:val="20"/>
          <w:szCs w:val="20"/>
          <w:color w:val="auto"/>
        </w:rPr>
      </w:pPr>
    </w:p>
    <w:p>
      <w:pPr>
        <w:ind w:right="320" w:firstLine="1018"/>
        <w:spacing w:after="0" w:line="299" w:lineRule="auto"/>
        <w:rPr>
          <w:sz w:val="20"/>
          <w:szCs w:val="20"/>
          <w:color w:val="auto"/>
        </w:rPr>
      </w:pPr>
      <w:r>
        <w:rPr>
          <w:rFonts w:ascii="Arial" w:cs="Arial" w:eastAsia="Arial" w:hAnsi="Arial"/>
          <w:sz w:val="16"/>
          <w:szCs w:val="16"/>
          <w:color w:val="auto"/>
        </w:rPr>
        <w:t>The Company has used all proceeds from the PPP Loan to retain employees, maintain payroll and make lease and utility payments. The Company believes it would qualify for forgiveness for all of the loan amount. The Company was in compliance with all of the debt covenants under the PPP Loan and there were no events of default as of June 30, 2021. In September 2021, the Company repaid the PPP Loan in full (see Note 14).</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ind w:left="1020"/>
        <w:spacing w:after="0"/>
        <w:rPr>
          <w:sz w:val="20"/>
          <w:szCs w:val="20"/>
          <w:color w:val="auto"/>
        </w:rPr>
      </w:pPr>
      <w:r>
        <w:rPr>
          <w:rFonts w:ascii="Arial" w:cs="Arial" w:eastAsia="Arial" w:hAnsi="Arial"/>
          <w:sz w:val="18"/>
          <w:szCs w:val="18"/>
          <w:color w:val="auto"/>
        </w:rPr>
        <w:t>As of June 30, 2021, future principal payments for the Company’s debt are as follows (in thousands):</w:t>
      </w:r>
    </w:p>
    <w:p>
      <w:pPr>
        <w:spacing w:after="0" w:line="293" w:lineRule="exact"/>
        <w:rPr>
          <w:sz w:val="20"/>
          <w:szCs w:val="20"/>
          <w:color w:val="auto"/>
        </w:rPr>
      </w:pPr>
    </w:p>
    <w:tbl>
      <w:tblPr>
        <w:tblLayout w:type="fixed"/>
        <w:tblInd w:w="2260" w:type="dxa"/>
        <w:tblCellMar>
          <w:top w:w="0" w:type="dxa"/>
          <w:left w:w="0" w:type="dxa"/>
          <w:bottom w:w="0" w:type="dxa"/>
          <w:right w:w="0" w:type="dxa"/>
        </w:tblCellMar>
      </w:tblPr>
      <w:tr>
        <w:trPr>
          <w:trHeight w:val="25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2021 (remaining six months)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FF0FC"/>
          </w:tcPr>
          <w:p>
            <w:pPr>
              <w:spacing w:after="0"/>
              <w:rPr>
                <w:sz w:val="22"/>
                <w:szCs w:val="22"/>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21"/>
                <w:szCs w:val="21"/>
                <w:color w:val="auto"/>
              </w:rPr>
            </w:pPr>
          </w:p>
        </w:tc>
      </w:tr>
      <w:tr>
        <w:trPr>
          <w:trHeight w:val="257"/>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5260" w:type="dxa"/>
            <w:vAlign w:val="bottom"/>
          </w:tcPr>
          <w:p>
            <w:pPr>
              <w:ind w:left="260"/>
              <w:spacing w:after="0"/>
              <w:rPr>
                <w:sz w:val="20"/>
                <w:szCs w:val="20"/>
                <w:color w:val="auto"/>
              </w:rPr>
            </w:pPr>
            <w:r>
              <w:rPr>
                <w:rFonts w:ascii="Arial" w:cs="Arial" w:eastAsia="Arial" w:hAnsi="Arial"/>
                <w:sz w:val="18"/>
                <w:szCs w:val="18"/>
                <w:color w:val="auto"/>
              </w:rPr>
              <w:t>Total principal payments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21"/>
                <w:szCs w:val="21"/>
                <w:color w:val="auto"/>
              </w:rPr>
            </w:pPr>
          </w:p>
        </w:tc>
      </w:tr>
      <w:tr>
        <w:trPr>
          <w:trHeight w:val="26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debt discount</w:t>
            </w:r>
          </w:p>
        </w:tc>
        <w:tc>
          <w:tcPr>
            <w:tcW w:w="4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(385 )</w:t>
            </w: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Add: amount representing interest</w:t>
            </w: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r>
      <w:tr>
        <w:trPr>
          <w:trHeight w:val="257"/>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Present value of remaining debt payments</w:t>
            </w:r>
          </w:p>
        </w:tc>
        <w:tc>
          <w:tcPr>
            <w:tcW w:w="4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w:t>
            </w:r>
          </w:p>
        </w:tc>
        <w:tc>
          <w:tcPr>
            <w:tcW w:w="120" w:type="dxa"/>
            <w:vAlign w:val="bottom"/>
            <w:shd w:val="clear" w:color="auto" w:fill="CFF0FC"/>
          </w:tcPr>
          <w:p>
            <w:pPr>
              <w:spacing w:after="0"/>
              <w:rPr>
                <w:sz w:val="22"/>
                <w:szCs w:val="22"/>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Less: current portion</w:t>
            </w:r>
          </w:p>
        </w:tc>
        <w:tc>
          <w:tcPr>
            <w:tcW w:w="4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(3,884 )</w:t>
            </w:r>
          </w:p>
        </w:tc>
      </w:tr>
      <w:tr>
        <w:trPr>
          <w:trHeight w:val="25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 less current portion</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-1007745</wp:posOffset>
            </wp:positionV>
            <wp:extent cx="7747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-5080</wp:posOffset>
            </wp:positionV>
            <wp:extent cx="7747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43" w:lineRule="exact"/>
        <w:rPr>
          <w:sz w:val="20"/>
          <w:szCs w:val="20"/>
          <w:color w:val="auto"/>
        </w:rPr>
      </w:pPr>
    </w:p>
    <w:p>
      <w:pPr>
        <w:ind w:right="80" w:firstLine="1018"/>
        <w:spacing w:after="0" w:line="279" w:lineRule="auto"/>
        <w:rPr>
          <w:sz w:val="20"/>
          <w:szCs w:val="20"/>
          <w:color w:val="auto"/>
        </w:rPr>
      </w:pPr>
      <w:r>
        <w:rPr>
          <w:rFonts w:ascii="Arial" w:cs="Arial" w:eastAsia="Arial" w:hAnsi="Arial"/>
          <w:sz w:val="18"/>
          <w:szCs w:val="18"/>
          <w:color w:val="auto"/>
        </w:rPr>
        <w:t>The Company is treated as a flow-through entity for federal and state income tax purposes. The income or loss generated by this entity is not taxed at the LLC level. As such, the Company’s income tax provision consists solely of the activity of its taxable subsidiary, RMS, which is taxed as a corporation for federal income tax purposes.</w:t>
      </w:r>
    </w:p>
    <w:p>
      <w:pPr>
        <w:spacing w:after="0" w:line="183" w:lineRule="exact"/>
        <w:rPr>
          <w:sz w:val="20"/>
          <w:szCs w:val="20"/>
          <w:color w:val="auto"/>
        </w:rPr>
      </w:pPr>
    </w:p>
    <w:p>
      <w:pPr>
        <w:ind w:right="60" w:firstLine="1018"/>
        <w:spacing w:after="0" w:line="275" w:lineRule="auto"/>
        <w:rPr>
          <w:sz w:val="20"/>
          <w:szCs w:val="20"/>
          <w:color w:val="auto"/>
        </w:rPr>
      </w:pPr>
      <w:r>
        <w:rPr>
          <w:rFonts w:ascii="Arial" w:cs="Arial" w:eastAsia="Arial" w:hAnsi="Arial"/>
          <w:sz w:val="18"/>
          <w:szCs w:val="18"/>
          <w:color w:val="auto"/>
        </w:rPr>
        <w:t>The Company’s effective income tax rate was (0.21)% and (0.17)% for the three and six months ended June 30, 2021, and (0.21)% for each of the three and six months ended June 30, 2020, respectively. The change in the Company’s effective income tax rate for the three and six months ended June 30, 2021 compared to the three and six months ended June 30, 2020 was primarily driven by the change in net income and the ability to utilize the tax credits available to the Company.</w:t>
      </w:r>
    </w:p>
    <w:p>
      <w:pPr>
        <w:spacing w:after="0" w:line="185" w:lineRule="exact"/>
        <w:rPr>
          <w:sz w:val="20"/>
          <w:szCs w:val="20"/>
          <w:color w:val="auto"/>
        </w:rPr>
      </w:pPr>
    </w:p>
    <w:p>
      <w:pPr>
        <w:ind w:right="200" w:firstLine="1018"/>
        <w:spacing w:after="0" w:line="293" w:lineRule="auto"/>
        <w:rPr>
          <w:sz w:val="20"/>
          <w:szCs w:val="20"/>
          <w:color w:val="auto"/>
        </w:rPr>
      </w:pPr>
      <w:r>
        <w:rPr>
          <w:rFonts w:ascii="Arial" w:cs="Arial" w:eastAsia="Arial" w:hAnsi="Arial"/>
          <w:sz w:val="18"/>
          <w:szCs w:val="18"/>
          <w:color w:val="auto"/>
        </w:rPr>
        <w:t>There were no material changes to uncertain tax positions for the three and six months ended June 30, 2021 and 2020, respectively, and the Company does not anticipate material changes within the next 12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Unit</w:t>
      </w:r>
    </w:p>
    <w:p>
      <w:pPr>
        <w:spacing w:after="0" w:line="27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 sets forth the computation of basic and diluted net loss per unit (in thousands, except for units and per unit data):</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jc w:val="right"/>
              <w:ind w:right="488"/>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270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5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top w:val="single" w:sz="8" w:color="auto"/>
            </w:tcBorders>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60" w:type="dxa"/>
            <w:vAlign w:val="bottom"/>
            <w:tcBorders>
              <w:top w:val="single" w:sz="8" w:color="auto"/>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(5,485 )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(2,714 )</w:t>
            </w:r>
          </w:p>
        </w:tc>
        <w:tc>
          <w:tcPr>
            <w:tcW w:w="660" w:type="dxa"/>
            <w:vAlign w:val="bottom"/>
            <w:gridSpan w:val="2"/>
          </w:tcPr>
          <w:p>
            <w:pPr>
              <w:jc w:val="right"/>
              <w:ind w:right="379"/>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(11,083 )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(8,064 )</w:t>
            </w:r>
          </w:p>
        </w:tc>
      </w:tr>
      <w:tr>
        <w:trPr>
          <w:trHeight w:val="20"/>
        </w:trPr>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Weighted average common units outstanding—basic and diluted</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46,896,280</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46,890,280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46,896,081</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46,890,280</w:t>
            </w:r>
          </w:p>
        </w:tc>
        <w:tc>
          <w:tcPr>
            <w:tcW w:w="80" w:type="dxa"/>
            <w:vAlign w:val="bottom"/>
          </w:tcPr>
          <w:p>
            <w:pPr>
              <w:spacing w:after="0"/>
              <w:rPr>
                <w:sz w:val="21"/>
                <w:szCs w:val="21"/>
                <w:color w:val="auto"/>
              </w:rPr>
            </w:pPr>
          </w:p>
        </w:tc>
      </w:tr>
      <w:tr>
        <w:trPr>
          <w:trHeight w:val="27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unit—basic and 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(0.12 )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(0.06 )</w:t>
            </w:r>
          </w:p>
        </w:tc>
        <w:tc>
          <w:tcPr>
            <w:tcW w:w="660" w:type="dxa"/>
            <w:vAlign w:val="bottom"/>
            <w:gridSpan w:val="2"/>
            <w:shd w:val="clear" w:color="auto" w:fill="CFF0FC"/>
          </w:tcPr>
          <w:p>
            <w:pPr>
              <w:jc w:val="right"/>
              <w:ind w:right="379"/>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(0.24 )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(0.17 )</w:t>
            </w: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486"/>
        </w:trPr>
        <w:tc>
          <w:tcPr>
            <w:tcW w:w="11240" w:type="dxa"/>
            <w:vAlign w:val="bottom"/>
            <w:gridSpan w:val="15"/>
          </w:tcPr>
          <w:p>
            <w:pPr>
              <w:ind w:left="1020"/>
              <w:spacing w:after="0"/>
              <w:rPr>
                <w:sz w:val="20"/>
                <w:szCs w:val="20"/>
                <w:color w:val="auto"/>
              </w:rPr>
            </w:pPr>
            <w:r>
              <w:rPr>
                <w:rFonts w:ascii="Arial" w:cs="Arial" w:eastAsia="Arial" w:hAnsi="Arial"/>
                <w:sz w:val="18"/>
                <w:szCs w:val="18"/>
                <w:color w:val="auto"/>
                <w:w w:val="91"/>
              </w:rPr>
              <w:t>The following table shows the total outstanding securities considered anti-dilutive and therefore excluded from the computation of diluted net</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loss per unit:</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0"/>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60" w:type="dxa"/>
            <w:vAlign w:val="bottom"/>
            <w:gridSpan w:val="7"/>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8"/>
                <w:szCs w:val="18"/>
                <w:color w:val="auto"/>
              </w:rPr>
            </w:pPr>
          </w:p>
        </w:tc>
      </w:tr>
      <w:tr>
        <w:trPr>
          <w:trHeight w:val="25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Preferred units</w:t>
            </w: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27,888,611</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17,084,696</w:t>
            </w:r>
          </w:p>
        </w:tc>
        <w:tc>
          <w:tcPr>
            <w:tcW w:w="80" w:type="dxa"/>
            <w:vAlign w:val="bottom"/>
            <w:shd w:val="clear" w:color="auto" w:fill="CFF0FC"/>
          </w:tcPr>
          <w:p>
            <w:pPr>
              <w:spacing w:after="0"/>
              <w:rPr>
                <w:sz w:val="22"/>
                <w:szCs w:val="22"/>
                <w:color w:val="auto"/>
              </w:rPr>
            </w:pP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Units reserved for Profits Interests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8,547,401</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6,937,348</w:t>
            </w:r>
          </w:p>
        </w:tc>
        <w:tc>
          <w:tcPr>
            <w:tcW w:w="80" w:type="dxa"/>
            <w:vAlign w:val="bottom"/>
          </w:tcPr>
          <w:p>
            <w:pPr>
              <w:spacing w:after="0"/>
              <w:rPr>
                <w:sz w:val="21"/>
                <w:szCs w:val="21"/>
                <w:color w:val="auto"/>
              </w:rPr>
            </w:pPr>
          </w:p>
        </w:tc>
      </w:tr>
      <w:tr>
        <w:trPr>
          <w:trHeight w:val="26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Units reserved for options for common units</w:t>
            </w: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2,292,309</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Common unit warrants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223,315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229,315</w:t>
            </w:r>
          </w:p>
        </w:tc>
        <w:tc>
          <w:tcPr>
            <w:tcW w:w="80" w:type="dxa"/>
            <w:vAlign w:val="bottom"/>
          </w:tcPr>
          <w:p>
            <w:pPr>
              <w:spacing w:after="0"/>
              <w:rPr>
                <w:sz w:val="21"/>
                <w:szCs w:val="21"/>
                <w:color w:val="auto"/>
              </w:rPr>
            </w:pPr>
          </w:p>
        </w:tc>
      </w:tr>
      <w:tr>
        <w:trPr>
          <w:trHeight w:val="257"/>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Preferred unit warrants</w:t>
            </w:r>
          </w:p>
        </w:tc>
        <w:tc>
          <w:tcPr>
            <w:tcW w:w="24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5"/>
              </w:rPr>
              <w:t>118,929</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107,357</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640" w:type="dxa"/>
            <w:vAlign w:val="bottom"/>
          </w:tcPr>
          <w:p>
            <w:pPr>
              <w:ind w:left="52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39,070,565</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24,002,325</w:t>
            </w:r>
          </w:p>
        </w:tc>
        <w:tc>
          <w:tcPr>
            <w:tcW w:w="80" w:type="dxa"/>
            <w:vAlign w:val="bottom"/>
          </w:tcPr>
          <w:p>
            <w:pPr>
              <w:spacing w:after="0"/>
              <w:rPr>
                <w:sz w:val="21"/>
                <w:szCs w:val="21"/>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-1936750</wp:posOffset>
            </wp:positionV>
            <wp:extent cx="1543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-1919605</wp:posOffset>
            </wp:positionV>
            <wp:extent cx="1543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-1936750</wp:posOffset>
            </wp:positionV>
            <wp:extent cx="1454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-1919605</wp:posOffset>
            </wp:positionV>
            <wp:extent cx="1454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-1936750</wp:posOffset>
            </wp:positionV>
            <wp:extent cx="137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-1919605</wp:posOffset>
            </wp:positionV>
            <wp:extent cx="137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-193675</wp:posOffset>
            </wp:positionV>
            <wp:extent cx="17145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impact of the conversion of the Loan has also been excluded as it would be anti-dilutive.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14. Subsequent Events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Convertible Notes</w:t>
      </w:r>
    </w:p>
    <w:p>
      <w:pPr>
        <w:spacing w:after="0" w:line="239" w:lineRule="exact"/>
        <w:rPr>
          <w:sz w:val="20"/>
          <w:szCs w:val="20"/>
          <w:color w:val="auto"/>
        </w:rPr>
      </w:pPr>
    </w:p>
    <w:p>
      <w:pPr>
        <w:ind w:right="300" w:firstLine="1018"/>
        <w:spacing w:after="0" w:line="324" w:lineRule="auto"/>
        <w:rPr>
          <w:sz w:val="20"/>
          <w:szCs w:val="20"/>
          <w:color w:val="auto"/>
        </w:rPr>
      </w:pPr>
      <w:r>
        <w:rPr>
          <w:rFonts w:ascii="Arial" w:cs="Arial" w:eastAsia="Arial" w:hAnsi="Arial"/>
          <w:sz w:val="17"/>
          <w:szCs w:val="17"/>
          <w:color w:val="auto"/>
        </w:rPr>
        <w:t>In July 2021, the Company repaid in full the $3.0 million of principal and approximately $0.5 million of final payment and fees under the Loan and Security Agreement. Avenue Capital also waived their right to convert the outstanding principal into Series E Preferred Units.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Transactions</w:t>
      </w:r>
    </w:p>
    <w:p>
      <w:pPr>
        <w:spacing w:after="0" w:line="239" w:lineRule="exact"/>
        <w:rPr>
          <w:sz w:val="20"/>
          <w:szCs w:val="20"/>
          <w:color w:val="auto"/>
        </w:rPr>
      </w:pPr>
    </w:p>
    <w:p>
      <w:pPr>
        <w:ind w:right="140" w:firstLine="1018"/>
        <w:spacing w:after="0" w:line="270" w:lineRule="auto"/>
        <w:rPr>
          <w:sz w:val="20"/>
          <w:szCs w:val="20"/>
          <w:color w:val="auto"/>
        </w:rPr>
      </w:pPr>
      <w:r>
        <w:rPr>
          <w:rFonts w:ascii="Arial" w:cs="Arial" w:eastAsia="Arial" w:hAnsi="Arial"/>
          <w:sz w:val="18"/>
          <w:szCs w:val="18"/>
          <w:color w:val="auto"/>
        </w:rPr>
        <w:t>In August 2021, and in connection with the completion of the Offering, the Company amended and restated its operating agreement (the “Rani LLC Agreement”) to appoint Rani Holdings as the sole managing member of the Company and effectuated an exchange of all outstanding (i) convertible preferred units, automatic or net exercised warrants to purchase preferred units and common units, and common units of the Company into economic nonvoting Class A units (“Class A Units”) and an equal number of voting noneconomic Class B units (“Class B Units”) and (ii) all Profits Interests into Class A Units (the Class A Units and Class B Units are collectively referred to as the “LLC Interests”). In connection with the closing of the initial public offering, each LLC interest was exchanged 1 for 0.5282 as determined and predicated on the initial public offering price of Rani Holdings Class A common stock.</w:t>
      </w:r>
    </w:p>
    <w:p>
      <w:pPr>
        <w:spacing w:after="0" w:line="193" w:lineRule="exact"/>
        <w:rPr>
          <w:sz w:val="20"/>
          <w:szCs w:val="20"/>
          <w:color w:val="auto"/>
        </w:rPr>
      </w:pPr>
    </w:p>
    <w:p>
      <w:pPr>
        <w:ind w:right="40" w:firstLine="1018"/>
        <w:spacing w:after="0" w:line="285" w:lineRule="auto"/>
        <w:rPr>
          <w:sz w:val="20"/>
          <w:szCs w:val="20"/>
          <w:color w:val="auto"/>
        </w:rPr>
      </w:pPr>
      <w:r>
        <w:rPr>
          <w:rFonts w:ascii="Arial" w:cs="Arial" w:eastAsia="Arial" w:hAnsi="Arial"/>
          <w:sz w:val="17"/>
          <w:szCs w:val="17"/>
          <w:color w:val="auto"/>
        </w:rPr>
        <w:t>Certain holders of the Company’s Class A Units (the “Former LLC Owners”) immediately exchanged all of their Class A Units for 12,047,925 shares of Rani Holdings Class A common stock in connection with the Offering. The remaining individuals and entities that continued to own LLC Interests (“the Continuing LLC Owners”) received 29,290,391 shares of Rani Holdings Class B common stock, other than those that did not tender their units, and may, subject to the terms of the amended and restated Rani LLC Agreement, exchange their LLC Interests for shares of Rani Holdings’ Class A common stock on a one to one basis with a corresponding number of such shares of Rani Holdings Class B common stock; provided that, at Rani Holdings’ election, Rani Holdings may effect a direct exchange of such Class A common stock or make a cash payment equal to a volume weighted average market price of one share of its Class A common stock for each LLC Interest redeemed. Certain individuals who continue to own interests in Rani LLC but do not hold shares of our Class B common stock can exchange their units for 1,545,811 shares of our Class A common stock. Any shares of Class B common stock will be cancelled on a one-for-one basis if the Company, at the election of the Continuing LLC Owners, redeems or exchanges such LLC Interests pursuant to the terms of the Rani LLC Agreement. These exchanges and redemptions may result in increases in the tax basis of the assets of Rani that otherwise would not have been available. Increases in tax basis resulting from such exchanges may reduce the amount of tax that Rani Holdings would otherwise be required to pay in the future. This tax basis may also decrease the gains (or increase the losses) on future dispositions of certain assets to the extent tax basis is allocated to those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Holdings Initial Public Offering</w:t>
      </w:r>
    </w:p>
    <w:p>
      <w:pPr>
        <w:spacing w:after="0" w:line="239" w:lineRule="exact"/>
        <w:rPr>
          <w:sz w:val="20"/>
          <w:szCs w:val="20"/>
          <w:color w:val="auto"/>
        </w:rPr>
      </w:pPr>
    </w:p>
    <w:p>
      <w:pPr>
        <w:jc w:val="both"/>
        <w:ind w:right="220" w:firstLine="1018"/>
        <w:spacing w:after="0" w:line="279" w:lineRule="auto"/>
        <w:rPr>
          <w:sz w:val="20"/>
          <w:szCs w:val="20"/>
          <w:color w:val="auto"/>
        </w:rPr>
      </w:pPr>
      <w:r>
        <w:rPr>
          <w:rFonts w:ascii="Arial" w:cs="Arial" w:eastAsia="Arial" w:hAnsi="Arial"/>
          <w:sz w:val="18"/>
          <w:szCs w:val="18"/>
          <w:color w:val="auto"/>
        </w:rPr>
        <w:t>In August 2021, Rani Holdings closed an initial public offering by selling 7,666,667 shares of its Class A common stock, including shares issued pursuant to the exercise in full of the underwriters’ option, for cash consideration of $11.00 per share and received approximately $73.7 million in net proceeds, after deducting underwriting discounts, offering costs and commissions.</w:t>
      </w:r>
    </w:p>
    <w:p>
      <w:pPr>
        <w:spacing w:after="0" w:line="18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Company currently issued 7,666,667 new Class A common units that Rani Holdings subsequently purchased using the proceeds from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239" w:lineRule="exact"/>
        <w:rPr>
          <w:sz w:val="20"/>
          <w:szCs w:val="20"/>
          <w:color w:val="auto"/>
        </w:rPr>
      </w:pPr>
    </w:p>
    <w:p>
      <w:pPr>
        <w:ind w:right="260" w:firstLine="1018"/>
        <w:spacing w:after="0" w:line="359" w:lineRule="auto"/>
        <w:rPr>
          <w:sz w:val="20"/>
          <w:szCs w:val="20"/>
          <w:color w:val="auto"/>
        </w:rPr>
      </w:pPr>
      <w:r>
        <w:rPr>
          <w:rFonts w:ascii="Arial" w:cs="Arial" w:eastAsia="Arial" w:hAnsi="Arial"/>
          <w:sz w:val="16"/>
          <w:szCs w:val="16"/>
          <w:color w:val="auto"/>
        </w:rPr>
        <w:t>The Rani Therapeutics, LLC 2016 Plan was terminated in July 2021 concurrent with the adoption of Rani Holdings 2021 Equity Incentive Plan. Outstanding awards granted under the 2016 Plan remain outstanding, subject to the terms of our 2016 Plan and award agreements.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PPP Loan</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September 2021, the Company repaid in full the $1.3 million of principal and interest related to the PPP Loan.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8" w:lineRule="exact"/>
        <w:rPr>
          <w:sz w:val="20"/>
          <w:szCs w:val="20"/>
          <w:color w:val="auto"/>
        </w:rPr>
      </w:pPr>
    </w:p>
    <w:p>
      <w:pPr>
        <w:ind w:right="60" w:firstLine="1018"/>
        <w:spacing w:after="0" w:line="28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interim condensed consolidated financial statements and the related notes included elsewhere in this Quarterly Report on Form 10-Q, and our final prospectus filed with the Securities and Exchange Commission pursuant to Rule 424(b)(4) under the Securities Act of 1933, as amended, dated August 2, 2021 (the “Prospectus”). Some of the information contained in this discussion and analysis or set forth elsewhere in this document, includes forward looking statements that involve risks, uncertainties, and assumptions. You should carefully read the “Special Note Regarding Forward-Looking Statements” and “Risk Factors” sections of this document for a discussion of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ind w:right="120" w:firstLine="1018"/>
        <w:spacing w:after="0" w:line="275" w:lineRule="auto"/>
        <w:rPr>
          <w:sz w:val="20"/>
          <w:szCs w:val="20"/>
          <w:color w:val="auto"/>
        </w:rPr>
      </w:pPr>
      <w:r>
        <w:rPr>
          <w:rFonts w:ascii="Arial" w:cs="Arial" w:eastAsia="Arial" w:hAnsi="Arial"/>
          <w:sz w:val="18"/>
          <w:szCs w:val="18"/>
          <w:i w:val="1"/>
          <w:iCs w:val="1"/>
          <w:color w:val="auto"/>
        </w:rPr>
        <w:t>The following discussion contains references to calendar year 2020 and the six months ended June 30, 2020 and June 30, 2021, which represents the condensed consolidated financial results of Rani Therapeutics, LLC (“Rani”) and its subsidiary for the year ended December 31, 2020 and the six months ended June 30, 2020 and 2021, respectively. Unless we state otherwise or the context otherwise requires, the terms “we,” “us,” “our,” and “Rani” and similar references refers to Rani and its consolidated subsidiary.</w:t>
      </w:r>
    </w:p>
    <w:p>
      <w:pPr>
        <w:spacing w:after="0" w:line="185" w:lineRule="exact"/>
        <w:rPr>
          <w:sz w:val="20"/>
          <w:szCs w:val="20"/>
          <w:color w:val="auto"/>
        </w:rPr>
      </w:pPr>
    </w:p>
    <w:p>
      <w:pPr>
        <w:ind w:right="20" w:firstLine="1018"/>
        <w:spacing w:after="0" w:line="292" w:lineRule="auto"/>
        <w:rPr>
          <w:sz w:val="20"/>
          <w:szCs w:val="20"/>
          <w:color w:val="auto"/>
        </w:rPr>
      </w:pPr>
      <w:r>
        <w:rPr>
          <w:rFonts w:ascii="Arial" w:cs="Arial" w:eastAsia="Arial" w:hAnsi="Arial"/>
          <w:sz w:val="17"/>
          <w:szCs w:val="17"/>
          <w:i w:val="1"/>
          <w:iCs w:val="1"/>
          <w:color w:val="auto"/>
        </w:rPr>
        <w:t>Rani Therapeutics Holdings, Inc. (“Rani Holdings”) was incorporated in April 2021 for the purpose of facilitating an initial public offering in order to carry on the Company’s business. In August 2021, Rani Holdings completed an initial public offering (the “Offering”) by selling 7,666,667 shares of its Class A common stock, including shares issued subsequently pursuant to the exercise in full of the underwriters’ option, for cash consideration of $11.00 per share and received approximately $73.7 million in net proceeds, after deducting underwriting discounts, offering costs and commissions. The following discussion does not include the effects of the Offering, as it was completed subsequent to June 30, 2021.</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20" w:firstLine="1018"/>
        <w:spacing w:after="0" w:line="287" w:lineRule="auto"/>
        <w:rPr>
          <w:sz w:val="20"/>
          <w:szCs w:val="20"/>
          <w:color w:val="auto"/>
        </w:rPr>
      </w:pPr>
      <w:r>
        <w:rPr>
          <w:rFonts w:ascii="Arial" w:cs="Arial" w:eastAsia="Arial" w:hAnsi="Arial"/>
          <w:sz w:val="17"/>
          <w:szCs w:val="17"/>
          <w:color w:val="auto"/>
        </w:rPr>
        <w:t>We are a clinical stage biotherapeutics company advancing technologies to enable the development of orally administered biologics.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 Our pipeline includes five core product candidate programs. Additionally, we envision complementing these core programs with robust partnering activities to maximize the value inherent in the RaniPill capsule.</w:t>
      </w:r>
    </w:p>
    <w:p>
      <w:pPr>
        <w:spacing w:after="0" w:line="200" w:lineRule="exact"/>
        <w:rPr>
          <w:sz w:val="20"/>
          <w:szCs w:val="20"/>
          <w:color w:val="auto"/>
        </w:rPr>
      </w:pP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Since our inception in 2012, we have devoted the majority of our resources to research and development, manufacturing automation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scaleup, and establishing our intellectual property portfolio. To date, we have financed our operations primarily through an initial public offering ("IPO"),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private placements of our preferred units and the issuance of convertible promissory notes, with aggregate gross proceeds of $282.5 million, as well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 generated from evaluation agreements. We expect that our cash and cash equivalents of $69.3 million as of June 30, 2021 and net proceeds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$73.7 million from the IPO will be sufficient to fund our operating expenses and capital expenditure requirements through at least the next twelve months.</w:t>
      </w:r>
    </w:p>
    <w:p>
      <w:pPr>
        <w:spacing w:after="0" w:line="261" w:lineRule="exact"/>
        <w:rPr>
          <w:sz w:val="20"/>
          <w:szCs w:val="20"/>
          <w:color w:val="auto"/>
        </w:rPr>
      </w:pPr>
    </w:p>
    <w:p>
      <w:pPr>
        <w:ind w:right="120" w:firstLine="1018"/>
        <w:spacing w:after="0" w:line="311" w:lineRule="auto"/>
        <w:rPr>
          <w:sz w:val="20"/>
          <w:szCs w:val="20"/>
          <w:color w:val="auto"/>
        </w:rPr>
      </w:pPr>
      <w:r>
        <w:rPr>
          <w:rFonts w:ascii="Arial" w:cs="Arial" w:eastAsia="Arial" w:hAnsi="Arial"/>
          <w:sz w:val="16"/>
          <w:szCs w:val="16"/>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63" w:lineRule="exact"/>
        <w:rPr>
          <w:sz w:val="20"/>
          <w:szCs w:val="20"/>
          <w:color w:val="auto"/>
        </w:rPr>
      </w:pPr>
    </w:p>
    <w:p>
      <w:pPr>
        <w:jc w:val="both"/>
        <w:ind w:right="40" w:firstLine="1018"/>
        <w:spacing w:after="0" w:line="266" w:lineRule="auto"/>
        <w:rPr>
          <w:sz w:val="20"/>
          <w:szCs w:val="20"/>
          <w:color w:val="auto"/>
        </w:rPr>
      </w:pPr>
      <w:r>
        <w:rPr>
          <w:rFonts w:ascii="Arial" w:cs="Arial" w:eastAsia="Arial" w:hAnsi="Arial"/>
          <w:sz w:val="18"/>
          <w:szCs w:val="18"/>
          <w:color w:val="auto"/>
        </w:rPr>
        <w:t>Since our inception, we have incurred significant losses and negative cash flows from operations. Our net losses were $5.5 million and $11.1 million for the three and six months ended June 30, 2021, respectively. As of June 30, 2021, we had an accumulated deficit of $125.1 million. We expect to continue to incur significant losses for the foreseeable future, and our net losses may fluctuate significantly from period to period, depending on the timing of and expenditures on our planned research and development activities.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ind w:right="40"/>
        <w:spacing w:after="0" w:line="290" w:lineRule="auto"/>
        <w:rPr>
          <w:sz w:val="20"/>
          <w:szCs w:val="20"/>
          <w:color w:val="auto"/>
        </w:rPr>
      </w:pPr>
      <w:r>
        <w:rPr>
          <w:rFonts w:ascii="Arial" w:cs="Arial" w:eastAsia="Arial" w:hAnsi="Arial"/>
          <w:sz w:val="17"/>
          <w:szCs w:val="17"/>
          <w:color w:val="auto"/>
        </w:rPr>
        <w:t>Until such time as we can generate sufficient revenue from commercial product sales, if ever, we expect to finance our operations through a combination of equity offerings and debt financings, or other capital sources, which may include strategic collaborations or other arrangements with third parties. We may be unable to raise additional funds or to enter into such agreements or arrangements on favorable terms, or at all. If we are unable to raise capital or enter into such agreements as and when needed, we may have to significantly delay, scale back or discontinue the development or commercialization of one or more of our product candidates. Insufficient liquidity may also require us to relinquish rights to product candidates at an earlier stage of development or on less favorable terms than we would otherwise choose.</w:t>
      </w:r>
    </w:p>
    <w:p>
      <w:pPr>
        <w:spacing w:after="0" w:line="176" w:lineRule="exact"/>
        <w:rPr>
          <w:sz w:val="20"/>
          <w:szCs w:val="20"/>
          <w:color w:val="auto"/>
        </w:rPr>
      </w:pPr>
    </w:p>
    <w:p>
      <w:pPr>
        <w:ind w:right="20" w:firstLine="1018"/>
        <w:spacing w:after="0" w:line="290" w:lineRule="auto"/>
        <w:rPr>
          <w:sz w:val="20"/>
          <w:szCs w:val="20"/>
          <w:color w:val="auto"/>
        </w:rPr>
      </w:pPr>
      <w:r>
        <w:rPr>
          <w:rFonts w:ascii="Arial" w:cs="Arial" w:eastAsia="Arial" w:hAnsi="Arial"/>
          <w:sz w:val="17"/>
          <w:szCs w:val="17"/>
          <w:color w:val="auto"/>
        </w:rPr>
        <w:t>Our ability to raise additional funds may be adversely impacted by potential worsening global economic conditions and disruptions to and volatility in the credit and financial markets in the United States and worldwide, such as those resulting from the ongoing COVID-19 pandemic. Because of the numerous risks and uncertainties associated with product development, we are unable to predict the timing or amount of increased expenses or when or if we will be able to achieve or maintain profitability. Even if we are able to generate revenue from commercial product sales, we may not become profitable. If we fail to become profitable or are unable to sustain profitability on a continuing basis, then we may be unable to continue our operations at planned levels and may be forced to reduce or terminate our operations.</w:t>
      </w:r>
    </w:p>
    <w:p>
      <w:pPr>
        <w:spacing w:after="0" w:line="176" w:lineRule="exact"/>
        <w:rPr>
          <w:sz w:val="20"/>
          <w:szCs w:val="20"/>
          <w:color w:val="auto"/>
        </w:rPr>
      </w:pPr>
    </w:p>
    <w:p>
      <w:pPr>
        <w:ind w:right="60" w:firstLine="1018"/>
        <w:spacing w:after="0" w:line="306" w:lineRule="auto"/>
        <w:rPr>
          <w:sz w:val="20"/>
          <w:szCs w:val="20"/>
          <w:color w:val="auto"/>
        </w:rPr>
      </w:pPr>
      <w:r>
        <w:rPr>
          <w:rFonts w:ascii="Arial" w:cs="Arial" w:eastAsia="Arial" w:hAnsi="Arial"/>
          <w:sz w:val="16"/>
          <w:szCs w:val="16"/>
          <w:color w:val="auto"/>
        </w:rPr>
        <w:t>As is common with biotechnology companies, we rely on third-party suppliers for the supply of raw materials and APIs required for the production of our product candidates. In addition, we work with third parties to manufacture and develop biologics for inclusion in the RaniPill capsule. Design work, prototyping and pilot manufacturing are performed in-house, and we have utilized third-party engineering firms to assist with the design of manufacturing lines that support our supply of the RaniPill capsule.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and plan to continue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39" w:lineRule="exact"/>
        <w:rPr>
          <w:sz w:val="20"/>
          <w:szCs w:val="20"/>
          <w:color w:val="auto"/>
        </w:rPr>
      </w:pPr>
    </w:p>
    <w:p>
      <w:pPr>
        <w:ind w:firstLine="1018"/>
        <w:spacing w:after="0" w:line="306" w:lineRule="auto"/>
        <w:rPr>
          <w:sz w:val="20"/>
          <w:szCs w:val="20"/>
          <w:color w:val="auto"/>
        </w:rPr>
      </w:pPr>
      <w:r>
        <w:rPr>
          <w:rFonts w:ascii="Arial" w:cs="Arial" w:eastAsia="Arial" w:hAnsi="Arial"/>
          <w:sz w:val="16"/>
          <w:szCs w:val="16"/>
          <w:color w:val="auto"/>
        </w:rPr>
        <w:t>Since it was reported to have surfaced in late 2019, COVID-19 has spread across the world and has been declared a pandemic by the World Health Organization. Efforts to contain the spread of COVID-19 have intensified and governments around the world, including in the United States, Europe and Asia, have implemented precautions such as travel restrictions, social distancing requirements, and stay-at-home orders. As a result, the current COVID-19 pandemic has presented a substantial global public health and economic challenge and is affecting our employees and business operations, as well as contributing to significant volatility and negative pressure on the U.S. economy and in financial markets.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w:t>
      </w:r>
    </w:p>
    <w:p>
      <w:pPr>
        <w:spacing w:after="0" w:line="165" w:lineRule="exact"/>
        <w:rPr>
          <w:sz w:val="20"/>
          <w:szCs w:val="20"/>
          <w:color w:val="auto"/>
        </w:rPr>
      </w:pPr>
    </w:p>
    <w:p>
      <w:pPr>
        <w:ind w:right="20" w:firstLine="1018"/>
        <w:spacing w:after="0" w:line="292" w:lineRule="auto"/>
        <w:rPr>
          <w:sz w:val="20"/>
          <w:szCs w:val="20"/>
          <w:color w:val="auto"/>
        </w:rPr>
      </w:pPr>
      <w:r>
        <w:rPr>
          <w:rFonts w:ascii="Arial" w:cs="Arial" w:eastAsia="Arial" w:hAnsi="Arial"/>
          <w:sz w:val="17"/>
          <w:szCs w:val="17"/>
          <w:color w:val="auto"/>
        </w:rPr>
        <w:t>We have initiated, and may take additional, temporary precautionary measures intended to help ensure our employees’ well-being and minimize business disruption. For the safety of our employees and their families, we have temporarily reduced the presence of our employees in our office and continue to rely on third parties to conduct many of the experiments and preclinical studies for our research programs. Certain third-party service providers have also experienced shutdowns or other business disruptions. The extent to which the COVID-19 pandemic may affect our business, operations and development timelines and plans, including the resulting impact on expenditures and capital needs, remains uncertain.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Transactions</w:t>
      </w:r>
    </w:p>
    <w:p>
      <w:pPr>
        <w:spacing w:after="0" w:line="243" w:lineRule="exact"/>
        <w:rPr>
          <w:sz w:val="20"/>
          <w:szCs w:val="20"/>
          <w:color w:val="auto"/>
        </w:rPr>
      </w:pPr>
    </w:p>
    <w:p>
      <w:pPr>
        <w:ind w:right="320" w:firstLine="1018"/>
        <w:spacing w:after="0" w:line="266" w:lineRule="auto"/>
        <w:rPr>
          <w:sz w:val="20"/>
          <w:szCs w:val="20"/>
          <w:color w:val="auto"/>
        </w:rPr>
      </w:pPr>
      <w:r>
        <w:rPr>
          <w:rFonts w:ascii="Arial" w:cs="Arial" w:eastAsia="Arial" w:hAnsi="Arial"/>
          <w:sz w:val="18"/>
          <w:szCs w:val="18"/>
          <w:color w:val="auto"/>
        </w:rPr>
        <w:t>Rani Holdings was incorporated in April 2021 and formed for the purpose of facilitating the Offering in order to carry on the Company’s business. In connection with the Offering, Rani Holdings became a holding company and its principal asset is the Class A common units of Rani that it owns. As the sole managing member of the Company, Rani Holdings operates and controls all of the Company’s operations, and through Rani and its subsidiary, conducts all of Rani’s business and the financial results of Rani and its consolidated subsidiary will be included in the consolidated financial statements of Rani Holdings.</w:t>
      </w:r>
    </w:p>
    <w:p>
      <w:pPr>
        <w:spacing w:after="0" w:line="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right="60" w:firstLine="1018"/>
        <w:spacing w:after="0" w:line="308" w:lineRule="auto"/>
        <w:rPr>
          <w:sz w:val="20"/>
          <w:szCs w:val="20"/>
          <w:color w:val="auto"/>
        </w:rPr>
      </w:pPr>
      <w:r>
        <w:rPr>
          <w:rFonts w:ascii="Arial" w:cs="Arial" w:eastAsia="Arial" w:hAnsi="Arial"/>
          <w:sz w:val="16"/>
          <w:szCs w:val="16"/>
          <w:color w:val="auto"/>
        </w:rPr>
        <w:t>Rani has been, and after the Offering continues to be, treated as a pass-through entity for U.S. federal and state income tax purposes and accordingly has not been subject to U.S. federal or state income tax. The wholly owned subsidiary of Rani , which was incorporated in 2019, is taxed as a corporation for U.S. federal and most applicable state, local income tax and foreign tax purposes. As a result of its ownership of LLC Interests in Rani, Rani Holdings is subject to U.S. federal, state and local income taxes with respect to its allocable share of any taxable income of Rani and will be taxed at the prevailing corporate tax rates. In addition to tax expenses, we also will incur expenses related to our operations and we are required to make payments under the Tax Receivable Agreement with certain of the Continuing LLC Owners. Due to the uncertainty of various factors, we cannot estimate the likely tax benefits we will realize as a result of LLC Interests exchanges, and the resulting amounts we will likely pay out to LLC Unitholders pursuant to the Tax Receivable Agreement; however, we estimate that such payments may be substantial in the event we are profitable.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39" w:lineRule="exact"/>
        <w:rPr>
          <w:sz w:val="20"/>
          <w:szCs w:val="20"/>
          <w:color w:val="auto"/>
        </w:rPr>
      </w:pPr>
    </w:p>
    <w:p>
      <w:pPr>
        <w:ind w:right="60" w:firstLine="1018"/>
        <w:spacing w:after="0" w:line="275" w:lineRule="auto"/>
        <w:rPr>
          <w:sz w:val="20"/>
          <w:szCs w:val="20"/>
          <w:color w:val="auto"/>
        </w:rPr>
      </w:pPr>
      <w:r>
        <w:rPr>
          <w:rFonts w:ascii="Arial" w:cs="Arial" w:eastAsia="Arial" w:hAnsi="Arial"/>
          <w:sz w:val="18"/>
          <w:szCs w:val="18"/>
          <w:color w:val="auto"/>
        </w:rPr>
        <w:t>To date, we have not generated any revenue from commercial product sales and do not expect to generate any revenue from the sale of commercial products in the foreseeable future. Our only revenue has been derived from the evaluation agreements, which are recorded as contract revenue. As of June 30, 2021, we had no active evaluation agreements, and therefore we expect that our revenue for the next several years will be derived from any new agreements that we may enter into in the future.</w:t>
      </w:r>
    </w:p>
    <w:p>
      <w:pPr>
        <w:spacing w:after="0" w:line="185" w:lineRule="exact"/>
        <w:rPr>
          <w:sz w:val="20"/>
          <w:szCs w:val="20"/>
          <w:color w:val="auto"/>
        </w:rPr>
      </w:pPr>
    </w:p>
    <w:p>
      <w:pPr>
        <w:ind w:right="200" w:firstLine="1018"/>
        <w:spacing w:after="0" w:line="303" w:lineRule="auto"/>
        <w:rPr>
          <w:sz w:val="20"/>
          <w:szCs w:val="20"/>
          <w:color w:val="auto"/>
        </w:rPr>
      </w:pPr>
      <w:r>
        <w:rPr>
          <w:rFonts w:ascii="Arial" w:cs="Arial" w:eastAsia="Arial" w:hAnsi="Arial"/>
          <w:sz w:val="17"/>
          <w:szCs w:val="17"/>
          <w:color w:val="auto"/>
        </w:rPr>
        <w:t>Our ability to generate commercial product revenue and to become profitable will depend upon our ability to successfully develop, obtain regulatory approval and commercialize the capsule. Because of the numerous risks and uncertainties associated with product development and regulatory approval, we are unable to predict the amount, timing or whether we will be able to obtain commercial product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operating expenses consisted of research and development expenses and general and administrative expenses.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w:t>
      </w:r>
    </w:p>
    <w:p>
      <w:pPr>
        <w:spacing w:after="0" w:line="239" w:lineRule="exact"/>
        <w:rPr>
          <w:sz w:val="20"/>
          <w:szCs w:val="20"/>
          <w:color w:val="auto"/>
        </w:rPr>
      </w:pPr>
    </w:p>
    <w:p>
      <w:pPr>
        <w:ind w:right="140" w:firstLine="1018"/>
        <w:spacing w:after="0" w:line="293" w:lineRule="auto"/>
        <w:rPr>
          <w:sz w:val="20"/>
          <w:szCs w:val="20"/>
          <w:color w:val="auto"/>
        </w:rPr>
      </w:pPr>
      <w:r>
        <w:rPr>
          <w:rFonts w:ascii="Arial" w:cs="Arial" w:eastAsia="Arial" w:hAnsi="Arial"/>
          <w:sz w:val="18"/>
          <w:szCs w:val="18"/>
          <w:color w:val="auto"/>
        </w:rPr>
        <w:t>Research and development expense consists primarily of direct and indirect costs incurred in connection with our research and development activities to commercialize the RaniPill capsule. These expenses include: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External expenses, consisting of:</w:t>
      </w:r>
    </w:p>
    <w:p>
      <w:pPr>
        <w:spacing w:after="0" w:line="239" w:lineRule="exact"/>
        <w:rPr>
          <w:sz w:val="20"/>
          <w:szCs w:val="20"/>
          <w:color w:val="auto"/>
        </w:rPr>
      </w:pPr>
    </w:p>
    <w:p>
      <w:pPr>
        <w:ind w:left="1520" w:hanging="366"/>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associated with contract research organizations ("CROs"), for managing and conducting clinical trials;</w:t>
      </w:r>
    </w:p>
    <w:p>
      <w:pPr>
        <w:spacing w:after="0" w:line="238" w:lineRule="exact"/>
        <w:rPr>
          <w:rFonts w:ascii="Arial" w:cs="Arial" w:eastAsia="Arial" w:hAnsi="Arial"/>
          <w:sz w:val="18"/>
          <w:szCs w:val="18"/>
          <w:color w:val="auto"/>
        </w:rPr>
      </w:pPr>
    </w:p>
    <w:p>
      <w:pPr>
        <w:ind w:left="1540" w:right="260" w:hanging="386"/>
        <w:spacing w:after="0" w:line="293" w:lineRule="auto"/>
        <w:tabs>
          <w:tab w:leader="none" w:pos="15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associated with laboratory supplies, drug material for clinical trials, developing and manufacturing of the RaniPill capsule and other materials;</w:t>
      </w:r>
    </w:p>
    <w:p>
      <w:pPr>
        <w:spacing w:after="0" w:line="169" w:lineRule="exact"/>
        <w:rPr>
          <w:rFonts w:ascii="Arial" w:cs="Arial" w:eastAsia="Arial" w:hAnsi="Arial"/>
          <w:sz w:val="18"/>
          <w:szCs w:val="18"/>
          <w:color w:val="auto"/>
        </w:rPr>
      </w:pPr>
    </w:p>
    <w:p>
      <w:pPr>
        <w:ind w:left="1520" w:hanging="366"/>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associated with preclinical studies performed by third parties; and</w:t>
      </w:r>
    </w:p>
    <w:p>
      <w:pPr>
        <w:spacing w:after="0" w:line="238" w:lineRule="exact"/>
        <w:rPr>
          <w:rFonts w:ascii="Arial" w:cs="Arial" w:eastAsia="Arial" w:hAnsi="Arial"/>
          <w:sz w:val="18"/>
          <w:szCs w:val="18"/>
          <w:color w:val="auto"/>
        </w:rPr>
      </w:pPr>
    </w:p>
    <w:p>
      <w:pPr>
        <w:ind w:left="1520" w:hanging="366"/>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associated with consulting, legal fees for patent matters, advisors, and other external expenses.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Internal expenses, consisting of:</w:t>
      </w:r>
    </w:p>
    <w:p>
      <w:pPr>
        <w:spacing w:after="0" w:line="239" w:lineRule="exact"/>
        <w:rPr>
          <w:sz w:val="20"/>
          <w:szCs w:val="20"/>
          <w:color w:val="auto"/>
        </w:rPr>
      </w:pPr>
    </w:p>
    <w:p>
      <w:pPr>
        <w:ind w:left="1540" w:right="380" w:hanging="386"/>
        <w:spacing w:after="0" w:line="293" w:lineRule="auto"/>
        <w:tabs>
          <w:tab w:leader="none" w:pos="15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including salaries, bonuses, equity-based compensation and benefits for personnel engaged in research and development functions;</w:t>
      </w:r>
    </w:p>
    <w:p>
      <w:pPr>
        <w:spacing w:after="0" w:line="169" w:lineRule="exact"/>
        <w:rPr>
          <w:rFonts w:ascii="Arial" w:cs="Arial" w:eastAsia="Arial" w:hAnsi="Arial"/>
          <w:sz w:val="18"/>
          <w:szCs w:val="18"/>
          <w:color w:val="auto"/>
        </w:rPr>
      </w:pPr>
    </w:p>
    <w:p>
      <w:pPr>
        <w:ind w:left="1540" w:right="620" w:hanging="386"/>
        <w:spacing w:after="0" w:line="293" w:lineRule="auto"/>
        <w:tabs>
          <w:tab w:leader="none" w:pos="15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associated with service and repair of equipment, equipment depreciation, and allocated facility costs for research and development; and</w:t>
      </w:r>
    </w:p>
    <w:p>
      <w:pPr>
        <w:spacing w:after="0" w:line="169" w:lineRule="exact"/>
        <w:rPr>
          <w:rFonts w:ascii="Arial" w:cs="Arial" w:eastAsia="Arial" w:hAnsi="Arial"/>
          <w:sz w:val="18"/>
          <w:szCs w:val="18"/>
          <w:color w:val="auto"/>
        </w:rPr>
      </w:pPr>
    </w:p>
    <w:p>
      <w:pPr>
        <w:ind w:left="1520" w:hanging="366"/>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research and development costs related to compliance with quality and regulatory requirements.</w:t>
      </w:r>
    </w:p>
    <w:p>
      <w:pPr>
        <w:spacing w:after="0" w:line="239" w:lineRule="exact"/>
        <w:rPr>
          <w:sz w:val="20"/>
          <w:szCs w:val="20"/>
          <w:color w:val="auto"/>
        </w:rPr>
      </w:pPr>
    </w:p>
    <w:p>
      <w:pPr>
        <w:ind w:right="100" w:firstLine="1018"/>
        <w:spacing w:after="0" w:line="266" w:lineRule="auto"/>
        <w:rPr>
          <w:sz w:val="20"/>
          <w:szCs w:val="20"/>
          <w:color w:val="auto"/>
        </w:rPr>
      </w:pPr>
      <w:r>
        <w:rPr>
          <w:rFonts w:ascii="Arial" w:cs="Arial" w:eastAsia="Arial" w:hAnsi="Arial"/>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right="40"/>
        <w:spacing w:after="0" w:line="275" w:lineRule="auto"/>
        <w:rPr>
          <w:sz w:val="20"/>
          <w:szCs w:val="20"/>
          <w:color w:val="auto"/>
        </w:rPr>
      </w:pPr>
      <w:r>
        <w:rPr>
          <w:rFonts w:ascii="Arial" w:cs="Arial" w:eastAsia="Arial" w:hAnsi="Arial"/>
          <w:sz w:val="18"/>
          <w:szCs w:val="18"/>
          <w:color w:val="auto"/>
        </w:rPr>
        <w:t>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85" w:lineRule="exact"/>
        <w:rPr>
          <w:sz w:val="20"/>
          <w:szCs w:val="20"/>
          <w:color w:val="auto"/>
        </w:rPr>
      </w:pPr>
    </w:p>
    <w:p>
      <w:pPr>
        <w:ind w:right="360" w:firstLine="1018"/>
        <w:spacing w:after="0" w:line="293"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right="40" w:firstLine="1018"/>
        <w:spacing w:after="0" w:line="293" w:lineRule="auto"/>
        <w:rPr>
          <w:sz w:val="20"/>
          <w:szCs w:val="20"/>
          <w:color w:val="auto"/>
        </w:rPr>
      </w:pPr>
      <w:r>
        <w:rPr>
          <w:rFonts w:ascii="Arial" w:cs="Arial" w:eastAsia="Arial" w:hAnsi="Arial"/>
          <w:sz w:val="18"/>
          <w:szCs w:val="18"/>
          <w:color w:val="auto"/>
        </w:rPr>
        <w:t>The historical focus of our research and development has been on the RaniPill delivery platform and not tracked costs on a project-by-project basis associated with different drug compounds.</w:t>
      </w:r>
    </w:p>
    <w:p>
      <w:pPr>
        <w:spacing w:after="0" w:line="170" w:lineRule="exact"/>
        <w:rPr>
          <w:sz w:val="20"/>
          <w:szCs w:val="20"/>
          <w:color w:val="auto"/>
        </w:rPr>
      </w:pPr>
    </w:p>
    <w:p>
      <w:pPr>
        <w:ind w:right="20" w:firstLine="1018"/>
        <w:spacing w:after="0" w:line="309"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and obtain regulatory approval for, the RaniPill capsule. We expect our research and development expenses to increase significantly in the foreseeable future as we continue to invest in research and development activities related to developing the RaniPill capsule, as our product candidates advance into later stages of development, as we begin to conduct larger clinical trials, as we seek regulatory approvals for the RaniPill capsule upon successful completion of clinical trials, and incur expenses associated with hiring additional personnel to support our research and development efforts. The process of conducting the necessary clinical research to obtain regulatory approval is costly and time-consuming, the successful development of the RaniPill capsule is highly uncertain, and we may never succeed in achieving regulatory approval for the RaniPill capsule.</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9" w:lineRule="exact"/>
        <w:rPr>
          <w:sz w:val="20"/>
          <w:szCs w:val="20"/>
          <w:color w:val="auto"/>
        </w:rPr>
      </w:pPr>
    </w:p>
    <w:p>
      <w:pPr>
        <w:ind w:right="260" w:firstLine="1018"/>
        <w:spacing w:after="0" w:line="292"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bonuses, equity-based compensation, and benefits) for personnel in executive, finance, accounting,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expenses, marketing expenses, and facility-related expenses, which include direct depreciation costs and allocated expenses for rent and maintenance of facilities and other operating costs.</w:t>
      </w:r>
    </w:p>
    <w:p>
      <w:pPr>
        <w:spacing w:after="0" w:line="174" w:lineRule="exact"/>
        <w:rPr>
          <w:sz w:val="20"/>
          <w:szCs w:val="20"/>
          <w:color w:val="auto"/>
        </w:rPr>
      </w:pPr>
    </w:p>
    <w:p>
      <w:pPr>
        <w:ind w:right="260" w:firstLine="1018"/>
        <w:spacing w:after="0" w:line="319" w:lineRule="auto"/>
        <w:rPr>
          <w:sz w:val="20"/>
          <w:szCs w:val="20"/>
          <w:color w:val="auto"/>
        </w:rPr>
      </w:pPr>
      <w:r>
        <w:rPr>
          <w:rFonts w:ascii="Arial" w:cs="Arial" w:eastAsia="Arial" w:hAnsi="Arial"/>
          <w:sz w:val="16"/>
          <w:szCs w:val="16"/>
          <w:color w:val="auto"/>
        </w:rPr>
        <w:t>We anticipate that our general and administrative expenses will increase significantly in the foreseeable future as additional administrative personnel and services are required to manage and support the development of the RaniPill capsule. We also anticipate that we will incur increased expenses associated with operating as a 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9" w:lineRule="exact"/>
        <w:rPr>
          <w:sz w:val="20"/>
          <w:szCs w:val="20"/>
          <w:color w:val="auto"/>
        </w:rPr>
      </w:pPr>
    </w:p>
    <w:p>
      <w:pPr>
        <w:ind w:right="80" w:firstLine="1018"/>
        <w:spacing w:after="0" w:line="293" w:lineRule="auto"/>
        <w:rPr>
          <w:sz w:val="20"/>
          <w:szCs w:val="20"/>
          <w:color w:val="auto"/>
        </w:rPr>
      </w:pPr>
      <w:r>
        <w:rPr>
          <w:rFonts w:ascii="Arial" w:cs="Arial" w:eastAsia="Arial" w:hAnsi="Arial"/>
          <w:sz w:val="18"/>
          <w:szCs w:val="18"/>
          <w:color w:val="auto"/>
        </w:rPr>
        <w:t>Other income (expense), net primarily consists of interest income on our cash and cash equivalents and income (expense) associated with re-measurements of the estimated fair value of preferred unit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InCube Labs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39" w:lineRule="exact"/>
        <w:rPr>
          <w:sz w:val="20"/>
          <w:szCs w:val="20"/>
          <w:color w:val="auto"/>
        </w:rPr>
      </w:pPr>
    </w:p>
    <w:p>
      <w:pPr>
        <w:ind w:right="120" w:firstLine="1018"/>
        <w:spacing w:after="0" w:line="288" w:lineRule="auto"/>
        <w:rPr>
          <w:sz w:val="20"/>
          <w:szCs w:val="20"/>
          <w:color w:val="auto"/>
        </w:rPr>
      </w:pPr>
      <w:r>
        <w:rPr>
          <w:rFonts w:ascii="Arial" w:cs="Arial" w:eastAsia="Arial" w:hAnsi="Arial"/>
          <w:sz w:val="17"/>
          <w:szCs w:val="17"/>
          <w:color w:val="auto"/>
        </w:rPr>
        <w:t>In January 2019, the Company entered into a one year service agreement with ICL, the majority holder of the Company's common units and a related party. This agreement was amended in January 2020 to extend the period for an additional year and expired in December 2020. The Company is presently operating under a service agreement with ICL executed in June 2021, retroactive to January 1, 2021. The Company or ICL may terminate services under the service agreement upon 60 days' notice to the other party, except for occupancy which requires six months' notice. The service agreement specifies the scope of services to be provided by ICL as well as the methods for determining the costs of services for the year ended December 31, 2021. Costs are billed on a monthly basis and based upon the hours incurred by ICL employees working on behalf of Rani as well as allocations of expenses based upon Rani’s utilization of ICL’s facilities and equipment.</w:t>
      </w:r>
    </w:p>
    <w:p>
      <w:pPr>
        <w:spacing w:after="0" w:line="181" w:lineRule="exact"/>
        <w:rPr>
          <w:sz w:val="20"/>
          <w:szCs w:val="20"/>
          <w:color w:val="auto"/>
        </w:rPr>
      </w:pPr>
    </w:p>
    <w:p>
      <w:pPr>
        <w:ind w:right="20" w:firstLine="1018"/>
        <w:spacing w:after="0" w:line="299" w:lineRule="auto"/>
        <w:rPr>
          <w:sz w:val="20"/>
          <w:szCs w:val="20"/>
          <w:color w:val="auto"/>
        </w:rPr>
      </w:pPr>
      <w:r>
        <w:rPr>
          <w:rFonts w:ascii="Arial" w:cs="Arial" w:eastAsia="Arial" w:hAnsi="Arial"/>
          <w:sz w:val="16"/>
          <w:szCs w:val="16"/>
          <w:color w:val="auto"/>
        </w:rPr>
        <w:t>In June 2021, RMS entered into the RMS-ICL Service Agreement effective January 1, 2021, pursuant to which ICL agreed to rent a specified portion of its facility to RMS. Additionally, RMS and ICL agreed to provide personnel services to the other upon requests based on rates specified in the agreement. The RMS-ICL Service Agreement has a 12-month term and will automatically renew for successive 12-month periods unless terminated. For the six months ended June 30, 2020 and 2021, RMS charged ICL $0.2 million and $0.3 million for services performed, respectively, and such amounts charged were recorded as a reduction to research and development expense in the condensed consolidated statement of operations and comprehensive loss.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right="280" w:firstLine="1018"/>
        <w:spacing w:after="0" w:line="293" w:lineRule="auto"/>
        <w:rPr>
          <w:sz w:val="20"/>
          <w:szCs w:val="20"/>
          <w:color w:val="auto"/>
        </w:rPr>
      </w:pPr>
      <w:r>
        <w:rPr>
          <w:rFonts w:ascii="Arial" w:cs="Arial" w:eastAsia="Arial" w:hAnsi="Arial"/>
          <w:sz w:val="18"/>
          <w:szCs w:val="18"/>
          <w:color w:val="auto"/>
        </w:rPr>
        <w:t>Our eligible employees are permitted to participate in ICL’s 401(k) Plan (“401(k) Plan”). Participation in the 401(k) Plan is offered for the benefit of our employees, including our named executive officers, who satisfy certain eligibility requirements.</w:t>
      </w:r>
    </w:p>
    <w:p>
      <w:pPr>
        <w:spacing w:after="0" w:line="170" w:lineRule="exact"/>
        <w:rPr>
          <w:sz w:val="20"/>
          <w:szCs w:val="20"/>
          <w:color w:val="auto"/>
        </w:rPr>
      </w:pPr>
    </w:p>
    <w:p>
      <w:pPr>
        <w:ind w:right="240" w:firstLine="1018"/>
        <w:spacing w:after="0" w:line="293" w:lineRule="auto"/>
        <w:rPr>
          <w:sz w:val="20"/>
          <w:szCs w:val="20"/>
          <w:color w:val="auto"/>
        </w:rPr>
      </w:pPr>
      <w:r>
        <w:rPr>
          <w:rFonts w:ascii="Arial" w:cs="Arial" w:eastAsia="Arial" w:hAnsi="Arial"/>
          <w:sz w:val="18"/>
          <w:szCs w:val="18"/>
          <w:color w:val="auto"/>
        </w:rPr>
        <w:t>All of our facilities are owned by an entity affiliated with one of our directors, who is also the owner of ICL. Rani pays for the use of these facilities through the service agreement with ICL.</w:t>
      </w:r>
    </w:p>
    <w:p>
      <w:pPr>
        <w:spacing w:after="0" w:line="170" w:lineRule="exact"/>
        <w:rPr>
          <w:sz w:val="20"/>
          <w:szCs w:val="20"/>
          <w:color w:val="auto"/>
        </w:rPr>
      </w:pPr>
    </w:p>
    <w:p>
      <w:pPr>
        <w:ind w:right="100" w:firstLine="1018"/>
        <w:spacing w:after="0" w:line="293" w:lineRule="auto"/>
        <w:rPr>
          <w:sz w:val="20"/>
          <w:szCs w:val="20"/>
          <w:color w:val="auto"/>
        </w:rPr>
      </w:pPr>
      <w:r>
        <w:rPr>
          <w:rFonts w:ascii="Arial" w:cs="Arial" w:eastAsia="Arial" w:hAnsi="Arial"/>
          <w:sz w:val="18"/>
          <w:szCs w:val="18"/>
          <w:color w:val="auto"/>
        </w:rPr>
        <w:t>The table below details the amounts charged by ICL for services and rent, net of the amount that RMS charged ICL, which is included in the condensed consolidated statements of operations and comprehensive loss (in thousands):</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192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92"/>
        </w:trPr>
        <w:tc>
          <w:tcPr>
            <w:tcW w:w="43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123</w:t>
            </w:r>
          </w:p>
        </w:tc>
        <w:tc>
          <w:tcPr>
            <w:tcW w:w="880" w:type="dxa"/>
            <w:vAlign w:val="bottom"/>
            <w:gridSpan w:val="2"/>
            <w:shd w:val="clear" w:color="auto" w:fill="CFF0FC"/>
          </w:tcPr>
          <w:p>
            <w:pPr>
              <w:jc w:val="right"/>
              <w:ind w:right="51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(63 )</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22"/>
                <w:szCs w:val="22"/>
                <w:color w:val="auto"/>
              </w:rPr>
            </w:pPr>
          </w:p>
        </w:tc>
      </w:tr>
      <w:tr>
        <w:trPr>
          <w:trHeight w:val="250"/>
        </w:trPr>
        <w:tc>
          <w:tcPr>
            <w:tcW w:w="43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184</w:t>
            </w:r>
          </w:p>
        </w:tc>
        <w:tc>
          <w:tcPr>
            <w:tcW w:w="18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207</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r>
      <w:tr>
        <w:trPr>
          <w:trHeight w:val="290"/>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307</w:t>
            </w: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144</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-24765</wp:posOffset>
            </wp:positionV>
            <wp:extent cx="120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137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1028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102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39" w:lineRule="exact"/>
        <w:rPr>
          <w:sz w:val="20"/>
          <w:szCs w:val="20"/>
          <w:color w:val="auto"/>
        </w:rPr>
      </w:pPr>
    </w:p>
    <w:p>
      <w:pPr>
        <w:ind w:right="180" w:firstLine="1018"/>
        <w:spacing w:after="0" w:line="309" w:lineRule="auto"/>
        <w:rPr>
          <w:sz w:val="20"/>
          <w:szCs w:val="20"/>
          <w:color w:val="auto"/>
        </w:rPr>
      </w:pPr>
      <w:r>
        <w:rPr>
          <w:rFonts w:ascii="Arial" w:cs="Arial" w:eastAsia="Arial" w:hAnsi="Arial"/>
          <w:sz w:val="16"/>
          <w:szCs w:val="16"/>
          <w:color w:val="auto"/>
        </w:rPr>
        <w:t>From inception to December 31, 2017, we advanced funds to ICL, and ICL made payments directly to certain vendors on behalf of us. We have reimbursed ICL for all such payments at cost on a monthly basis. In June 2017, we converted the outstanding advances of $6.6 million to ICL into notes receivable. The notes provided for interest at 1.97% compounded annually, loan fees of 2.75% and were payable upon demand to us any time after January 1, 2024. During 2020, we received $1.0 million in payments for interest and repayment of principal on the ICL notes receivable. During the six months ended June 30, 2020, payments for interest and repayment of principal on the ICL note receivable was insignificant. During the six months ended June 30, 2021, we received $1.7 million for interest and principal on the ICL notes receivable. As of December 31, 2020, $1.7 million of the notes were outstanding. As of June 30, 2021, the outstanding balance, including all accrued interest, was fully repaid.</w:t>
      </w:r>
    </w:p>
    <w:p>
      <w:pPr>
        <w:spacing w:after="0" w:line="164" w:lineRule="exact"/>
        <w:rPr>
          <w:sz w:val="20"/>
          <w:szCs w:val="20"/>
          <w:color w:val="auto"/>
        </w:rPr>
      </w:pPr>
    </w:p>
    <w:p>
      <w:pPr>
        <w:ind w:right="100" w:firstLine="1018"/>
        <w:spacing w:after="0" w:line="275" w:lineRule="auto"/>
        <w:rPr>
          <w:sz w:val="20"/>
          <w:szCs w:val="20"/>
          <w:color w:val="auto"/>
        </w:rPr>
      </w:pPr>
      <w:r>
        <w:rPr>
          <w:rFonts w:ascii="Arial" w:cs="Arial" w:eastAsia="Arial" w:hAnsi="Arial"/>
          <w:sz w:val="18"/>
          <w:szCs w:val="18"/>
          <w:color w:val="auto"/>
        </w:rPr>
        <w:t>In December 2020, we amended the terms of certain expired warrants to purchase Series B units (the "Series B Warrants"), issued to InCube Ventures II, LP ("ICV II"), a related party and entity affiliated with ICL, by extending its exercise period for an additional two years. In December 2020, ICV II elected to cashless exercise all of their Series B Warrants and Rani issued 51,341 Series B units. There were no Series B Warrants outstanding at June 30,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39" w:lineRule="exact"/>
        <w:rPr>
          <w:sz w:val="20"/>
          <w:szCs w:val="20"/>
          <w:color w:val="auto"/>
        </w:rPr>
      </w:pPr>
    </w:p>
    <w:p>
      <w:pPr>
        <w:ind w:right="20" w:firstLine="1018"/>
        <w:spacing w:after="0" w:line="306" w:lineRule="auto"/>
        <w:rPr>
          <w:sz w:val="20"/>
          <w:szCs w:val="20"/>
          <w:color w:val="auto"/>
        </w:rPr>
      </w:pPr>
      <w:r>
        <w:rPr>
          <w:rFonts w:ascii="Arial" w:cs="Arial" w:eastAsia="Arial" w:hAnsi="Arial"/>
          <w:sz w:val="16"/>
          <w:szCs w:val="16"/>
          <w:color w:val="auto"/>
        </w:rPr>
        <w:t>In June 2021, we and ICL entered into an Amended and Restated Exclusive License Agreement which replaces the 2012 Exclusive License Agreement, as amended in 2013, and terminates the Intellectual Property Agreement, as amended in June 2013. Under the Amended and Restated License Agreement, we will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39" w:lineRule="exact"/>
        <w:rPr>
          <w:sz w:val="20"/>
          <w:szCs w:val="20"/>
          <w:color w:val="auto"/>
        </w:rPr>
      </w:pPr>
    </w:p>
    <w:p>
      <w:pPr>
        <w:ind w:right="80" w:firstLine="1018"/>
        <w:spacing w:after="0" w:line="266" w:lineRule="auto"/>
        <w:rPr>
          <w:sz w:val="20"/>
          <w:szCs w:val="20"/>
          <w:color w:val="auto"/>
        </w:rPr>
      </w:pPr>
      <w:r>
        <w:rPr>
          <w:rFonts w:ascii="Arial" w:cs="Arial" w:eastAsia="Arial" w:hAnsi="Arial"/>
          <w:sz w:val="18"/>
          <w:szCs w:val="18"/>
          <w:color w:val="auto"/>
        </w:rPr>
        <w:t>In June 2021, we entered into the Non-Exclusive License Agreement with ICL a related party, pursuant to which we granted ICL a non-exclusive, fully-paid license under specified patents that were assigned from ICL to the Company. 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The Non-Exclusive License Agreement will continue in perpetuity unless terminated.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39" w:lineRule="exact"/>
        <w:rPr>
          <w:sz w:val="20"/>
          <w:szCs w:val="20"/>
          <w:color w:val="auto"/>
        </w:rPr>
      </w:pPr>
    </w:p>
    <w:p>
      <w:pPr>
        <w:ind w:right="80" w:firstLine="1018"/>
        <w:spacing w:after="0" w:line="271" w:lineRule="auto"/>
        <w:rPr>
          <w:sz w:val="20"/>
          <w:szCs w:val="20"/>
          <w:color w:val="auto"/>
        </w:rPr>
      </w:pPr>
      <w:r>
        <w:rPr>
          <w:rFonts w:ascii="Arial" w:cs="Arial" w:eastAsia="Arial" w:hAnsi="Arial"/>
          <w:sz w:val="18"/>
          <w:szCs w:val="18"/>
          <w:color w:val="auto"/>
        </w:rPr>
        <w:t>In June 2021, we entered into the Mir Agreement, pursuant to which we and Mir Imran agreed that we would own all intellectual property conceived (a) using any of our people, equipment, or facilities or (b) that is within the field of oral delivery of sensors, small molecule drugs or biologic drugs including, any peptide, antibody, protein, cell therapy, gene therapy or vaccine. Neither us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Public Company Expenses</w:t>
      </w:r>
    </w:p>
    <w:p>
      <w:pPr>
        <w:spacing w:after="0" w:line="243" w:lineRule="exact"/>
        <w:rPr>
          <w:sz w:val="20"/>
          <w:szCs w:val="20"/>
          <w:color w:val="auto"/>
        </w:rPr>
      </w:pPr>
    </w:p>
    <w:p>
      <w:pPr>
        <w:ind w:right="180" w:firstLine="1018"/>
        <w:spacing w:after="0" w:line="272" w:lineRule="auto"/>
        <w:rPr>
          <w:sz w:val="20"/>
          <w:szCs w:val="20"/>
          <w:color w:val="auto"/>
        </w:rPr>
      </w:pPr>
      <w:r>
        <w:rPr>
          <w:rFonts w:ascii="Arial" w:cs="Arial" w:eastAsia="Arial" w:hAnsi="Arial"/>
          <w:sz w:val="18"/>
          <w:szCs w:val="18"/>
          <w:color w:val="auto"/>
        </w:rPr>
        <w:t>As a result of the Offering, we expect our operating expenses to increase. We expect our accounting, legal and personnel-related expenses and directors’ and officers’ insurance costs reported within general and administrative to increase as we establish more comprehensive compliance and governance functions, maintain and review internal controls over financial reporting in accordance with the Sarbanes-Oxley Act of 2002 and prepare and distribute periodic reports as required by the rules and regulations of the SEC. As a result, our historical results of operations may not be indicative of our results of operations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98"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Three Months Ended June 30,</w:t>
            </w:r>
          </w:p>
        </w:tc>
      </w:tr>
      <w:tr>
        <w:trPr>
          <w:trHeight w:val="196"/>
        </w:trPr>
        <w:tc>
          <w:tcPr>
            <w:tcW w:w="6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2"/>
                <w:szCs w:val="22"/>
                <w:color w:val="auto"/>
              </w:rPr>
            </w:pPr>
          </w:p>
        </w:tc>
      </w:tr>
      <w:tr>
        <w:trPr>
          <w:trHeight w:val="250"/>
        </w:trPr>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3"/>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3,759</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FF0FC"/>
          </w:tcPr>
          <w:p>
            <w:pPr>
              <w:spacing w:after="0"/>
              <w:rPr>
                <w:sz w:val="22"/>
                <w:szCs w:val="22"/>
                <w:color w:val="auto"/>
              </w:rPr>
            </w:pPr>
          </w:p>
        </w:tc>
      </w:tr>
      <w:tr>
        <w:trPr>
          <w:trHeight w:val="250"/>
        </w:trPr>
        <w:tc>
          <w:tcPr>
            <w:tcW w:w="61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1"/>
                <w:szCs w:val="21"/>
                <w:color w:val="auto"/>
              </w:rPr>
            </w:pPr>
          </w:p>
        </w:tc>
      </w:tr>
      <w:tr>
        <w:trPr>
          <w:trHeight w:val="250"/>
        </w:trPr>
        <w:tc>
          <w:tcPr>
            <w:tcW w:w="61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7,219</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50"/>
        </w:trPr>
        <w:tc>
          <w:tcPr>
            <w:tcW w:w="6180" w:type="dxa"/>
            <w:vAlign w:val="bottom"/>
          </w:tcPr>
          <w:p>
            <w:pPr>
              <w:ind w:left="76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(5,258 )</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(3,390 )</w:t>
            </w:r>
          </w:p>
        </w:tc>
      </w:tr>
      <w:tr>
        <w:trPr>
          <w:trHeight w:val="26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61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r>
      <w:tr>
        <w:trPr>
          <w:trHeight w:val="263"/>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and other, net</w:t>
            </w:r>
          </w:p>
        </w:tc>
        <w:tc>
          <w:tcPr>
            <w:tcW w:w="2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(169 )</w:t>
            </w:r>
          </w:p>
        </w:tc>
        <w:tc>
          <w:tcPr>
            <w:tcW w:w="2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r>
      <w:tr>
        <w:trPr>
          <w:trHeight w:val="250"/>
        </w:trPr>
        <w:tc>
          <w:tcPr>
            <w:tcW w:w="6180" w:type="dxa"/>
            <w:vAlign w:val="bottom"/>
          </w:tcPr>
          <w:p>
            <w:pPr>
              <w:ind w:left="260"/>
              <w:spacing w:after="0"/>
              <w:rPr>
                <w:sz w:val="20"/>
                <w:szCs w:val="20"/>
                <w:color w:val="auto"/>
              </w:rPr>
            </w:pPr>
            <w:r>
              <w:rPr>
                <w:rFonts w:ascii="Arial" w:cs="Arial" w:eastAsia="Arial" w:hAnsi="Arial"/>
                <w:sz w:val="18"/>
                <w:szCs w:val="18"/>
                <w:color w:val="auto"/>
              </w:rPr>
              <w:t>Change in estimated fair value of preferred unit warrant</w:t>
            </w:r>
          </w:p>
        </w:tc>
        <w:tc>
          <w:tcPr>
            <w:tcW w:w="2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(70 )</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6180" w:type="dxa"/>
            <w:vAlign w:val="bottom"/>
            <w:shd w:val="clear" w:color="auto" w:fill="CFF0FC"/>
          </w:tcPr>
          <w:p>
            <w:pPr>
              <w:ind w:left="76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(5,484 )</w:t>
            </w:r>
          </w:p>
        </w:tc>
        <w:tc>
          <w:tcPr>
            <w:tcW w:w="2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(2,708 )</w:t>
            </w:r>
          </w:p>
        </w:tc>
      </w:tr>
      <w:tr>
        <w:trPr>
          <w:trHeight w:val="250"/>
        </w:trPr>
        <w:tc>
          <w:tcPr>
            <w:tcW w:w="618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r>
      <w:tr>
        <w:trPr>
          <w:trHeight w:val="20"/>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(5,485 )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(2,714 )</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-1350645</wp:posOffset>
            </wp:positionV>
            <wp:extent cx="13716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-1350645</wp:posOffset>
            </wp:positionV>
            <wp:extent cx="7747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Contract Revenue</w:t>
      </w:r>
    </w:p>
    <w:p>
      <w:pPr>
        <w:spacing w:after="0" w:line="239" w:lineRule="exact"/>
        <w:rPr>
          <w:sz w:val="20"/>
          <w:szCs w:val="20"/>
          <w:color w:val="auto"/>
        </w:rPr>
      </w:pPr>
    </w:p>
    <w:p>
      <w:pPr>
        <w:ind w:right="40" w:firstLine="1018"/>
        <w:spacing w:after="0" w:line="275" w:lineRule="auto"/>
        <w:rPr>
          <w:sz w:val="20"/>
          <w:szCs w:val="20"/>
          <w:color w:val="auto"/>
        </w:rPr>
      </w:pPr>
      <w:r>
        <w:rPr>
          <w:rFonts w:ascii="Arial" w:cs="Arial" w:eastAsia="Arial" w:hAnsi="Arial"/>
          <w:sz w:val="18"/>
          <w:szCs w:val="18"/>
          <w:color w:val="auto"/>
        </w:rPr>
        <w:t>Contract revenue was $2.0 million and $0.1 million for the three months ended June 30, 2021 and 2020, respectively, which was attributable to our evaluation agreement with Takeda. In May 2021, we received notice from Takeda as to their intent to terminate the contract for convenience. The termination of the contract was considered a modification of the arrangement, and the deferred revenue remaining of $2.0 million under this agreement was fully recognized in the three months ended June 30, 2021.</w:t>
      </w:r>
    </w:p>
    <w:p>
      <w:pPr>
        <w:spacing w:after="0" w:line="36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00" w:lineRule="exact"/>
        <w:rPr>
          <w:sz w:val="20"/>
          <w:szCs w:val="20"/>
          <w:color w:val="auto"/>
        </w:rPr>
      </w:pPr>
    </w:p>
    <w:p>
      <w:pPr>
        <w:spacing w:after="0" w:line="273"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16370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4"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Payroll, equity-based compensation and related benefits</w:t>
            </w: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2,679</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80" w:type="dxa"/>
            <w:vAlign w:val="bottom"/>
            <w:shd w:val="clear" w:color="auto" w:fill="CFF0FC"/>
          </w:tcPr>
          <w:p>
            <w:pPr>
              <w:spacing w:after="0"/>
              <w:rPr>
                <w:sz w:val="22"/>
                <w:szCs w:val="22"/>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Facilities, materials and supplies</w:t>
            </w:r>
          </w:p>
        </w:tc>
        <w:tc>
          <w:tcPr>
            <w:tcW w:w="7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21"/>
                <w:szCs w:val="21"/>
                <w:color w:val="auto"/>
              </w:rPr>
            </w:pPr>
          </w:p>
        </w:tc>
      </w:tr>
      <w:tr>
        <w:trPr>
          <w:trHeight w:val="26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Third-party services</w:t>
            </w:r>
          </w:p>
        </w:tc>
        <w:tc>
          <w:tcPr>
            <w:tcW w:w="74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FF0FC"/>
          </w:tcPr>
          <w:p>
            <w:pPr>
              <w:spacing w:after="0"/>
              <w:rPr>
                <w:sz w:val="22"/>
                <w:szCs w:val="22"/>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r>
      <w:tr>
        <w:trPr>
          <w:trHeight w:val="290"/>
        </w:trPr>
        <w:tc>
          <w:tcPr>
            <w:tcW w:w="6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3,759</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-25400</wp:posOffset>
            </wp:positionV>
            <wp:extent cx="12890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1289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118" w:gutter="0" w:footer="0" w:header="0"/>
        </w:sectPr>
      </w:pPr>
    </w:p>
    <w:bookmarkStart w:id="36" w:name="page37"/>
    <w:bookmarkEnd w:id="36"/>
    <w:p>
      <w:pPr>
        <w:ind w:right="20" w:firstLine="1018"/>
        <w:spacing w:after="0" w:line="272" w:lineRule="auto"/>
        <w:rPr>
          <w:sz w:val="20"/>
          <w:szCs w:val="20"/>
          <w:color w:val="auto"/>
        </w:rPr>
      </w:pPr>
      <w:r>
        <w:rPr>
          <w:rFonts w:ascii="Arial" w:cs="Arial" w:eastAsia="Arial" w:hAnsi="Arial"/>
          <w:sz w:val="18"/>
          <w:szCs w:val="18"/>
          <w:color w:val="auto"/>
        </w:rPr>
        <w:t>Research and development expenses were $3.8 million for the three months ended June 30, 2021, compared to $2.6 million for the three months ended June 30, 2020. The change in research and development expense was primarily related to an increase of $1.4 million in salaries, equity-based compensation and related benefit costs due to an increase in headcount, and an increase of laboratory supplies of $0.3 million, partially offset by a reduction in third-party services of $0.5 million associated with the development of our manufacturing processes that occurred in 2020 and did not recur in 2021.</w:t>
      </w:r>
    </w:p>
    <w:p>
      <w:pPr>
        <w:spacing w:after="0" w:line="19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9" w:lineRule="exact"/>
        <w:rPr>
          <w:sz w:val="20"/>
          <w:szCs w:val="20"/>
          <w:color w:val="auto"/>
        </w:rPr>
      </w:pPr>
    </w:p>
    <w:p>
      <w:pPr>
        <w:ind w:right="340" w:firstLine="1018"/>
        <w:spacing w:after="0" w:line="275" w:lineRule="auto"/>
        <w:rPr>
          <w:sz w:val="20"/>
          <w:szCs w:val="20"/>
          <w:color w:val="auto"/>
        </w:rPr>
      </w:pPr>
      <w:r>
        <w:rPr>
          <w:rFonts w:ascii="Arial" w:cs="Arial" w:eastAsia="Arial" w:hAnsi="Arial"/>
          <w:sz w:val="18"/>
          <w:szCs w:val="18"/>
          <w:color w:val="auto"/>
        </w:rPr>
        <w:t>General and administrative expenses were $3.5 million for the three months ended June 30, 2021, compared to $0.9 million for the three months ended June 30, 2020. During the three months ended June 30, 2021, our professional and consulting services expense increased by $1.4 million primarily due to the costs associated with preparing to operate as a public company, and our payroll, equity-based compensation and related benefits increased by $0.9 million due to an increase in headcount.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 Net</w:t>
      </w:r>
    </w:p>
    <w:p>
      <w:pPr>
        <w:spacing w:after="0" w:line="239" w:lineRule="exact"/>
        <w:rPr>
          <w:sz w:val="20"/>
          <w:szCs w:val="20"/>
          <w:color w:val="auto"/>
        </w:rPr>
      </w:pPr>
    </w:p>
    <w:p>
      <w:pPr>
        <w:ind w:right="180" w:firstLine="1018"/>
        <w:spacing w:after="0" w:line="303" w:lineRule="auto"/>
        <w:rPr>
          <w:sz w:val="20"/>
          <w:szCs w:val="20"/>
          <w:color w:val="auto"/>
        </w:rPr>
      </w:pPr>
      <w:r>
        <w:rPr>
          <w:rFonts w:ascii="Arial" w:cs="Arial" w:eastAsia="Arial" w:hAnsi="Arial"/>
          <w:sz w:val="17"/>
          <w:szCs w:val="17"/>
          <w:color w:val="auto"/>
        </w:rPr>
        <w:t>Other expense, net was $0.2 million for the three months ended June 30, 2021, which related to $0.1 million of interest expense on the debt incurred at the end of 2020 and $0.1 million due to the increase in the estimated fair value of our Series E preferred unit warrants. Other income, net for three months ended June 30, 2020 was primarily due to change in estimated fair value of our Series B preferred unit warrants.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2021</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98"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1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22"/>
                <w:szCs w:val="22"/>
                <w:color w:val="auto"/>
              </w:rPr>
            </w:pPr>
          </w:p>
        </w:tc>
      </w:tr>
      <w:tr>
        <w:trPr>
          <w:trHeight w:val="250"/>
        </w:trPr>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3"/>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7,106</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w:t>
            </w:r>
          </w:p>
        </w:tc>
        <w:tc>
          <w:tcPr>
            <w:tcW w:w="120" w:type="dxa"/>
            <w:vAlign w:val="bottom"/>
            <w:shd w:val="clear" w:color="auto" w:fill="CFF0FC"/>
          </w:tcPr>
          <w:p>
            <w:pPr>
              <w:spacing w:after="0"/>
              <w:rPr>
                <w:sz w:val="22"/>
                <w:szCs w:val="22"/>
                <w:color w:val="auto"/>
              </w:rPr>
            </w:pPr>
          </w:p>
        </w:tc>
      </w:tr>
      <w:tr>
        <w:trPr>
          <w:trHeight w:val="250"/>
        </w:trPr>
        <w:tc>
          <w:tcPr>
            <w:tcW w:w="61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21"/>
                <w:szCs w:val="21"/>
                <w:color w:val="auto"/>
              </w:rPr>
            </w:pPr>
          </w:p>
        </w:tc>
      </w:tr>
      <w:tr>
        <w:trPr>
          <w:trHeight w:val="250"/>
        </w:trPr>
        <w:tc>
          <w:tcPr>
            <w:tcW w:w="61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50"/>
        </w:trPr>
        <w:tc>
          <w:tcPr>
            <w:tcW w:w="6160" w:type="dxa"/>
            <w:vAlign w:val="bottom"/>
          </w:tcPr>
          <w:p>
            <w:pPr>
              <w:ind w:left="76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(10,456 )</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(8,774 )</w:t>
            </w:r>
          </w:p>
        </w:tc>
      </w:tr>
      <w:tr>
        <w:trPr>
          <w:trHeight w:val="26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61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r>
      <w:tr>
        <w:trPr>
          <w:trHeight w:val="263"/>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and other, net</w:t>
            </w: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(357 )</w:t>
            </w:r>
          </w:p>
        </w:tc>
        <w:tc>
          <w:tcPr>
            <w:tcW w:w="2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r>
      <w:tr>
        <w:trPr>
          <w:trHeight w:val="250"/>
        </w:trPr>
        <w:tc>
          <w:tcPr>
            <w:tcW w:w="6160" w:type="dxa"/>
            <w:vAlign w:val="bottom"/>
          </w:tcPr>
          <w:p>
            <w:pPr>
              <w:ind w:left="260"/>
              <w:spacing w:after="0"/>
              <w:rPr>
                <w:sz w:val="20"/>
                <w:szCs w:val="20"/>
                <w:color w:val="auto"/>
              </w:rPr>
            </w:pPr>
            <w:r>
              <w:rPr>
                <w:rFonts w:ascii="Arial" w:cs="Arial" w:eastAsia="Arial" w:hAnsi="Arial"/>
                <w:sz w:val="18"/>
                <w:szCs w:val="18"/>
                <w:color w:val="auto"/>
              </w:rPr>
              <w:t>Change in estimated fair value of preferred unit warrant</w:t>
            </w: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(286 )</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6160" w:type="dxa"/>
            <w:vAlign w:val="bottom"/>
            <w:shd w:val="clear" w:color="auto" w:fill="CFF0FC"/>
          </w:tcPr>
          <w:p>
            <w:pPr>
              <w:ind w:left="76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(11,039 )</w:t>
            </w:r>
          </w:p>
        </w:tc>
        <w:tc>
          <w:tcPr>
            <w:tcW w:w="2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(8,047 )</w:t>
            </w:r>
          </w:p>
        </w:tc>
      </w:tr>
      <w:tr>
        <w:trPr>
          <w:trHeight w:val="250"/>
        </w:trPr>
        <w:tc>
          <w:tcPr>
            <w:tcW w:w="616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(44 )</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(17 )</w:t>
            </w:r>
          </w:p>
        </w:tc>
      </w:tr>
      <w:tr>
        <w:trPr>
          <w:trHeight w:val="20"/>
        </w:trPr>
        <w:tc>
          <w:tcPr>
            <w:tcW w:w="6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(11,083 )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(8,064 )</w:t>
            </w: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-1350645</wp:posOffset>
            </wp:positionV>
            <wp:extent cx="13716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-1350645</wp:posOffset>
            </wp:positionV>
            <wp:extent cx="7747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137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137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Contract Revenue</w:t>
      </w:r>
    </w:p>
    <w:p>
      <w:pPr>
        <w:spacing w:after="0" w:line="239" w:lineRule="exact"/>
        <w:rPr>
          <w:sz w:val="20"/>
          <w:szCs w:val="20"/>
          <w:color w:val="auto"/>
        </w:rPr>
      </w:pPr>
    </w:p>
    <w:p>
      <w:pPr>
        <w:ind w:right="60" w:firstLine="1018"/>
        <w:spacing w:after="0" w:line="272" w:lineRule="auto"/>
        <w:rPr>
          <w:sz w:val="20"/>
          <w:szCs w:val="20"/>
          <w:color w:val="auto"/>
        </w:rPr>
      </w:pPr>
      <w:r>
        <w:rPr>
          <w:rFonts w:ascii="Arial" w:cs="Arial" w:eastAsia="Arial" w:hAnsi="Arial"/>
          <w:sz w:val="18"/>
          <w:szCs w:val="18"/>
          <w:color w:val="auto"/>
        </w:rPr>
        <w:t>Contract revenue was $2.7 million and $0.1 million for the six months ended June 30, 2021 and 2020, respectively, which was attributable to our evaluation agreement with Takeda. $0.7 million of revenue in 2021 related to the timing of work performed under the agreement. In May 2021, the Company received notice from Takeda as to their intent to terminate the contract for convenience. The termination of the contract was considered a modification of the arrangement, and the deferred revenue remaining of $2.0 million under this agreement was fully recognized in the second quarter of 2021.</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62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Payroll, equity-based compensation and related benefits</w:t>
            </w: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4,874</w:t>
            </w:r>
          </w:p>
        </w:tc>
        <w:tc>
          <w:tcPr>
            <w:tcW w:w="94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3,318</w:t>
            </w:r>
          </w:p>
        </w:tc>
        <w:tc>
          <w:tcPr>
            <w:tcW w:w="80" w:type="dxa"/>
            <w:vAlign w:val="bottom"/>
            <w:shd w:val="clear" w:color="auto" w:fill="CFF0FC"/>
          </w:tcPr>
          <w:p>
            <w:pPr>
              <w:spacing w:after="0"/>
              <w:rPr>
                <w:sz w:val="22"/>
                <w:szCs w:val="22"/>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Facilities, materials and supplies</w:t>
            </w:r>
          </w:p>
        </w:tc>
        <w:tc>
          <w:tcPr>
            <w:tcW w:w="7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1,536</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1,203</w:t>
            </w:r>
          </w:p>
        </w:tc>
        <w:tc>
          <w:tcPr>
            <w:tcW w:w="80" w:type="dxa"/>
            <w:vAlign w:val="bottom"/>
          </w:tcPr>
          <w:p>
            <w:pPr>
              <w:spacing w:after="0"/>
              <w:rPr>
                <w:sz w:val="21"/>
                <w:szCs w:val="21"/>
                <w:color w:val="auto"/>
              </w:rPr>
            </w:pPr>
          </w:p>
        </w:tc>
      </w:tr>
      <w:tr>
        <w:trPr>
          <w:trHeight w:val="26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Third-party services</w:t>
            </w:r>
          </w:p>
        </w:tc>
        <w:tc>
          <w:tcPr>
            <w:tcW w:w="74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2,063</w:t>
            </w:r>
          </w:p>
        </w:tc>
        <w:tc>
          <w:tcPr>
            <w:tcW w:w="80" w:type="dxa"/>
            <w:vAlign w:val="bottom"/>
            <w:shd w:val="clear" w:color="auto" w:fill="CFF0FC"/>
          </w:tcPr>
          <w:p>
            <w:pPr>
              <w:spacing w:after="0"/>
              <w:rPr>
                <w:sz w:val="22"/>
                <w:szCs w:val="22"/>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r>
      <w:tr>
        <w:trPr>
          <w:trHeight w:val="290"/>
        </w:trPr>
        <w:tc>
          <w:tcPr>
            <w:tcW w:w="6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7,106</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6,618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-24765</wp:posOffset>
            </wp:positionV>
            <wp:extent cx="1289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1289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ind w:right="80" w:firstLine="1018"/>
        <w:spacing w:after="0" w:line="272" w:lineRule="auto"/>
        <w:rPr>
          <w:sz w:val="20"/>
          <w:szCs w:val="20"/>
          <w:color w:val="auto"/>
        </w:rPr>
      </w:pPr>
      <w:r>
        <w:rPr>
          <w:rFonts w:ascii="Arial" w:cs="Arial" w:eastAsia="Arial" w:hAnsi="Arial"/>
          <w:sz w:val="18"/>
          <w:szCs w:val="18"/>
          <w:color w:val="auto"/>
        </w:rPr>
        <w:t>Research and development expenses were $7.1 million for the six months ended June 30, 2021, compared to $6.6 million for the six months ended June 30, 2020. The change in research and development expense was primarily related to an increase of $1.8 million in salaries, equity-based compensation, and related benefit costs due to an increase in headcount, and an increase in laboratory supplies of $0.3 million, partially offset by a reduction in third-party services of $1.8 million associated with the development of our manufacturing processes that occurred in 2020 and did not recur in 2021.</w:t>
      </w:r>
    </w:p>
    <w:p>
      <w:pPr>
        <w:spacing w:after="0" w:line="19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9" w:lineRule="exact"/>
        <w:rPr>
          <w:sz w:val="20"/>
          <w:szCs w:val="20"/>
          <w:color w:val="auto"/>
        </w:rPr>
      </w:pPr>
    </w:p>
    <w:p>
      <w:pPr>
        <w:ind w:right="40" w:firstLine="1018"/>
        <w:spacing w:after="0" w:line="275" w:lineRule="auto"/>
        <w:rPr>
          <w:sz w:val="20"/>
          <w:szCs w:val="20"/>
          <w:color w:val="auto"/>
        </w:rPr>
      </w:pPr>
      <w:r>
        <w:rPr>
          <w:rFonts w:ascii="Arial" w:cs="Arial" w:eastAsia="Arial" w:hAnsi="Arial"/>
          <w:sz w:val="18"/>
          <w:szCs w:val="18"/>
          <w:color w:val="auto"/>
        </w:rPr>
        <w:t>General and administrative expenses were $6.1 million for the six months ended June 30, 2021, compared to $2.3 million for the six months ended June 30, 2020. During the six months ended June 30, 2021, our professional and consulting services expense increased by $2.4 million primarily due to the costs associated with preparing to operate as a public company, and our payroll, equity-based compensation and related benefits increased by $1.3 million due to an increase in headcount.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 Net</w:t>
      </w:r>
    </w:p>
    <w:p>
      <w:pPr>
        <w:spacing w:after="0" w:line="239" w:lineRule="exact"/>
        <w:rPr>
          <w:sz w:val="20"/>
          <w:szCs w:val="20"/>
          <w:color w:val="auto"/>
        </w:rPr>
      </w:pPr>
    </w:p>
    <w:p>
      <w:pPr>
        <w:jc w:val="both"/>
        <w:ind w:right="200" w:firstLine="1018"/>
        <w:spacing w:after="0" w:line="329" w:lineRule="auto"/>
        <w:rPr>
          <w:sz w:val="20"/>
          <w:szCs w:val="20"/>
          <w:color w:val="auto"/>
        </w:rPr>
      </w:pPr>
      <w:r>
        <w:rPr>
          <w:rFonts w:ascii="Arial" w:cs="Arial" w:eastAsia="Arial" w:hAnsi="Arial"/>
          <w:sz w:val="16"/>
          <w:szCs w:val="16"/>
          <w:color w:val="auto"/>
        </w:rPr>
        <w:t>Other expense, net was $0.6 million for the six months ended June 30, 2021, which primarily related to $0.4 million of interest expense on the debt incurred at the end of 2020 and $0.3 million due to the increase in the estimated fair value of our Series E preferred unit warrants. Other income, net for six months ended June 30, 2020 was primarily due to the change in estimated fair value of our Series B preferred unit warrants.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239" w:lineRule="exact"/>
        <w:rPr>
          <w:sz w:val="20"/>
          <w:szCs w:val="20"/>
          <w:color w:val="auto"/>
        </w:rPr>
      </w:pPr>
    </w:p>
    <w:p>
      <w:pPr>
        <w:ind w:right="60" w:firstLine="1018"/>
        <w:spacing w:after="0" w:line="287" w:lineRule="auto"/>
        <w:rPr>
          <w:sz w:val="20"/>
          <w:szCs w:val="20"/>
          <w:color w:val="auto"/>
        </w:rPr>
      </w:pPr>
      <w:r>
        <w:rPr>
          <w:rFonts w:ascii="Arial" w:cs="Arial" w:eastAsia="Arial" w:hAnsi="Arial"/>
          <w:sz w:val="17"/>
          <w:szCs w:val="17"/>
          <w:color w:val="auto"/>
        </w:rPr>
        <w:t>Since our inception in 2012, 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an initial public offering ("IPO"), private placements of our preferred units and the issuance of convertible promissory notes, with aggregate gross proceeds of $282.5 million, as well as revenue generated from evaluation agreements. As of June 30, 2021, we had cash and cash equivalents of $69.3 million. In August 2021 we raised net proceeds of $73.7 million from the IPO.</w:t>
      </w:r>
    </w:p>
    <w:p>
      <w:pPr>
        <w:spacing w:after="0" w:line="178" w:lineRule="exact"/>
        <w:rPr>
          <w:sz w:val="20"/>
          <w:szCs w:val="20"/>
          <w:color w:val="auto"/>
        </w:rPr>
      </w:pPr>
    </w:p>
    <w:p>
      <w:pPr>
        <w:ind w:right="100" w:firstLine="1018"/>
        <w:spacing w:after="0" w:line="329" w:lineRule="auto"/>
        <w:rPr>
          <w:sz w:val="20"/>
          <w:szCs w:val="20"/>
          <w:color w:val="auto"/>
        </w:rPr>
      </w:pPr>
      <w:r>
        <w:rPr>
          <w:rFonts w:ascii="Arial" w:cs="Arial" w:eastAsia="Arial" w:hAnsi="Arial"/>
          <w:sz w:val="16"/>
          <w:szCs w:val="16"/>
          <w:color w:val="auto"/>
        </w:rPr>
        <w:t>In April 2020, we received loan proceeds in the amount of approximately $1.3 million under the PPP, established pursuant to the CARES Act, with Comerica Bank as the lender (the “PPP Loan”). We have used this loan for the eligible purposes, including payroll, benefits, rent and utilities. The loan bears interest at 1% per annum. In September 2021, the Company repaid in full the $1.3 million of principal and interest related to the PPP Loan.</w:t>
      </w:r>
    </w:p>
    <w:p>
      <w:pPr>
        <w:spacing w:after="0" w:line="148" w:lineRule="exact"/>
        <w:rPr>
          <w:sz w:val="20"/>
          <w:szCs w:val="20"/>
          <w:color w:val="auto"/>
        </w:rPr>
      </w:pPr>
    </w:p>
    <w:p>
      <w:pPr>
        <w:ind w:right="100" w:firstLine="1018"/>
        <w:spacing w:after="0" w:line="266" w:lineRule="auto"/>
        <w:rPr>
          <w:sz w:val="20"/>
          <w:szCs w:val="20"/>
          <w:color w:val="auto"/>
        </w:rPr>
      </w:pPr>
      <w:r>
        <w:rPr>
          <w:rFonts w:ascii="Arial" w:cs="Arial" w:eastAsia="Arial" w:hAnsi="Arial"/>
          <w:sz w:val="18"/>
          <w:szCs w:val="18"/>
          <w:color w:val="auto"/>
        </w:rPr>
        <w:t>In September 2020, we entered into a secured convertible loan agreement (the “Avenue Loan Agreement”) with Avenue Venture Opportunities Fund, L.P., for loan proceeds of up to $10.0 million. As of June 30, 2021, we had drawn down $3.0 million under the Avenue Loan Agreement. The Loan bears interest at a variable rate per annum equal to the sum of (i) the greater of (A) the Prime Rate and (B) three and one-quarter percent (3.25%), plus (ii) eight percent (8.00%), compounded monthly until its maturity date of September 1, 2023, at which time all outstanding principal and interest became due and payable in cash if not already converted. Our obligations under the Avenue Loan Agreement are secured by a first priority security interest in substantially all of our assets. In connection with the Avenue Loan Agreement, we have issued warrants of 118,929 units of Series E preferred units (the Series 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ind w:right="60"/>
        <w:spacing w:after="0" w:line="272" w:lineRule="auto"/>
        <w:rPr>
          <w:sz w:val="20"/>
          <w:szCs w:val="20"/>
          <w:color w:val="auto"/>
        </w:rPr>
      </w:pPr>
      <w:r>
        <w:rPr>
          <w:rFonts w:ascii="Arial" w:cs="Arial" w:eastAsia="Arial" w:hAnsi="Arial"/>
          <w:sz w:val="18"/>
          <w:szCs w:val="18"/>
          <w:color w:val="auto"/>
        </w:rPr>
        <w:t>Warrants). The Series E Warrants are exercisable for a period of seven years from the date of grant at an exercise price of $7.1471 per unit. The loan is convertible at the option of the holder into our Series E convertible preferred units. We were in compliance with the covenants under the loan, and there were no events of default for the six months ended June 30, 2021. As of June 30, 2021, we have elected not to exercise our option to draw down the remaining $7.0 million of the Avenue Loan Agreement. In July 2021, we repaid in full the $3.0 million of principal and approximately $0.5 million of final payment and fees under the Avenue Loan Agreement.</w:t>
      </w:r>
    </w:p>
    <w:p>
      <w:pPr>
        <w:spacing w:after="0" w:line="191" w:lineRule="exact"/>
        <w:rPr>
          <w:sz w:val="20"/>
          <w:szCs w:val="20"/>
          <w:color w:val="auto"/>
        </w:rPr>
      </w:pPr>
    </w:p>
    <w:p>
      <w:pPr>
        <w:ind w:right="240" w:firstLine="1018"/>
        <w:spacing w:after="0" w:line="279" w:lineRule="auto"/>
        <w:rPr>
          <w:sz w:val="20"/>
          <w:szCs w:val="20"/>
          <w:color w:val="auto"/>
        </w:rPr>
      </w:pPr>
      <w:r>
        <w:rPr>
          <w:rFonts w:ascii="Arial" w:cs="Arial" w:eastAsia="Arial" w:hAnsi="Arial"/>
          <w:sz w:val="18"/>
          <w:szCs w:val="18"/>
          <w:color w:val="auto"/>
        </w:rPr>
        <w:t>In October 2020, we entered into the Fourth Amended and Restated Operating Agreement, which authorized the sale and issuance of up to 10,493,767 Series E Preferred Units. As of June 30, 2021, we had issued the total authorized amount at a price of $7.1471 for gross proceeds of $75.0 million.</w:t>
      </w:r>
    </w:p>
    <w:p>
      <w:pPr>
        <w:spacing w:after="0" w:line="183" w:lineRule="exact"/>
        <w:rPr>
          <w:sz w:val="20"/>
          <w:szCs w:val="20"/>
          <w:color w:val="auto"/>
        </w:rPr>
      </w:pPr>
    </w:p>
    <w:p>
      <w:pPr>
        <w:ind w:right="40" w:firstLine="1018"/>
        <w:spacing w:after="0" w:line="275" w:lineRule="auto"/>
        <w:rPr>
          <w:sz w:val="20"/>
          <w:szCs w:val="20"/>
          <w:color w:val="auto"/>
        </w:rPr>
      </w:pPr>
      <w:r>
        <w:rPr>
          <w:rFonts w:ascii="Arial" w:cs="Arial" w:eastAsia="Arial" w:hAnsi="Arial"/>
          <w:sz w:val="18"/>
          <w:szCs w:val="18"/>
          <w:color w:val="auto"/>
        </w:rPr>
        <w:t>After completion of the Offering, Rani Holdings became a holding company and has no material assets other than its ownership of LLC Interests. Rani Holdings has no independent means of generating revenue. The limited liability company agreement of Rani that went into effect at the closing the Offering provides that certain distributions will be made to cover the taxes of the owners of LLC Interests and Rani Holdings’ obligations under the Tax Receivable Agreement which was entered into with certain of the Continuing LLC Owners.</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39" w:lineRule="exact"/>
        <w:rPr>
          <w:sz w:val="20"/>
          <w:szCs w:val="20"/>
          <w:color w:val="auto"/>
        </w:rPr>
      </w:pPr>
    </w:p>
    <w:p>
      <w:pPr>
        <w:ind w:firstLine="1018"/>
        <w:spacing w:after="0" w:line="286" w:lineRule="auto"/>
        <w:rPr>
          <w:sz w:val="20"/>
          <w:szCs w:val="20"/>
          <w:color w:val="auto"/>
        </w:rPr>
      </w:pPr>
      <w:r>
        <w:rPr>
          <w:rFonts w:ascii="Arial" w:cs="Arial" w:eastAsia="Arial" w:hAnsi="Arial"/>
          <w:sz w:val="17"/>
          <w:szCs w:val="17"/>
          <w:color w:val="auto"/>
        </w:rPr>
        <w:t>We entered into a Tax Receivable Agreement with certain of the Continuing LLC Owners in August 2021 in connection with the Offering. The Tax Receivable Agreement provides for our payment to certain of the Continuing LLC Owners of 85% of the amount of tax benefits, if any, that we are deemed to realize as a result of any basis adjustments and certain other tax benefits arising from payments under the Tax Receivable Agreement. We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Rani Holdings or us by such Continuing LLC Owners. The rights of such Continuing LLC Owners under the Tax Receivable Agreement are assignable to transferees of their LLC Interests (other than Rani Holdings as transferee pursuant to subsequent redemptions (or exchanges) of the transferred LLC Interests). We expect to benefit from the remaining 15% of tax benefits, if any, that we may realize. Due to the uncertainty of various factors, we cannot precisely quantify the tax benefits we may realize as a result of LLC Interest exchanges and the resulting amounts we may need to pay out to certain of the Continuing LLC Owners pursuant to the Tax Receivable Agreement; however, we estimate that such payments may be substantial.</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39" w:lineRule="exact"/>
        <w:rPr>
          <w:sz w:val="20"/>
          <w:szCs w:val="20"/>
          <w:color w:val="auto"/>
        </w:rPr>
      </w:pPr>
    </w:p>
    <w:p>
      <w:pPr>
        <w:ind w:right="20" w:firstLine="1018"/>
        <w:spacing w:after="0" w:line="290" w:lineRule="auto"/>
        <w:rPr>
          <w:sz w:val="20"/>
          <w:szCs w:val="20"/>
          <w:color w:val="auto"/>
        </w:rPr>
      </w:pPr>
      <w:r>
        <w:rPr>
          <w:rFonts w:ascii="Arial" w:cs="Arial" w:eastAsia="Arial" w:hAnsi="Arial"/>
          <w:sz w:val="17"/>
          <w:szCs w:val="17"/>
          <w:color w:val="auto"/>
        </w:rPr>
        <w:t>Based on our current operating plan, as of September 10, 2021,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 numerous risks and uncertainties associated with the development of the RaniPill capsule and because the extent to which we may enter into strategic collaborations or other arrangements with third parties for development of the RaniPill capsule is unknown, we are unable to estimate the timing and amounts of increased capital outlays and operating expenses associated with completing the research and development of our product candidates.</w:t>
      </w:r>
    </w:p>
    <w:p>
      <w:pPr>
        <w:spacing w:after="0" w:line="176" w:lineRule="exact"/>
        <w:rPr>
          <w:sz w:val="20"/>
          <w:szCs w:val="20"/>
          <w:color w:val="auto"/>
        </w:rPr>
      </w:pPr>
    </w:p>
    <w:p>
      <w:pPr>
        <w:ind w:firstLine="1018"/>
        <w:spacing w:after="0" w:line="311" w:lineRule="auto"/>
        <w:rPr>
          <w:sz w:val="20"/>
          <w:szCs w:val="20"/>
          <w:color w:val="auto"/>
        </w:rPr>
      </w:pPr>
      <w:r>
        <w:rPr>
          <w:rFonts w:ascii="Arial" w:cs="Arial" w:eastAsia="Arial" w:hAnsi="Arial"/>
          <w:sz w:val="16"/>
          <w:szCs w:val="16"/>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capsule. In addition, we expect to incur additional costs once we are operating as a public company.</w:t>
      </w:r>
    </w:p>
    <w:p>
      <w:pPr>
        <w:spacing w:after="0" w:line="163" w:lineRule="exact"/>
        <w:rPr>
          <w:sz w:val="20"/>
          <w:szCs w:val="20"/>
          <w:color w:val="auto"/>
        </w:rPr>
      </w:pPr>
    </w:p>
    <w:p>
      <w:pPr>
        <w:ind w:right="100" w:firstLine="1018"/>
        <w:spacing w:after="0" w:line="296" w:lineRule="auto"/>
        <w:rPr>
          <w:sz w:val="20"/>
          <w:szCs w:val="20"/>
          <w:color w:val="auto"/>
        </w:rPr>
      </w:pPr>
      <w:r>
        <w:rPr>
          <w:rFonts w:ascii="Arial" w:cs="Arial" w:eastAsia="Arial" w:hAnsi="Arial"/>
          <w:sz w:val="17"/>
          <w:szCs w:val="17"/>
          <w:color w:val="auto"/>
        </w:rPr>
        <w:t>We may seek to raise capital through equity offerings or debt financings,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170" w:lineRule="exact"/>
        <w:rPr>
          <w:sz w:val="20"/>
          <w:szCs w:val="20"/>
          <w:color w:val="auto"/>
        </w:rPr>
      </w:pPr>
    </w:p>
    <w:p>
      <w:pPr>
        <w:ind w:left="1520" w:hanging="366"/>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238" w:lineRule="exact"/>
        <w:rPr>
          <w:rFonts w:ascii="Arial" w:cs="Arial" w:eastAsia="Arial" w:hAnsi="Arial"/>
          <w:sz w:val="18"/>
          <w:szCs w:val="18"/>
          <w:color w:val="auto"/>
        </w:rPr>
      </w:pPr>
    </w:p>
    <w:p>
      <w:pPr>
        <w:ind w:left="1520" w:hanging="366"/>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left="1540" w:right="40" w:hanging="386"/>
        <w:spacing w:after="0" w:line="279" w:lineRule="auto"/>
        <w:tabs>
          <w:tab w:leader="none" w:pos="15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the U.S. Food and Drug Administration (“FDA"), or other regulatory authorities to accept data from our clinical trials, as well as data from our completed and planned clinical trials and preclinical studies and other work, as the basis for review and approval of the RaniPill capsule for various indications;</w:t>
      </w:r>
    </w:p>
    <w:p>
      <w:pPr>
        <w:spacing w:after="0" w:line="182" w:lineRule="exact"/>
        <w:rPr>
          <w:rFonts w:ascii="Arial" w:cs="Arial" w:eastAsia="Arial" w:hAnsi="Arial"/>
          <w:sz w:val="18"/>
          <w:szCs w:val="18"/>
          <w:color w:val="auto"/>
        </w:rPr>
      </w:pPr>
    </w:p>
    <w:p>
      <w:pPr>
        <w:ind w:left="1520" w:hanging="366"/>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38" w:lineRule="exact"/>
        <w:rPr>
          <w:rFonts w:ascii="Arial" w:cs="Arial" w:eastAsia="Arial" w:hAnsi="Arial"/>
          <w:sz w:val="18"/>
          <w:szCs w:val="18"/>
          <w:color w:val="auto"/>
        </w:rPr>
      </w:pPr>
    </w:p>
    <w:p>
      <w:pPr>
        <w:ind w:left="1520" w:hanging="366"/>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38" w:lineRule="exact"/>
        <w:rPr>
          <w:rFonts w:ascii="Arial" w:cs="Arial" w:eastAsia="Arial" w:hAnsi="Arial"/>
          <w:sz w:val="18"/>
          <w:szCs w:val="18"/>
          <w:color w:val="auto"/>
        </w:rPr>
      </w:pPr>
    </w:p>
    <w:p>
      <w:pPr>
        <w:ind w:left="1520" w:hanging="366"/>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238" w:lineRule="exact"/>
        <w:rPr>
          <w:rFonts w:ascii="Arial" w:cs="Arial" w:eastAsia="Arial" w:hAnsi="Arial"/>
          <w:sz w:val="18"/>
          <w:szCs w:val="18"/>
          <w:color w:val="auto"/>
        </w:rPr>
      </w:pPr>
    </w:p>
    <w:p>
      <w:pPr>
        <w:ind w:left="1520" w:hanging="366"/>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38" w:lineRule="exact"/>
        <w:rPr>
          <w:rFonts w:ascii="Arial" w:cs="Arial" w:eastAsia="Arial" w:hAnsi="Arial"/>
          <w:sz w:val="18"/>
          <w:szCs w:val="18"/>
          <w:color w:val="auto"/>
        </w:rPr>
      </w:pPr>
    </w:p>
    <w:p>
      <w:pPr>
        <w:ind w:left="1540" w:right="100" w:hanging="386"/>
        <w:spacing w:after="0" w:line="293" w:lineRule="auto"/>
        <w:tabs>
          <w:tab w:leader="none" w:pos="15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69" w:lineRule="exact"/>
        <w:rPr>
          <w:rFonts w:ascii="Arial" w:cs="Arial" w:eastAsia="Arial" w:hAnsi="Arial"/>
          <w:sz w:val="18"/>
          <w:szCs w:val="18"/>
          <w:color w:val="auto"/>
        </w:rPr>
      </w:pPr>
    </w:p>
    <w:p>
      <w:pPr>
        <w:ind w:left="1520" w:hanging="366"/>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238" w:lineRule="exact"/>
        <w:rPr>
          <w:rFonts w:ascii="Arial" w:cs="Arial" w:eastAsia="Arial" w:hAnsi="Arial"/>
          <w:sz w:val="18"/>
          <w:szCs w:val="18"/>
          <w:color w:val="auto"/>
        </w:rPr>
      </w:pPr>
    </w:p>
    <w:p>
      <w:pPr>
        <w:ind w:left="1520" w:hanging="366"/>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38" w:lineRule="exact"/>
        <w:rPr>
          <w:rFonts w:ascii="Arial" w:cs="Arial" w:eastAsia="Arial" w:hAnsi="Arial"/>
          <w:sz w:val="18"/>
          <w:szCs w:val="18"/>
          <w:color w:val="auto"/>
        </w:rPr>
      </w:pPr>
    </w:p>
    <w:p>
      <w:pPr>
        <w:ind w:left="1540" w:right="320" w:hanging="386"/>
        <w:spacing w:after="0" w:line="279" w:lineRule="auto"/>
        <w:tabs>
          <w:tab w:leader="none" w:pos="15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82" w:lineRule="exact"/>
        <w:rPr>
          <w:rFonts w:ascii="Arial" w:cs="Arial" w:eastAsia="Arial" w:hAnsi="Arial"/>
          <w:sz w:val="18"/>
          <w:szCs w:val="18"/>
          <w:color w:val="auto"/>
        </w:rPr>
      </w:pPr>
    </w:p>
    <w:p>
      <w:pPr>
        <w:ind w:left="1520" w:hanging="366"/>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38" w:lineRule="exact"/>
        <w:rPr>
          <w:rFonts w:ascii="Arial" w:cs="Arial" w:eastAsia="Arial" w:hAnsi="Arial"/>
          <w:sz w:val="18"/>
          <w:szCs w:val="18"/>
          <w:color w:val="auto"/>
        </w:rPr>
      </w:pPr>
    </w:p>
    <w:p>
      <w:pPr>
        <w:ind w:left="1520" w:hanging="366"/>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38" w:lineRule="exact"/>
        <w:rPr>
          <w:rFonts w:ascii="Arial" w:cs="Arial" w:eastAsia="Arial" w:hAnsi="Arial"/>
          <w:sz w:val="18"/>
          <w:szCs w:val="18"/>
          <w:color w:val="auto"/>
        </w:rPr>
      </w:pPr>
    </w:p>
    <w:p>
      <w:pPr>
        <w:ind w:left="1520" w:hanging="366"/>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38" w:lineRule="exact"/>
        <w:rPr>
          <w:rFonts w:ascii="Arial" w:cs="Arial" w:eastAsia="Arial" w:hAnsi="Arial"/>
          <w:sz w:val="18"/>
          <w:szCs w:val="18"/>
          <w:color w:val="auto"/>
        </w:rPr>
      </w:pPr>
    </w:p>
    <w:p>
      <w:pPr>
        <w:ind w:left="1520" w:hanging="366"/>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238" w:lineRule="exact"/>
        <w:rPr>
          <w:rFonts w:ascii="Arial" w:cs="Arial" w:eastAsia="Arial" w:hAnsi="Arial"/>
          <w:sz w:val="18"/>
          <w:szCs w:val="18"/>
          <w:color w:val="auto"/>
        </w:rPr>
      </w:pPr>
    </w:p>
    <w:p>
      <w:pPr>
        <w:ind w:left="1520" w:hanging="366"/>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38" w:lineRule="exact"/>
        <w:rPr>
          <w:rFonts w:ascii="Arial" w:cs="Arial" w:eastAsia="Arial" w:hAnsi="Arial"/>
          <w:sz w:val="18"/>
          <w:szCs w:val="18"/>
          <w:color w:val="auto"/>
        </w:rPr>
      </w:pPr>
    </w:p>
    <w:p>
      <w:pPr>
        <w:ind w:left="1520" w:hanging="366"/>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38" w:lineRule="exact"/>
        <w:rPr>
          <w:rFonts w:ascii="Arial" w:cs="Arial" w:eastAsia="Arial" w:hAnsi="Arial"/>
          <w:sz w:val="18"/>
          <w:szCs w:val="18"/>
          <w:color w:val="auto"/>
        </w:rPr>
      </w:pPr>
    </w:p>
    <w:p>
      <w:pPr>
        <w:ind w:left="1540" w:right="100" w:hanging="386"/>
        <w:spacing w:after="0" w:line="293" w:lineRule="auto"/>
        <w:tabs>
          <w:tab w:leader="none" w:pos="15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69" w:lineRule="exact"/>
        <w:rPr>
          <w:rFonts w:ascii="Arial" w:cs="Arial" w:eastAsia="Arial" w:hAnsi="Arial"/>
          <w:sz w:val="18"/>
          <w:szCs w:val="18"/>
          <w:color w:val="auto"/>
        </w:rPr>
      </w:pPr>
    </w:p>
    <w:p>
      <w:pPr>
        <w:ind w:left="1540" w:right="180" w:hanging="386"/>
        <w:spacing w:after="0" w:line="293" w:lineRule="auto"/>
        <w:tabs>
          <w:tab w:leader="none" w:pos="15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right="80" w:firstLine="1018"/>
        <w:spacing w:after="0" w:line="266" w:lineRule="auto"/>
        <w:rPr>
          <w:sz w:val="20"/>
          <w:szCs w:val="20"/>
          <w:color w:val="auto"/>
        </w:rPr>
      </w:pPr>
      <w:r>
        <w:rPr>
          <w:rFonts w:ascii="Arial" w:cs="Arial" w:eastAsia="Arial" w:hAnsi="Arial"/>
          <w:sz w:val="18"/>
          <w:szCs w:val="18"/>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98"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Six Months Ended</w:t>
      </w:r>
    </w:p>
    <w:p>
      <w:pPr>
        <w:spacing w:after="0" w:line="25"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16370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4"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25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(9,676 )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(8,930 )</w:t>
            </w:r>
          </w:p>
        </w:tc>
      </w:tr>
      <w:tr>
        <w:trPr>
          <w:trHeight w:val="250"/>
        </w:trPr>
        <w:tc>
          <w:tcPr>
            <w:tcW w:w="6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(235 )</w:t>
            </w:r>
          </w:p>
        </w:tc>
        <w:tc>
          <w:tcPr>
            <w:tcW w:w="2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(944 )</w:t>
            </w:r>
          </w:p>
        </w:tc>
      </w:tr>
      <w:tr>
        <w:trPr>
          <w:trHeight w:val="257"/>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6,167</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61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(3,744 )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(8,620 )</w:t>
            </w: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-193675</wp:posOffset>
            </wp:positionV>
            <wp:extent cx="13716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-193675</wp:posOffset>
            </wp:positionV>
            <wp:extent cx="7747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9" w:lineRule="exact"/>
        <w:rPr>
          <w:sz w:val="20"/>
          <w:szCs w:val="20"/>
          <w:color w:val="auto"/>
        </w:rPr>
      </w:pPr>
    </w:p>
    <w:p>
      <w:pPr>
        <w:ind w:right="160" w:firstLine="1018"/>
        <w:spacing w:after="0" w:line="275" w:lineRule="auto"/>
        <w:rPr>
          <w:sz w:val="20"/>
          <w:szCs w:val="20"/>
          <w:color w:val="auto"/>
        </w:rPr>
      </w:pPr>
      <w:r>
        <w:rPr>
          <w:rFonts w:ascii="Arial" w:cs="Arial" w:eastAsia="Arial" w:hAnsi="Arial"/>
          <w:sz w:val="18"/>
          <w:szCs w:val="18"/>
          <w:color w:val="auto"/>
        </w:rPr>
        <w:t>Net cash used in operating activities for the six months ended June 30, 2021 was $9.7 million, which was primarily attributable to a net loss of $11.1 million, partially offset by non-cash depreciation and amortization of $0.3 million, and change in the estimated fair value of our preferred unit warrant liability of $0.2 million, equity-based compensation expense of $0.7 million. Additionally, our operating assets and liabilities increased by $0.2 million.</w:t>
      </w:r>
    </w:p>
    <w:p>
      <w:pPr>
        <w:spacing w:after="0" w:line="185" w:lineRule="exact"/>
        <w:rPr>
          <w:sz w:val="20"/>
          <w:szCs w:val="20"/>
          <w:color w:val="auto"/>
        </w:rPr>
      </w:pPr>
    </w:p>
    <w:p>
      <w:pPr>
        <w:jc w:val="both"/>
        <w:ind w:right="80" w:firstLine="1018"/>
        <w:spacing w:after="0" w:line="279" w:lineRule="auto"/>
        <w:rPr>
          <w:sz w:val="20"/>
          <w:szCs w:val="20"/>
          <w:color w:val="auto"/>
        </w:rPr>
      </w:pPr>
      <w:r>
        <w:rPr>
          <w:rFonts w:ascii="Arial" w:cs="Arial" w:eastAsia="Arial" w:hAnsi="Arial"/>
          <w:sz w:val="18"/>
          <w:szCs w:val="18"/>
          <w:color w:val="auto"/>
        </w:rPr>
        <w:t>Net cash used in operating activities for the six months ended June 30, 2020 was $8.9 million, which was primarily attributable to a net loss of $8.1 million, partially offset by non-cash depreciation and amortization of $0.3 million, a decrease in accounts payable of $1.6 million, and the payment of the related party payable balance of $1.6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For the six months ended June 30, 2021, net cash used in investing activities was $0.2 million, consisting solely of purchases of property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200" w:lineRule="exact"/>
        <w:rPr>
          <w:sz w:val="20"/>
          <w:szCs w:val="20"/>
          <w:color w:val="auto"/>
        </w:rPr>
      </w:pP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For the six months ended June 30, 2020, net cash used in investing activities was $0.9 million, consisting solely of purchases of property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9" w:lineRule="exact"/>
        <w:rPr>
          <w:sz w:val="20"/>
          <w:szCs w:val="20"/>
          <w:color w:val="auto"/>
        </w:rPr>
      </w:pPr>
    </w:p>
    <w:p>
      <w:pPr>
        <w:ind w:firstLine="1018"/>
        <w:spacing w:after="0" w:line="279" w:lineRule="auto"/>
        <w:rPr>
          <w:sz w:val="20"/>
          <w:szCs w:val="20"/>
          <w:color w:val="auto"/>
        </w:rPr>
      </w:pPr>
      <w:r>
        <w:rPr>
          <w:rFonts w:ascii="Arial" w:cs="Arial" w:eastAsia="Arial" w:hAnsi="Arial"/>
          <w:sz w:val="18"/>
          <w:szCs w:val="18"/>
          <w:color w:val="auto"/>
        </w:rPr>
        <w:t>For the six months ended June 30, 2021, cash provided by financing activities was approximately $6.2 million, consisting of the sale and issuance of 884,276 units of our Series E Preferred Units, for net proceeds of $6.3 million, and $1.7 million of principal payments received from our related party notes receivable, partially offset by payment of deferred offering costs of $1.9 million.</w:t>
      </w:r>
    </w:p>
    <w:p>
      <w:pPr>
        <w:spacing w:after="0" w:line="183" w:lineRule="exact"/>
        <w:rPr>
          <w:sz w:val="20"/>
          <w:szCs w:val="20"/>
          <w:color w:val="auto"/>
        </w:rPr>
      </w:pPr>
    </w:p>
    <w:p>
      <w:pPr>
        <w:ind w:right="100" w:firstLine="1018"/>
        <w:spacing w:after="0" w:line="293" w:lineRule="auto"/>
        <w:rPr>
          <w:sz w:val="20"/>
          <w:szCs w:val="20"/>
          <w:color w:val="auto"/>
        </w:rPr>
      </w:pPr>
      <w:r>
        <w:rPr>
          <w:rFonts w:ascii="Arial" w:cs="Arial" w:eastAsia="Arial" w:hAnsi="Arial"/>
          <w:sz w:val="18"/>
          <w:szCs w:val="18"/>
          <w:color w:val="auto"/>
        </w:rPr>
        <w:t>For the six months ended June 31, 2020, cash provided by financing activities was approximately $1.3 million, consisting solely of proceeds from the Paycheck Protection Program Loan.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43" w:lineRule="exact"/>
        <w:rPr>
          <w:sz w:val="20"/>
          <w:szCs w:val="20"/>
          <w:color w:val="auto"/>
        </w:rPr>
      </w:pPr>
    </w:p>
    <w:p>
      <w:pPr>
        <w:ind w:right="300" w:firstLine="1018"/>
        <w:spacing w:after="0" w:line="272" w:lineRule="auto"/>
        <w:rPr>
          <w:sz w:val="20"/>
          <w:szCs w:val="20"/>
          <w:color w:val="auto"/>
        </w:rPr>
      </w:pPr>
      <w:r>
        <w:rPr>
          <w:rFonts w:ascii="Arial" w:cs="Arial" w:eastAsia="Arial" w:hAnsi="Arial"/>
          <w:sz w:val="18"/>
          <w:szCs w:val="18"/>
          <w:color w:val="auto"/>
        </w:rPr>
        <w:t>This discussion and analysis of financial condition and results of operation is based on our unaudited condensed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w:t>
      </w:r>
    </w:p>
    <w:p>
      <w:pPr>
        <w:spacing w:after="0" w:line="191" w:lineRule="exact"/>
        <w:rPr>
          <w:sz w:val="20"/>
          <w:szCs w:val="20"/>
          <w:color w:val="auto"/>
        </w:rPr>
      </w:pPr>
    </w:p>
    <w:p>
      <w:pPr>
        <w:ind w:right="40" w:firstLine="1018"/>
        <w:spacing w:after="0" w:line="293" w:lineRule="auto"/>
        <w:rPr>
          <w:sz w:val="20"/>
          <w:szCs w:val="20"/>
          <w:color w:val="auto"/>
        </w:rPr>
      </w:pPr>
      <w:r>
        <w:rPr>
          <w:rFonts w:ascii="Arial" w:cs="Arial" w:eastAsia="Arial" w:hAnsi="Arial"/>
          <w:sz w:val="18"/>
          <w:szCs w:val="18"/>
          <w:color w:val="auto"/>
        </w:rPr>
        <w:t>Our critical accounting policies and estimates are discussed in the Prospectus. There have been no material changes in the Company’s critical accounting policies or estimates from those set forth in the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During the periods presented we did not have, nor do we currently have, any off-balance sheet arrangements as defined under the rules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43" w:lineRule="exact"/>
        <w:rPr>
          <w:sz w:val="20"/>
          <w:szCs w:val="20"/>
          <w:color w:val="auto"/>
        </w:rPr>
      </w:pPr>
    </w:p>
    <w:p>
      <w:pPr>
        <w:ind w:right="60" w:firstLine="1018"/>
        <w:spacing w:after="0" w:line="324" w:lineRule="auto"/>
        <w:rPr>
          <w:sz w:val="20"/>
          <w:szCs w:val="20"/>
          <w:color w:val="auto"/>
        </w:rPr>
      </w:pPr>
      <w:r>
        <w:rPr>
          <w:rFonts w:ascii="Arial" w:cs="Arial" w:eastAsia="Arial" w:hAnsi="Arial"/>
          <w:sz w:val="17"/>
          <w:szCs w:val="17"/>
          <w:color w:val="auto"/>
        </w:rPr>
        <w:t>For a description of the expected impact of recent accounting pronouncements, see “Note 2. Summary of Significant Accounting Policies” in the “Notes to Condensed Consolidated Financial Statements” contained in Part I, Item 1 of this Quarterly Report on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JOBS Act Accounting Election</w:t>
      </w:r>
    </w:p>
    <w:p>
      <w:pPr>
        <w:spacing w:after="0" w:line="239"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We will remain an emerging growth company until the earliest of (1) December 31, 2026 (the last day of the fiscal year following the fifth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anniversary of the closing of our initial public offering), (2) the last day of the fiscal year in which we have total annual gross revenue of at least $1.07</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billion, (3) the last day of the fiscal year in which we are deemed to be a “large accelerated filer” as defined in Rule 12b-2 under the Securities Exchange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Act of 1934, as amended (the “Exchange Act”), which would occur if the market value of our Class A common stock held by non-affiliates exceeded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$700.0 million as of the last business day of the second fiscal quarter of such year or (4) the date on which we have issued more than $1.0 billion in non-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ind w:right="160" w:firstLine="1018"/>
        <w:spacing w:after="0" w:line="293"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3" w:lineRule="exact"/>
        <w:rPr>
          <w:sz w:val="20"/>
          <w:szCs w:val="20"/>
          <w:color w:val="auto"/>
        </w:rPr>
      </w:pPr>
    </w:p>
    <w:p>
      <w:pPr>
        <w:ind w:right="80" w:firstLine="1018"/>
        <w:spacing w:after="0" w:line="306"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June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3" w:lineRule="exact"/>
        <w:rPr>
          <w:sz w:val="20"/>
          <w:szCs w:val="20"/>
          <w:color w:val="auto"/>
        </w:rPr>
      </w:pPr>
    </w:p>
    <w:p>
      <w:pPr>
        <w:ind w:right="220" w:firstLine="1018"/>
        <w:spacing w:after="0" w:line="279"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the three months ended June 30, 2021 that have materially affected, or are reasonably likely to materially affect, our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ind w:right="20" w:firstLine="1018"/>
        <w:spacing w:after="0" w:line="299" w:lineRule="auto"/>
        <w:rPr>
          <w:sz w:val="20"/>
          <w:szCs w:val="20"/>
          <w:color w:val="auto"/>
        </w:rPr>
      </w:pPr>
      <w:r>
        <w:rPr>
          <w:rFonts w:ascii="Arial" w:cs="Arial" w:eastAsia="Arial" w:hAnsi="Arial"/>
          <w:sz w:val="16"/>
          <w:szCs w:val="16"/>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3" w:lineRule="exact"/>
        <w:rPr>
          <w:sz w:val="20"/>
          <w:szCs w:val="20"/>
          <w:color w:val="auto"/>
        </w:rPr>
      </w:pPr>
    </w:p>
    <w:p>
      <w:pPr>
        <w:ind w:right="60" w:firstLine="1018"/>
        <w:spacing w:after="0" w:line="303"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43" w:lineRule="exact"/>
        <w:rPr>
          <w:sz w:val="20"/>
          <w:szCs w:val="20"/>
          <w:color w:val="auto"/>
        </w:rPr>
      </w:pPr>
    </w:p>
    <w:p>
      <w:pPr>
        <w:ind w:right="20" w:firstLine="1018"/>
        <w:spacing w:after="0" w:line="270"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 before making investment decisions regarding our Class A common stock. See “Special Note Regarding Forward-Looking Statements.” Unless we state otherwise or the context otherwise requires, the terms “we,” “us,” and “our,” and similar references in this Section “Risk Factors” and in Part II – Other Information refers to Rani Therapeutics Holdings, Inc. and its consolidated subsidiaries, Rani Therapeutics, LLC and Rani Management Systems, Inc.</w:t>
      </w:r>
    </w:p>
    <w:p>
      <w:pPr>
        <w:spacing w:after="0" w:line="85" w:lineRule="exact"/>
        <w:rPr>
          <w:sz w:val="20"/>
          <w:szCs w:val="20"/>
          <w:color w:val="auto"/>
        </w:rPr>
      </w:pPr>
    </w:p>
    <w:p>
      <w:pPr>
        <w:ind w:left="960" w:right="200"/>
        <w:spacing w:after="0" w:line="359" w:lineRule="auto"/>
        <w:rPr>
          <w:sz w:val="20"/>
          <w:szCs w:val="20"/>
          <w:color w:val="auto"/>
        </w:rPr>
      </w:pPr>
      <w:r>
        <w:rPr>
          <w:rFonts w:ascii="Arial" w:cs="Arial" w:eastAsia="Arial" w:hAnsi="Arial"/>
          <w:sz w:val="16"/>
          <w:szCs w:val="16"/>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17" w:lineRule="exact"/>
        <w:rPr>
          <w:sz w:val="20"/>
          <w:szCs w:val="20"/>
          <w:color w:val="auto"/>
        </w:rPr>
      </w:pPr>
    </w:p>
    <w:p>
      <w:pPr>
        <w:ind w:left="960" w:right="240"/>
        <w:spacing w:after="0" w:line="293" w:lineRule="auto"/>
        <w:rPr>
          <w:sz w:val="20"/>
          <w:szCs w:val="20"/>
          <w:color w:val="auto"/>
        </w:rPr>
      </w:pPr>
      <w:r>
        <w:rPr>
          <w:rFonts w:ascii="Arial" w:cs="Arial" w:eastAsia="Arial" w:hAnsi="Arial"/>
          <w:sz w:val="18"/>
          <w:szCs w:val="18"/>
          <w:color w:val="auto"/>
        </w:rPr>
        <w:t>We are an early clinical stage biopharmaceutical company with no approved products and no historical commercial product revenue, which makes it difficult to assess our future prospects and financial results.</w:t>
      </w:r>
    </w:p>
    <w:p>
      <w:pPr>
        <w:spacing w:after="0" w:line="62"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If we are unable to raise additional capital when needed on acceptable terms, we may be forced to delay, limit, reduce or terminate our product development programs, commercialization efforts or other operations.</w:t>
      </w:r>
    </w:p>
    <w:p>
      <w:pPr>
        <w:spacing w:after="0" w:line="62" w:lineRule="exact"/>
        <w:rPr>
          <w:sz w:val="20"/>
          <w:szCs w:val="20"/>
          <w:color w:val="auto"/>
        </w:rPr>
      </w:pPr>
    </w:p>
    <w:p>
      <w:pPr>
        <w:ind w:left="960" w:right="380"/>
        <w:spacing w:after="0" w:line="275" w:lineRule="auto"/>
        <w:rPr>
          <w:sz w:val="20"/>
          <w:szCs w:val="20"/>
          <w:color w:val="auto"/>
        </w:rPr>
      </w:pPr>
      <w:r>
        <w:rPr>
          <w:rFonts w:ascii="Arial" w:cs="Arial" w:eastAsia="Arial" w:hAnsi="Arial"/>
          <w:sz w:val="18"/>
          <w:szCs w:val="18"/>
          <w:color w:val="auto"/>
        </w:rPr>
        <w:t>We are early in our development efforts and have only one product candidate, RT-101, the RaniPill capsule containing octreotide,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77" w:lineRule="exact"/>
        <w:rPr>
          <w:sz w:val="20"/>
          <w:szCs w:val="20"/>
          <w:color w:val="auto"/>
        </w:rPr>
      </w:pPr>
    </w:p>
    <w:p>
      <w:pPr>
        <w:ind w:left="960" w:right="40"/>
        <w:spacing w:after="0" w:line="279" w:lineRule="auto"/>
        <w:rPr>
          <w:sz w:val="20"/>
          <w:szCs w:val="20"/>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75" w:lineRule="exact"/>
        <w:rPr>
          <w:sz w:val="20"/>
          <w:szCs w:val="20"/>
          <w:color w:val="auto"/>
        </w:rPr>
      </w:pPr>
    </w:p>
    <w:p>
      <w:pPr>
        <w:jc w:val="both"/>
        <w:ind w:left="960" w:right="100"/>
        <w:spacing w:after="0" w:line="279" w:lineRule="auto"/>
        <w:rPr>
          <w:sz w:val="20"/>
          <w:szCs w:val="20"/>
          <w:color w:val="auto"/>
        </w:rPr>
      </w:pPr>
      <w:r>
        <w:rPr>
          <w:rFonts w:ascii="Arial" w:cs="Arial" w:eastAsia="Arial" w:hAnsi="Arial"/>
          <w:sz w:val="18"/>
          <w:szCs w:val="18"/>
          <w:color w:val="auto"/>
        </w:rPr>
        <w:t>As an organization, we recently completed our first Phase 1 clinical trial, have not submitted an investigational new drug application (“IND") to the FDA and we have never conducted later-stage clinical trials or submitted a Biologics License Application ("BLA"), and may be unable to do so for any of our product candidates.</w:t>
      </w:r>
    </w:p>
    <w:p>
      <w:pPr>
        <w:spacing w:after="0" w:line="75" w:lineRule="exact"/>
        <w:rPr>
          <w:sz w:val="20"/>
          <w:szCs w:val="20"/>
          <w:color w:val="auto"/>
        </w:rPr>
      </w:pPr>
    </w:p>
    <w:p>
      <w:pPr>
        <w:ind w:left="960" w:right="220"/>
        <w:spacing w:after="0" w:line="279" w:lineRule="auto"/>
        <w:rPr>
          <w:sz w:val="20"/>
          <w:szCs w:val="20"/>
          <w:color w:val="auto"/>
        </w:rPr>
      </w:pPr>
      <w:r>
        <w:rPr>
          <w:rFonts w:ascii="Arial" w:cs="Arial" w:eastAsia="Arial" w:hAnsi="Arial"/>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75" w:lineRule="exact"/>
        <w:rPr>
          <w:sz w:val="20"/>
          <w:szCs w:val="20"/>
          <w:color w:val="auto"/>
        </w:rPr>
      </w:pPr>
    </w:p>
    <w:p>
      <w:pPr>
        <w:ind w:left="960" w:right="40"/>
        <w:spacing w:after="0" w:line="275" w:lineRule="auto"/>
        <w:rPr>
          <w:sz w:val="20"/>
          <w:szCs w:val="20"/>
          <w:color w:val="auto"/>
        </w:rPr>
      </w:pPr>
      <w:r>
        <w:rPr>
          <w:rFonts w:ascii="Arial" w:cs="Arial" w:eastAsia="Arial" w:hAnsi="Arial"/>
          <w:sz w:val="18"/>
          <w:szCs w:val="18"/>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We have limited clinical data on our product candidates to indicate whether they are safe or effective for long-term use in humans.</w:t>
      </w:r>
    </w:p>
    <w:p>
      <w:pPr>
        <w:spacing w:after="0" w:line="142" w:lineRule="exact"/>
        <w:rPr>
          <w:sz w:val="20"/>
          <w:szCs w:val="20"/>
          <w:color w:val="auto"/>
        </w:rPr>
      </w:pPr>
    </w:p>
    <w:p>
      <w:pPr>
        <w:ind w:left="960" w:right="360"/>
        <w:spacing w:after="0" w:line="293" w:lineRule="auto"/>
        <w:rPr>
          <w:sz w:val="20"/>
          <w:szCs w:val="20"/>
          <w:color w:val="auto"/>
        </w:rPr>
      </w:pPr>
      <w:r>
        <w:rPr>
          <w:rFonts w:ascii="Arial" w:cs="Arial" w:eastAsia="Arial" w:hAnsi="Arial"/>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COVID-19 pandemic could adversely impact our business including our ongoing and planned preclinical studies and clinical trials.</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960" w:right="240"/>
        <w:spacing w:after="0" w:line="293" w:lineRule="auto"/>
        <w:rPr>
          <w:sz w:val="20"/>
          <w:szCs w:val="20"/>
          <w:color w:val="auto"/>
        </w:rPr>
      </w:pPr>
      <w:r>
        <w:rPr>
          <w:rFonts w:ascii="Arial" w:cs="Arial" w:eastAsia="Arial" w:hAnsi="Arial"/>
          <w:sz w:val="18"/>
          <w:szCs w:val="18"/>
          <w:color w:val="auto"/>
        </w:rPr>
        <w:t>We face significant competition from other biotherapeutics and pharmaceutical companies, and our operating results will suffer if we fail to compete effectively.</w:t>
      </w:r>
    </w:p>
    <w:p>
      <w:pPr>
        <w:spacing w:after="0" w:line="62" w:lineRule="exact"/>
        <w:rPr>
          <w:sz w:val="20"/>
          <w:szCs w:val="20"/>
          <w:color w:val="auto"/>
        </w:rPr>
      </w:pPr>
    </w:p>
    <w:p>
      <w:pPr>
        <w:jc w:val="both"/>
        <w:ind w:left="960" w:right="180"/>
        <w:spacing w:after="0" w:line="359" w:lineRule="auto"/>
        <w:rPr>
          <w:sz w:val="20"/>
          <w:szCs w:val="20"/>
          <w:color w:val="auto"/>
        </w:rPr>
      </w:pPr>
      <w:r>
        <w:rPr>
          <w:rFonts w:ascii="Arial" w:cs="Arial" w:eastAsia="Arial" w:hAnsi="Arial"/>
          <w:sz w:val="16"/>
          <w:szCs w:val="16"/>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commercial success may depend in part on our ability to build and maintain our intellectual property portfolio.</w:t>
      </w:r>
    </w:p>
    <w:p>
      <w:pPr>
        <w:spacing w:after="0" w:line="131" w:lineRule="exact"/>
        <w:rPr>
          <w:sz w:val="20"/>
          <w:szCs w:val="20"/>
          <w:color w:val="auto"/>
        </w:rPr>
      </w:pPr>
    </w:p>
    <w:p>
      <w:pPr>
        <w:jc w:val="both"/>
        <w:ind w:left="960" w:right="200"/>
        <w:spacing w:after="0" w:line="279" w:lineRule="auto"/>
        <w:rPr>
          <w:sz w:val="20"/>
          <w:szCs w:val="20"/>
          <w:color w:val="auto"/>
        </w:rPr>
      </w:pPr>
      <w:r>
        <w:rPr>
          <w:rFonts w:ascii="Arial" w:cs="Arial" w:eastAsia="Arial" w:hAnsi="Arial"/>
          <w:sz w:val="18"/>
          <w:szCs w:val="18"/>
          <w:color w:val="auto"/>
        </w:rPr>
        <w:t>We are a holding company and our principal asset is our interest in Rani. Accordingly, we will depend on distributions from Rani to pay our taxes, expenses (including payments under the Tax Receivable Agreement) and dividends. Rani’s ability to make such distributions may be subject to various limitations and restrictions.</w:t>
      </w:r>
    </w:p>
    <w:p>
      <w:pPr>
        <w:spacing w:after="0" w:line="75" w:lineRule="exact"/>
        <w:rPr>
          <w:sz w:val="20"/>
          <w:szCs w:val="20"/>
          <w:color w:val="auto"/>
        </w:rPr>
      </w:pPr>
    </w:p>
    <w:p>
      <w:pPr>
        <w:ind w:left="960" w:right="60"/>
        <w:spacing w:after="0" w:line="296" w:lineRule="auto"/>
        <w:rPr>
          <w:sz w:val="20"/>
          <w:szCs w:val="20"/>
          <w:color w:val="auto"/>
        </w:rPr>
      </w:pPr>
      <w:r>
        <w:rPr>
          <w:rFonts w:ascii="Arial" w:cs="Arial" w:eastAsia="Arial" w:hAnsi="Arial"/>
          <w:sz w:val="17"/>
          <w:szCs w:val="17"/>
          <w:color w:val="auto"/>
        </w:rPr>
        <w:t>Rani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62" w:lineRule="exact"/>
        <w:rPr>
          <w:sz w:val="20"/>
          <w:szCs w:val="20"/>
          <w:color w:val="auto"/>
        </w:rPr>
      </w:pPr>
    </w:p>
    <w:p>
      <w:pPr>
        <w:ind w:left="960" w:right="360"/>
        <w:spacing w:after="0" w:line="293" w:lineRule="auto"/>
        <w:rPr>
          <w:sz w:val="20"/>
          <w:szCs w:val="20"/>
          <w:color w:val="auto"/>
        </w:rPr>
      </w:pPr>
      <w:r>
        <w:rPr>
          <w:rFonts w:ascii="Arial" w:cs="Arial" w:eastAsia="Arial" w:hAnsi="Arial"/>
          <w:sz w:val="18"/>
          <w:szCs w:val="18"/>
          <w:color w:val="auto"/>
        </w:rPr>
        <w:t>The multi-class structure of our common stock has the effect of concentrating voting control, which will limit your ability to influence the outcome of important transactions, including a change in control.</w:t>
      </w:r>
    </w:p>
    <w:p>
      <w:pPr>
        <w:spacing w:after="0" w:line="62" w:lineRule="exact"/>
        <w:rPr>
          <w:sz w:val="20"/>
          <w:szCs w:val="20"/>
          <w:color w:val="auto"/>
        </w:rPr>
      </w:pPr>
    </w:p>
    <w:p>
      <w:pPr>
        <w:ind w:left="960" w:right="280"/>
        <w:spacing w:after="0" w:line="324" w:lineRule="auto"/>
        <w:rPr>
          <w:sz w:val="20"/>
          <w:szCs w:val="20"/>
          <w:color w:val="auto"/>
        </w:rPr>
      </w:pPr>
      <w:r>
        <w:rPr>
          <w:rFonts w:ascii="Arial" w:cs="Arial" w:eastAsia="Arial" w:hAnsi="Arial"/>
          <w:sz w:val="17"/>
          <w:szCs w:val="17"/>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43" w:lineRule="exact"/>
        <w:rPr>
          <w:sz w:val="20"/>
          <w:szCs w:val="20"/>
          <w:color w:val="auto"/>
        </w:rPr>
      </w:pPr>
    </w:p>
    <w:p>
      <w:pPr>
        <w:ind w:right="100" w:firstLine="1018"/>
        <w:spacing w:after="0" w:line="271"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including our consolidated financial statements and related notes,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You should consider all of the risk factors described when evaluating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43" w:lineRule="exact"/>
        <w:rPr>
          <w:sz w:val="20"/>
          <w:szCs w:val="20"/>
          <w:color w:val="auto"/>
        </w:rPr>
      </w:pPr>
    </w:p>
    <w:p>
      <w:pPr>
        <w:ind w:right="240"/>
        <w:spacing w:after="0" w:line="359" w:lineRule="auto"/>
        <w:rPr>
          <w:sz w:val="20"/>
          <w:szCs w:val="20"/>
          <w:color w:val="auto"/>
        </w:rPr>
      </w:pPr>
      <w:r>
        <w:rPr>
          <w:rFonts w:ascii="Arial" w:cs="Arial" w:eastAsia="Arial" w:hAnsi="Arial"/>
          <w:sz w:val="16"/>
          <w:szCs w:val="16"/>
          <w:b w:val="1"/>
          <w:bCs w:val="1"/>
          <w:i w:val="1"/>
          <w:iCs w:val="1"/>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125" w:lineRule="exact"/>
        <w:rPr>
          <w:sz w:val="20"/>
          <w:szCs w:val="20"/>
          <w:color w:val="auto"/>
        </w:rPr>
      </w:pPr>
    </w:p>
    <w:p>
      <w:pPr>
        <w:ind w:right="40" w:firstLine="1018"/>
        <w:spacing w:after="0" w:line="287" w:lineRule="auto"/>
        <w:rPr>
          <w:sz w:val="20"/>
          <w:szCs w:val="20"/>
          <w:color w:val="auto"/>
        </w:rPr>
      </w:pPr>
      <w:r>
        <w:rPr>
          <w:rFonts w:ascii="Arial" w:cs="Arial" w:eastAsia="Arial" w:hAnsi="Arial"/>
          <w:sz w:val="17"/>
          <w:szCs w:val="17"/>
          <w:color w:val="auto"/>
        </w:rPr>
        <w:t>Biologics delivery is a highly speculative undertaking and involves a substantial degree of risk. We are an early clinical stage biopharmaceutical company with a very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RT-101, our most advanced product candidate, is in early clinical development, while our other product candidates remain in the formulation and preclinical development.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biologics delivery products.</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We have incurred significant operating losses since our formation in 2012. Our net loss for the year ended December 31, 2020 and the six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months ended June 30, 2021 was approximately $16.7 million and $11.1 million, respectively. As of June 30, 2021, we had an accumulated deficit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$125.1 million. Our prior losses, combined with expected future losses, have had and will continue to have an adverse effect on our stockholders, deficit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working capital. The majority of our losses have resulted from expenses incurred in connection with research and development, manufacturing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automation and scaleup, and establishing our intellectual property portfolio. All of our product candidates will require substantial additional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time and resources before we would be able to apply for or receive regulatory approvals and begin generating revenue from product sales. We expect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continue incurring significant research, development, manufacturing and other expenses related to our ongoing business operations and product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as a result, we expect to continue incurring losses for the foreseeable future. We also expect these losses to increase as we continue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development of, and seek regulatory approvals for, our product candidates.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ind w:right="60" w:firstLine="1018"/>
        <w:spacing w:after="0" w:line="272" w:lineRule="auto"/>
        <w:rPr>
          <w:sz w:val="20"/>
          <w:szCs w:val="20"/>
          <w:color w:val="auto"/>
        </w:rPr>
      </w:pPr>
      <w:r>
        <w:rPr>
          <w:rFonts w:ascii="Arial" w:cs="Arial" w:eastAsia="Arial" w:hAnsi="Arial"/>
          <w:sz w:val="18"/>
          <w:szCs w:val="18"/>
          <w:color w:val="auto"/>
        </w:rPr>
        <w:t>We do not anticipate generating revenue from sales of products for the foreseeable future, if ever, and our product candidates are in preclinical and early 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spacing w:after="0" w:line="191" w:lineRule="exact"/>
        <w:rPr>
          <w:sz w:val="20"/>
          <w:szCs w:val="20"/>
          <w:color w:val="auto"/>
        </w:rPr>
      </w:pPr>
    </w:p>
    <w:p>
      <w:pPr>
        <w:ind w:right="40" w:firstLine="1018"/>
        <w:spacing w:after="0" w:line="279" w:lineRule="auto"/>
        <w:rPr>
          <w:sz w:val="20"/>
          <w:szCs w:val="20"/>
          <w:color w:val="auto"/>
        </w:rPr>
      </w:pPr>
      <w:r>
        <w:rPr>
          <w:rFonts w:ascii="Arial" w:cs="Arial" w:eastAsia="Arial" w:hAnsi="Arial"/>
          <w:sz w:val="18"/>
          <w:szCs w:val="18"/>
          <w:color w:val="auto"/>
        </w:rPr>
        <w:t>If one or more of our product candidates is approved for commercial sale and we retain commercial rights, we anticipate incurring significant costs associated with manufacturing and commercializing such approved product. Therefore, even if we are able to generate revenue from the sale of any approved product, we may never become profitable.</w:t>
      </w:r>
    </w:p>
    <w:p>
      <w:pPr>
        <w:spacing w:after="0" w:line="358"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are an early clinical stage biopharmaceutical company with no approved products and no historical commercial product revenue, which makes it difficult to assess our future prospects and financial results.</w:t>
      </w:r>
    </w:p>
    <w:p>
      <w:pPr>
        <w:spacing w:after="0" w:line="170" w:lineRule="exact"/>
        <w:rPr>
          <w:sz w:val="20"/>
          <w:szCs w:val="20"/>
          <w:color w:val="auto"/>
        </w:rPr>
      </w:pPr>
    </w:p>
    <w:p>
      <w:pPr>
        <w:ind w:right="40" w:firstLine="1018"/>
        <w:spacing w:after="0" w:line="306" w:lineRule="auto"/>
        <w:rPr>
          <w:sz w:val="20"/>
          <w:szCs w:val="20"/>
          <w:color w:val="auto"/>
        </w:rPr>
      </w:pPr>
      <w:r>
        <w:rPr>
          <w:rFonts w:ascii="Arial" w:cs="Arial" w:eastAsia="Arial" w:hAnsi="Arial"/>
          <w:sz w:val="16"/>
          <w:szCs w:val="16"/>
          <w:color w:val="auto"/>
        </w:rPr>
        <w:t>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completed a Phase 1 clinical trial of our most advanced product candidate, RT-101, in Australia, and have completed preclinical studies of other product candidates. We plan to initiate Phase 1 clinical trials of certain of these product candidates in 2022 and in 2023.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w:t>
      </w:r>
    </w:p>
    <w:p>
      <w:pPr>
        <w:spacing w:after="0" w:line="170" w:lineRule="exact"/>
        <w:rPr>
          <w:sz w:val="20"/>
          <w:szCs w:val="20"/>
          <w:color w:val="auto"/>
        </w:rPr>
      </w:pPr>
    </w:p>
    <w:p>
      <w:pPr>
        <w:ind w:right="20" w:firstLine="1018"/>
        <w:spacing w:after="0" w:line="293" w:lineRule="auto"/>
        <w:rPr>
          <w:sz w:val="20"/>
          <w:szCs w:val="20"/>
          <w:color w:val="auto"/>
        </w:rPr>
      </w:pPr>
      <w:r>
        <w:rPr>
          <w:rFonts w:ascii="Arial" w:cs="Arial" w:eastAsia="Arial" w:hAnsi="Arial"/>
          <w:sz w:val="18"/>
          <w:szCs w:val="18"/>
          <w:color w:val="auto"/>
        </w:rPr>
        <w:t>We expect that our financial condition and operating results will fluctuate significantly from period to period due to a variety of factors, many of which are beyond our control, including, but not limited to:</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clinical outcomes from the continued development of our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occurrence of adverse events or serious adverse events in preclinical studies or clinical trials of our product candidates;</w:t>
      </w:r>
    </w:p>
    <w:p>
      <w:pPr>
        <w:spacing w:after="0" w:line="239" w:lineRule="exact"/>
        <w:rPr>
          <w:sz w:val="20"/>
          <w:szCs w:val="20"/>
          <w:color w:val="auto"/>
        </w:rPr>
      </w:pPr>
    </w:p>
    <w:p>
      <w:pPr>
        <w:ind w:left="1360" w:right="180"/>
        <w:spacing w:after="0" w:line="293" w:lineRule="auto"/>
        <w:rPr>
          <w:sz w:val="20"/>
          <w:szCs w:val="20"/>
          <w:color w:val="auto"/>
        </w:rPr>
      </w:pPr>
      <w:r>
        <w:rPr>
          <w:rFonts w:ascii="Arial" w:cs="Arial" w:eastAsia="Arial" w:hAnsi="Arial"/>
          <w:sz w:val="18"/>
          <w:szCs w:val="18"/>
          <w:color w:val="auto"/>
        </w:rPr>
        <w:t>potential side effects of our product candidates, whether caused by the biologic formulation or the RaniPill capsule, that could delay or prevent approval or cause an approved product to be taken off the market;</w:t>
      </w:r>
    </w:p>
    <w:p>
      <w:pPr>
        <w:spacing w:after="0" w:line="170" w:lineRule="exact"/>
        <w:rPr>
          <w:sz w:val="20"/>
          <w:szCs w:val="20"/>
          <w:color w:val="auto"/>
        </w:rPr>
      </w:pPr>
    </w:p>
    <w:p>
      <w:pPr>
        <w:ind w:left="1360" w:right="1100"/>
        <w:spacing w:after="0" w:line="293" w:lineRule="auto"/>
        <w:rPr>
          <w:sz w:val="20"/>
          <w:szCs w:val="20"/>
          <w:color w:val="auto"/>
        </w:rPr>
      </w:pPr>
      <w:r>
        <w:rPr>
          <w:rFonts w:ascii="Arial" w:cs="Arial" w:eastAsia="Arial" w:hAnsi="Arial"/>
          <w:sz w:val="18"/>
          <w:szCs w:val="18"/>
          <w:color w:val="auto"/>
        </w:rPr>
        <w:t>our ability to obtain, as well as the timeliness of obtaining, additional funding to develop, and potentially manufacture and commercialize our product candidates;</w:t>
      </w:r>
    </w:p>
    <w:p>
      <w:pPr>
        <w:spacing w:after="0" w:line="170" w:lineRule="exact"/>
        <w:rPr>
          <w:sz w:val="20"/>
          <w:szCs w:val="20"/>
          <w:color w:val="auto"/>
        </w:rPr>
      </w:pPr>
    </w:p>
    <w:p>
      <w:pPr>
        <w:ind w:left="1360" w:right="420"/>
        <w:spacing w:after="0" w:line="293" w:lineRule="auto"/>
        <w:rPr>
          <w:sz w:val="20"/>
          <w:szCs w:val="20"/>
          <w:color w:val="auto"/>
        </w:rPr>
      </w:pPr>
      <w:r>
        <w:rPr>
          <w:rFonts w:ascii="Arial" w:cs="Arial" w:eastAsia="Arial" w:hAnsi="Arial"/>
          <w:sz w:val="18"/>
          <w:szCs w:val="18"/>
          <w:color w:val="auto"/>
        </w:rPr>
        <w:t>our ability to manufacture our product candidates to our specifications and in a timely manner to support our preclinical studies and clinical trials, and, if approved, commercialization;</w:t>
      </w:r>
    </w:p>
    <w:p>
      <w:pPr>
        <w:spacing w:after="0" w:line="170" w:lineRule="exact"/>
        <w:rPr>
          <w:sz w:val="20"/>
          <w:szCs w:val="20"/>
          <w:color w:val="auto"/>
        </w:rPr>
      </w:pPr>
    </w:p>
    <w:p>
      <w:pPr>
        <w:ind w:left="1360" w:right="540"/>
        <w:spacing w:after="0" w:line="293" w:lineRule="auto"/>
        <w:rPr>
          <w:sz w:val="20"/>
          <w:szCs w:val="20"/>
          <w:color w:val="auto"/>
        </w:rPr>
      </w:pPr>
      <w:r>
        <w:rPr>
          <w:rFonts w:ascii="Arial" w:cs="Arial" w:eastAsia="Arial" w:hAnsi="Arial"/>
          <w:sz w:val="18"/>
          <w:szCs w:val="18"/>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170" w:lineRule="exact"/>
        <w:rPr>
          <w:sz w:val="20"/>
          <w:szCs w:val="20"/>
          <w:color w:val="auto"/>
        </w:rPr>
      </w:pPr>
    </w:p>
    <w:p>
      <w:pPr>
        <w:ind w:left="1360" w:right="100"/>
        <w:spacing w:after="0" w:line="293" w:lineRule="auto"/>
        <w:rPr>
          <w:sz w:val="20"/>
          <w:szCs w:val="20"/>
          <w:color w:val="auto"/>
        </w:rPr>
      </w:pPr>
      <w:r>
        <w:rPr>
          <w:rFonts w:ascii="Arial" w:cs="Arial" w:eastAsia="Arial" w:hAnsi="Arial"/>
          <w:sz w:val="18"/>
          <w:szCs w:val="18"/>
          <w:color w:val="auto"/>
        </w:rPr>
        <w:t>competition from existing products directed against the same biologic target or therapeutic indications of our product candidates as well as new products that may receive marketing approval;</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timing of regulatory review and approval of our product candidates;</w:t>
      </w:r>
    </w:p>
    <w:p>
      <w:pPr>
        <w:spacing w:after="0" w:line="239" w:lineRule="exact"/>
        <w:rPr>
          <w:sz w:val="20"/>
          <w:szCs w:val="20"/>
          <w:color w:val="auto"/>
        </w:rPr>
      </w:pPr>
    </w:p>
    <w:p>
      <w:pPr>
        <w:ind w:left="1360" w:right="220"/>
        <w:spacing w:after="0" w:line="293" w:lineRule="auto"/>
        <w:rPr>
          <w:sz w:val="20"/>
          <w:szCs w:val="20"/>
          <w:color w:val="auto"/>
        </w:rPr>
      </w:pPr>
      <w:r>
        <w:rPr>
          <w:rFonts w:ascii="Arial" w:cs="Arial" w:eastAsia="Arial" w:hAnsi="Arial"/>
          <w:sz w:val="18"/>
          <w:szCs w:val="18"/>
          <w:color w:val="auto"/>
        </w:rPr>
        <w:t>market acceptance of our product candidates that receive regulatory approval, if any, including perception of the safety and efficacy of the oral delivery of biologics;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expand our commercial reach by selectively entering into strategic partnerships on favorable terms or at all;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establish an effective sales and marketing infrastructure directly or through collaborations with third parties;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ind w:left="1360"/>
        <w:spacing w:after="0"/>
        <w:rPr>
          <w:sz w:val="20"/>
          <w:szCs w:val="20"/>
          <w:color w:val="auto"/>
        </w:rPr>
      </w:pPr>
      <w:r>
        <w:rPr>
          <w:rFonts w:ascii="Arial" w:cs="Arial" w:eastAsia="Arial" w:hAnsi="Arial"/>
          <w:sz w:val="18"/>
          <w:szCs w:val="18"/>
          <w:color w:val="auto"/>
        </w:rPr>
        <w:t>the ability of patients or healthcare providers to obtain coverage or sufficient reimbursement for our products;</w:t>
      </w:r>
    </w:p>
    <w:p>
      <w:pPr>
        <w:spacing w:after="0" w:line="239" w:lineRule="exact"/>
        <w:rPr>
          <w:sz w:val="20"/>
          <w:szCs w:val="20"/>
          <w:color w:val="auto"/>
        </w:rPr>
      </w:pPr>
    </w:p>
    <w:p>
      <w:pPr>
        <w:ind w:left="1360" w:right="160"/>
        <w:spacing w:after="0" w:line="293" w:lineRule="auto"/>
        <w:rPr>
          <w:sz w:val="20"/>
          <w:szCs w:val="20"/>
          <w:color w:val="auto"/>
        </w:rPr>
      </w:pPr>
      <w:r>
        <w:rPr>
          <w:rFonts w:ascii="Arial" w:cs="Arial" w:eastAsia="Arial" w:hAnsi="Arial"/>
          <w:sz w:val="18"/>
          <w:szCs w:val="18"/>
          <w:color w:val="auto"/>
        </w:rPr>
        <w:t>our ability to manufacture our product candidates in accordance with current Good Manufacturing Practices ("cGMP"), for the conduct of preclinical studies and clinical trials and, if approved, for successful commercialization;</w:t>
      </w:r>
    </w:p>
    <w:p>
      <w:pPr>
        <w:spacing w:after="0" w:line="170" w:lineRule="exact"/>
        <w:rPr>
          <w:sz w:val="20"/>
          <w:szCs w:val="20"/>
          <w:color w:val="auto"/>
        </w:rPr>
      </w:pPr>
    </w:p>
    <w:p>
      <w:pPr>
        <w:ind w:left="1360" w:right="120"/>
        <w:spacing w:after="0" w:line="279" w:lineRule="auto"/>
        <w:rPr>
          <w:sz w:val="20"/>
          <w:szCs w:val="20"/>
          <w:color w:val="auto"/>
        </w:rPr>
      </w:pPr>
      <w:r>
        <w:rPr>
          <w:rFonts w:ascii="Arial" w:cs="Arial" w:eastAsia="Arial" w:hAnsi="Arial"/>
          <w:sz w:val="18"/>
          <w:szCs w:val="18"/>
          <w:color w:val="auto"/>
        </w:rPr>
        <w:t>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add infrastructure and adequately manage our future growth;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attract and retain key personnel with appropriate expertise and experience to manage our business effectively.</w:t>
      </w:r>
    </w:p>
    <w:p>
      <w:pPr>
        <w:spacing w:after="0" w:line="239" w:lineRule="exact"/>
        <w:rPr>
          <w:sz w:val="20"/>
          <w:szCs w:val="20"/>
          <w:color w:val="auto"/>
        </w:rPr>
      </w:pPr>
    </w:p>
    <w:p>
      <w:pPr>
        <w:ind w:right="180" w:firstLine="1018"/>
        <w:spacing w:after="0" w:line="279" w:lineRule="auto"/>
        <w:rPr>
          <w:sz w:val="20"/>
          <w:szCs w:val="20"/>
          <w:color w:val="auto"/>
        </w:rPr>
      </w:pPr>
      <w:r>
        <w:rPr>
          <w:rFonts w:ascii="Arial" w:cs="Arial" w:eastAsia="Arial" w:hAnsi="Arial"/>
          <w:sz w:val="18"/>
          <w:szCs w:val="18"/>
          <w:color w:val="auto"/>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spacing w:after="0" w:line="196" w:lineRule="exact"/>
        <w:rPr>
          <w:sz w:val="20"/>
          <w:szCs w:val="20"/>
          <w:color w:val="auto"/>
        </w:rPr>
      </w:pPr>
    </w:p>
    <w:p>
      <w:pPr>
        <w:ind w:right="680"/>
        <w:spacing w:after="0" w:line="293" w:lineRule="auto"/>
        <w:rPr>
          <w:sz w:val="20"/>
          <w:szCs w:val="20"/>
          <w:color w:val="auto"/>
        </w:rPr>
      </w:pPr>
      <w:r>
        <w:rPr>
          <w:rFonts w:ascii="Arial" w:cs="Arial" w:eastAsia="Arial" w:hAnsi="Arial"/>
          <w:sz w:val="18"/>
          <w:szCs w:val="18"/>
          <w:b w:val="1"/>
          <w:bCs w:val="1"/>
          <w:i w:val="1"/>
          <w:iCs w:val="1"/>
          <w:color w:val="auto"/>
        </w:rPr>
        <w:t>If we are unable to raise additional capital when needed on acceptable terms, we may be forced to delay, limit, reduce or terminate our product development programs, commercialization efforts or other operations.</w:t>
      </w:r>
    </w:p>
    <w:p>
      <w:pPr>
        <w:spacing w:after="0" w:line="170" w:lineRule="exact"/>
        <w:rPr>
          <w:sz w:val="20"/>
          <w:szCs w:val="20"/>
          <w:color w:val="auto"/>
        </w:rPr>
      </w:pPr>
    </w:p>
    <w:p>
      <w:pPr>
        <w:ind w:right="40" w:firstLine="1018"/>
        <w:spacing w:after="0" w:line="306" w:lineRule="auto"/>
        <w:rPr>
          <w:sz w:val="20"/>
          <w:szCs w:val="20"/>
          <w:color w:val="auto"/>
        </w:rPr>
      </w:pPr>
      <w:r>
        <w:rPr>
          <w:rFonts w:ascii="Arial" w:cs="Arial" w:eastAsia="Arial" w:hAnsi="Arial"/>
          <w:sz w:val="16"/>
          <w:szCs w:val="16"/>
          <w:color w:val="auto"/>
        </w:rPr>
        <w:t>Our operations have consumed substantial amounts of cash since our inception. We conducted a Phase 1 clinical trial of RT-101 in healthy volunteers, conducted or are in the process of conducting preclinical studies of other product candidates, and are preparing to conduct Phase 1 clinical trials of certain of these product candidates, which we plan to initiate in 2022. In addition, our initial goal is to evaluate the safety of the RaniPill capsule, independent of any biologic. Developing biologic product candidates, including conducting preclinical studies and clinical trials, and developing the RaniPill platform, is expensive. We will require substantial additional future capital in order to complete the development of the RaniPill platform, expand our manufacturing capabilities, and seek regulatory approval thereof, and to complete the clinical development of our intended biologics for use within the RaniPill capsule and, if we are successful, to commercialize any of our current product candidates. If the FDA or any comparable foreign regulatory authorities, such as the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165" w:lineRule="exact"/>
        <w:rPr>
          <w:sz w:val="20"/>
          <w:szCs w:val="20"/>
          <w:color w:val="auto"/>
        </w:rPr>
      </w:pPr>
    </w:p>
    <w:p>
      <w:pPr>
        <w:ind w:right="40" w:firstLine="1018"/>
        <w:spacing w:after="0" w:line="288" w:lineRule="auto"/>
        <w:rPr>
          <w:sz w:val="20"/>
          <w:szCs w:val="20"/>
          <w:color w:val="auto"/>
        </w:rPr>
      </w:pPr>
      <w:r>
        <w:rPr>
          <w:rFonts w:ascii="Arial" w:cs="Arial" w:eastAsia="Arial" w:hAnsi="Arial"/>
          <w:sz w:val="17"/>
          <w:szCs w:val="17"/>
          <w:color w:val="auto"/>
        </w:rPr>
        <w:t>Based on our current operating plan, as of June 30, 2021, we estimate that our existing cash and cash equivalents will be sufficient to fund our operating expenses and capital expenditure requirements through at least the next 12 months. This period could be shortened if there are any significant increases beyond our expectations in spending on development programs or more rapid progress of development programs than anticipated. Our existing capital resources, including the net proceeds from our IPO, will not be sufficient to enable us to initiate any pivotal clinical trials. Accordingly, we expect that we will need to raise substantial additional funds in the future in order to complete the development of the RaniPill platform and seek regulatory approval thereof, to complete the clinical development of our intended biologics for use within the RaniPill capsule, to expand our manufacturing capabilities and to commercialize any of our product candidates.</w:t>
      </w:r>
    </w:p>
    <w:p>
      <w:pPr>
        <w:spacing w:after="0" w:line="200" w:lineRule="exact"/>
        <w:rPr>
          <w:sz w:val="20"/>
          <w:szCs w:val="20"/>
          <w:color w:val="auto"/>
        </w:rPr>
      </w:pP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Our funding requirements and the timing of our need for additional capital are subject to change based on a number of factors, including:</w:t>
      </w:r>
    </w:p>
    <w:p>
      <w:pPr>
        <w:spacing w:after="0" w:line="26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progress, costs, trial design, results of and timing of our preclinical studies and clinical trials;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progress, costs, and results of our research pipeline;</w:t>
      </w:r>
    </w:p>
    <w:p>
      <w:pPr>
        <w:spacing w:after="0" w:line="239" w:lineRule="exact"/>
        <w:rPr>
          <w:sz w:val="20"/>
          <w:szCs w:val="20"/>
          <w:color w:val="auto"/>
        </w:rPr>
      </w:pPr>
    </w:p>
    <w:p>
      <w:pPr>
        <w:ind w:left="1360" w:right="140"/>
        <w:spacing w:after="0" w:line="279" w:lineRule="auto"/>
        <w:rPr>
          <w:sz w:val="20"/>
          <w:szCs w:val="20"/>
          <w:color w:val="auto"/>
        </w:rPr>
      </w:pPr>
      <w:r>
        <w:rPr>
          <w:rFonts w:ascii="Arial" w:cs="Arial" w:eastAsia="Arial" w:hAnsi="Arial"/>
          <w:sz w:val="18"/>
          <w:szCs w:val="18"/>
          <w:color w:val="auto"/>
        </w:rPr>
        <w:t>the willingness of the FDA or other regulatory authorities to accept data from our clinical trials, as well as data from our completed and planned preclinical studies and clinical trials and other work, as the basis for review and approval of the RaniPill capsule for various indications;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outcome, costs, and timing of seeking and obtaining FDA, and any other regulatory approvals;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number and characteristics of product candidates that we pursue;</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manufacture sufficient quantities of the RaniPill capsules;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left="1360"/>
        <w:spacing w:after="0"/>
        <w:rPr>
          <w:sz w:val="20"/>
          <w:szCs w:val="20"/>
          <w:color w:val="auto"/>
        </w:rPr>
      </w:pPr>
      <w:r>
        <w:rPr>
          <w:rFonts w:ascii="Arial" w:cs="Arial" w:eastAsia="Arial" w:hAnsi="Arial"/>
          <w:sz w:val="18"/>
          <w:szCs w:val="18"/>
          <w:color w:val="auto"/>
        </w:rPr>
        <w:t>our need to expand our research and development activities;</w:t>
      </w:r>
    </w:p>
    <w:p>
      <w:pPr>
        <w:spacing w:after="0" w:line="239" w:lineRule="exact"/>
        <w:rPr>
          <w:sz w:val="20"/>
          <w:szCs w:val="20"/>
          <w:color w:val="auto"/>
        </w:rPr>
      </w:pPr>
    </w:p>
    <w:p>
      <w:pPr>
        <w:ind w:left="1360" w:right="260"/>
        <w:spacing w:after="0" w:line="293" w:lineRule="auto"/>
        <w:rPr>
          <w:sz w:val="20"/>
          <w:szCs w:val="20"/>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costs associated with securing and establishing commercial infrastructure;</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costs of acquiring, licensing, or investing in businesses, product candidates, and technologies;</w:t>
      </w:r>
    </w:p>
    <w:p>
      <w:pPr>
        <w:spacing w:after="0" w:line="239" w:lineRule="exact"/>
        <w:rPr>
          <w:sz w:val="20"/>
          <w:szCs w:val="20"/>
          <w:color w:val="auto"/>
        </w:rPr>
      </w:pPr>
    </w:p>
    <w:p>
      <w:pPr>
        <w:ind w:left="1360" w:right="480"/>
        <w:spacing w:after="0" w:line="279" w:lineRule="auto"/>
        <w:rPr>
          <w:sz w:val="20"/>
          <w:szCs w:val="20"/>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effect of competing drugs and product candidates and other market developments;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timing, receipt, and amount of sales from our potential products, if approved;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establish strategic collaborations;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security breaches, data losses or other disruptions affecting our information systems;</w:t>
      </w:r>
    </w:p>
    <w:p>
      <w:pPr>
        <w:spacing w:after="0" w:line="239" w:lineRule="exact"/>
        <w:rPr>
          <w:sz w:val="20"/>
          <w:szCs w:val="20"/>
          <w:color w:val="auto"/>
        </w:rPr>
      </w:pPr>
    </w:p>
    <w:p>
      <w:pPr>
        <w:ind w:left="1360" w:right="260"/>
        <w:spacing w:after="0" w:line="293" w:lineRule="auto"/>
        <w:rPr>
          <w:sz w:val="20"/>
          <w:szCs w:val="20"/>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70" w:lineRule="exact"/>
        <w:rPr>
          <w:sz w:val="20"/>
          <w:szCs w:val="20"/>
          <w:color w:val="auto"/>
        </w:rPr>
      </w:pPr>
    </w:p>
    <w:p>
      <w:pPr>
        <w:ind w:left="1360" w:right="340"/>
        <w:spacing w:after="0" w:line="293" w:lineRule="auto"/>
        <w:rPr>
          <w:sz w:val="20"/>
          <w:szCs w:val="20"/>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right="20" w:firstLine="1018"/>
        <w:spacing w:after="0" w:line="319" w:lineRule="auto"/>
        <w:rPr>
          <w:sz w:val="20"/>
          <w:szCs w:val="20"/>
          <w:color w:val="auto"/>
        </w:rPr>
      </w:pPr>
      <w:r>
        <w:rPr>
          <w:rFonts w:ascii="Arial" w:cs="Arial" w:eastAsia="Arial" w:hAnsi="Arial"/>
          <w:sz w:val="16"/>
          <w:szCs w:val="16"/>
          <w:color w:val="auto"/>
        </w:rPr>
        <w:t>Additional funding may not be available to us on acceptable terms, or at all. 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If we are unable to obtain additional funding from equity offerings or debt financings, including on a timely basis, we may be required to:</w:t>
      </w:r>
    </w:p>
    <w:p>
      <w:pPr>
        <w:spacing w:after="0" w:line="156" w:lineRule="exact"/>
        <w:rPr>
          <w:sz w:val="20"/>
          <w:szCs w:val="20"/>
          <w:color w:val="auto"/>
        </w:rPr>
      </w:pPr>
    </w:p>
    <w:p>
      <w:pPr>
        <w:ind w:left="1360" w:right="280"/>
        <w:spacing w:after="0" w:line="293" w:lineRule="auto"/>
        <w:rPr>
          <w:sz w:val="20"/>
          <w:szCs w:val="20"/>
          <w:color w:val="auto"/>
        </w:rPr>
      </w:pPr>
      <w:r>
        <w:rPr>
          <w:rFonts w:ascii="Arial" w:cs="Arial" w:eastAsia="Arial" w:hAnsi="Arial"/>
          <w:sz w:val="18"/>
          <w:szCs w:val="18"/>
          <w:color w:val="auto"/>
        </w:rPr>
        <w:t>seek collaborators for one or more of our product candidates at an earlier stage than otherwise would be desirable or on terms that are less favorable than might otherwise be available;</w:t>
      </w:r>
    </w:p>
    <w:p>
      <w:pPr>
        <w:spacing w:after="0" w:line="170" w:lineRule="exact"/>
        <w:rPr>
          <w:sz w:val="20"/>
          <w:szCs w:val="20"/>
          <w:color w:val="auto"/>
        </w:rPr>
      </w:pPr>
    </w:p>
    <w:p>
      <w:pPr>
        <w:ind w:left="1360" w:right="220"/>
        <w:spacing w:after="0" w:line="293" w:lineRule="auto"/>
        <w:rPr>
          <w:sz w:val="20"/>
          <w:szCs w:val="20"/>
          <w:color w:val="auto"/>
        </w:rPr>
      </w:pPr>
      <w:r>
        <w:rPr>
          <w:rFonts w:ascii="Arial" w:cs="Arial" w:eastAsia="Arial" w:hAnsi="Arial"/>
          <w:sz w:val="18"/>
          <w:szCs w:val="18"/>
          <w:color w:val="auto"/>
        </w:rPr>
        <w:t>relinquish or license on unfavorable terms our rights to technologies or product candidates that we otherwise would seek to develop or commercialize ourselves; or</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significantly curtail one or more of our research or development programs or cease operations altogether.</w:t>
      </w:r>
    </w:p>
    <w:p>
      <w:pPr>
        <w:spacing w:after="0" w:line="239" w:lineRule="exact"/>
        <w:rPr>
          <w:sz w:val="20"/>
          <w:szCs w:val="20"/>
          <w:color w:val="auto"/>
        </w:rPr>
      </w:pPr>
    </w:p>
    <w:p>
      <w:pPr>
        <w:ind w:right="200" w:firstLine="1018"/>
        <w:spacing w:after="0" w:line="275" w:lineRule="auto"/>
        <w:rPr>
          <w:sz w:val="20"/>
          <w:szCs w:val="20"/>
          <w:color w:val="auto"/>
        </w:rPr>
      </w:pPr>
      <w:r>
        <w:rPr>
          <w:rFonts w:ascii="Arial" w:cs="Arial" w:eastAsia="Arial" w:hAnsi="Arial"/>
          <w:sz w:val="18"/>
          <w:szCs w:val="18"/>
          <w:color w:val="auto"/>
        </w:rPr>
        <w:t>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spacing w:after="0" w:line="185" w:lineRule="exact"/>
        <w:rPr>
          <w:sz w:val="20"/>
          <w:szCs w:val="20"/>
          <w:color w:val="auto"/>
        </w:rPr>
      </w:pPr>
    </w:p>
    <w:p>
      <w:pPr>
        <w:ind w:right="120" w:firstLine="1018"/>
        <w:spacing w:after="0" w:line="266"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right="480"/>
        <w:spacing w:after="0" w:line="293"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technologies.</w:t>
      </w:r>
    </w:p>
    <w:p>
      <w:pPr>
        <w:spacing w:after="0" w:line="170" w:lineRule="exact"/>
        <w:rPr>
          <w:sz w:val="20"/>
          <w:szCs w:val="20"/>
          <w:color w:val="auto"/>
        </w:rPr>
      </w:pPr>
    </w:p>
    <w:p>
      <w:pPr>
        <w:ind w:firstLine="1018"/>
        <w:spacing w:after="0" w:line="286" w:lineRule="auto"/>
        <w:rPr>
          <w:sz w:val="20"/>
          <w:szCs w:val="20"/>
          <w:color w:val="auto"/>
        </w:rPr>
      </w:pPr>
      <w:r>
        <w:rPr>
          <w:rFonts w:ascii="Arial" w:cs="Arial" w:eastAsia="Arial" w:hAnsi="Arial"/>
          <w:sz w:val="17"/>
          <w:szCs w:val="17"/>
          <w:color w:val="auto"/>
        </w:rPr>
        <w:t>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current stockholders’ interest will be diluted, and the terms may include liquidation or other preferences that adversely affect the rights of existing stockholders.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 we may be required to accept unfavorable terms, including relinquishing or licensing to a third party on unfavorable terms our rights to the RaniPill capsule or our product candidates that we otherwise would seek to develop or commercialize ourselves or potentially reserve for future potential arrangements when we might be able to achieve more favorable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243" w:lineRule="exact"/>
        <w:rPr>
          <w:sz w:val="20"/>
          <w:szCs w:val="20"/>
          <w:color w:val="auto"/>
        </w:rPr>
      </w:pPr>
    </w:p>
    <w:p>
      <w:pPr>
        <w:ind w:right="300"/>
        <w:spacing w:after="0" w:line="359" w:lineRule="auto"/>
        <w:rPr>
          <w:sz w:val="20"/>
          <w:szCs w:val="20"/>
          <w:color w:val="auto"/>
        </w:rPr>
      </w:pPr>
      <w:r>
        <w:rPr>
          <w:rFonts w:ascii="Arial" w:cs="Arial" w:eastAsia="Arial" w:hAnsi="Arial"/>
          <w:sz w:val="15"/>
          <w:szCs w:val="15"/>
          <w:b w:val="1"/>
          <w:bCs w:val="1"/>
          <w:i w:val="1"/>
          <w:iCs w:val="1"/>
          <w:color w:val="auto"/>
        </w:rPr>
        <w:t>We are early in our development efforts and have only one product candidate, RT-101,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30" w:lineRule="exact"/>
        <w:rPr>
          <w:sz w:val="20"/>
          <w:szCs w:val="20"/>
          <w:color w:val="auto"/>
        </w:rPr>
      </w:pPr>
    </w:p>
    <w:p>
      <w:pPr>
        <w:ind w:right="60" w:firstLine="1018"/>
        <w:spacing w:after="0" w:line="287" w:lineRule="auto"/>
        <w:rPr>
          <w:sz w:val="20"/>
          <w:szCs w:val="20"/>
          <w:color w:val="auto"/>
        </w:rPr>
      </w:pPr>
      <w:r>
        <w:rPr>
          <w:rFonts w:ascii="Arial" w:cs="Arial" w:eastAsia="Arial" w:hAnsi="Arial"/>
          <w:sz w:val="17"/>
          <w:szCs w:val="17"/>
          <w:color w:val="auto"/>
        </w:rPr>
        <w:t>We are in the early stages of our development efforts and have only one product candidate, RT-101, in early clinical development. Our initial goal is to evaluate the safety of the RaniPill capsule, independent of any biologic, through a clinical trial conducted under an IDE. Any delays or setback in the clinical testing of the RaniPill capsule independent of any biologic, which we plan to undertake prior to submitting an IND for any of our candidates, could delay or prevent the clinical testing of any of our current or future product candidates. We completed a Phase 1 clinical trial of RT-101, the RaniPill capsule containing octreotide, in Australia to evaluate safety as a primary endpoint and bioavailability as a secondary endpoint. Our other product candidates are still in the formulation and preclinical stages. We intend to initiate Phase 1 clinical trials for certain of these product candidates in 2022 and in 2023. We will need to progress these product candidates through IND-enabling studies and submit INDs to the FDA prior to initiating their clinical development. None of our product candidates have advanced into a pivotal study.</w:t>
      </w:r>
    </w:p>
    <w:p>
      <w:pPr>
        <w:spacing w:after="0" w:line="182" w:lineRule="exact"/>
        <w:rPr>
          <w:sz w:val="20"/>
          <w:szCs w:val="20"/>
          <w:color w:val="auto"/>
        </w:rPr>
      </w:pPr>
    </w:p>
    <w:p>
      <w:pPr>
        <w:ind w:right="20" w:firstLine="1018"/>
        <w:spacing w:after="0" w:line="279" w:lineRule="auto"/>
        <w:rPr>
          <w:sz w:val="20"/>
          <w:szCs w:val="20"/>
          <w:color w:val="auto"/>
        </w:rPr>
      </w:pPr>
      <w:r>
        <w:rPr>
          <w:rFonts w:ascii="Arial" w:cs="Arial" w:eastAsia="Arial" w:hAnsi="Arial"/>
          <w:sz w:val="18"/>
          <w:szCs w:val="18"/>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successful enrollment in clinical trials and completion of preclinical studies and clinical trials with favorable results;</w:t>
      </w:r>
    </w:p>
    <w:p>
      <w:pPr>
        <w:spacing w:after="0" w:line="239" w:lineRule="exact"/>
        <w:rPr>
          <w:sz w:val="20"/>
          <w:szCs w:val="20"/>
          <w:color w:val="auto"/>
        </w:rPr>
      </w:pPr>
    </w:p>
    <w:p>
      <w:pPr>
        <w:ind w:left="1360" w:right="380"/>
        <w:spacing w:after="0" w:line="293" w:lineRule="auto"/>
        <w:rPr>
          <w:sz w:val="20"/>
          <w:szCs w:val="20"/>
          <w:color w:val="auto"/>
        </w:rPr>
      </w:pPr>
      <w:r>
        <w:rPr>
          <w:rFonts w:ascii="Arial" w:cs="Arial" w:eastAsia="Arial" w:hAnsi="Arial"/>
          <w:sz w:val="18"/>
          <w:szCs w:val="18"/>
          <w:color w:val="auto"/>
        </w:rPr>
        <w:t>acceptance of INDs by the FDA or similar regulatory filings by comparable foreign regulatory authorities for the conduct of clinical trials of our product candidates and our proposed design of future clinical trials;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demonstrating safety and efficacy to the satisfaction of applicable regulatory authorities;</w:t>
      </w:r>
    </w:p>
    <w:p>
      <w:pPr>
        <w:spacing w:after="0" w:line="239" w:lineRule="exact"/>
        <w:rPr>
          <w:sz w:val="20"/>
          <w:szCs w:val="20"/>
          <w:color w:val="auto"/>
        </w:rPr>
      </w:pPr>
    </w:p>
    <w:p>
      <w:pPr>
        <w:ind w:left="1360" w:right="160"/>
        <w:spacing w:after="0" w:line="293" w:lineRule="auto"/>
        <w:rPr>
          <w:sz w:val="20"/>
          <w:szCs w:val="20"/>
          <w:color w:val="auto"/>
        </w:rPr>
      </w:pPr>
      <w:r>
        <w:rPr>
          <w:rFonts w:ascii="Arial" w:cs="Arial" w:eastAsia="Arial" w:hAnsi="Arial"/>
          <w:sz w:val="18"/>
          <w:szCs w:val="18"/>
          <w:color w:val="auto"/>
        </w:rPr>
        <w:t>receipt of marketing approvals from applicable regulatory authorities, including New Drug Applications ("NDAs"), from the FDA, and maintaining such approvals;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establishing clinical and commercial manufacturing capabilities;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expanding automation of our manufacturing machinery and procedures;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establishing and maintaining multiple suppliers for our critical manufacturing materials;</w:t>
      </w:r>
    </w:p>
    <w:p>
      <w:pPr>
        <w:spacing w:after="0" w:line="239" w:lineRule="exact"/>
        <w:rPr>
          <w:sz w:val="20"/>
          <w:szCs w:val="20"/>
          <w:color w:val="auto"/>
        </w:rPr>
      </w:pPr>
    </w:p>
    <w:p>
      <w:pPr>
        <w:ind w:left="1360" w:right="580"/>
        <w:spacing w:after="0" w:line="293" w:lineRule="auto"/>
        <w:rPr>
          <w:sz w:val="20"/>
          <w:szCs w:val="20"/>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maintaining an acceptable safety profile and shelf life of our products following approval;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left="1360" w:right="20"/>
        <w:spacing w:after="0" w:line="293" w:lineRule="auto"/>
        <w:rPr>
          <w:sz w:val="20"/>
          <w:szCs w:val="20"/>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 and</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maintaining and growing an organization of people who can develop our products and technology.</w:t>
      </w:r>
    </w:p>
    <w:p>
      <w:pPr>
        <w:spacing w:after="0" w:line="239" w:lineRule="exact"/>
        <w:rPr>
          <w:sz w:val="20"/>
          <w:szCs w:val="20"/>
          <w:color w:val="auto"/>
        </w:rPr>
      </w:pPr>
    </w:p>
    <w:p>
      <w:pPr>
        <w:ind w:right="20" w:firstLine="1018"/>
        <w:spacing w:after="0" w:line="269" w:lineRule="auto"/>
        <w:rPr>
          <w:sz w:val="20"/>
          <w:szCs w:val="20"/>
          <w:color w:val="auto"/>
        </w:rPr>
      </w:pPr>
      <w:r>
        <w:rPr>
          <w:rFonts w:ascii="Arial" w:cs="Arial" w:eastAsia="Arial" w:hAnsi="Arial"/>
          <w:sz w:val="18"/>
          <w:szCs w:val="18"/>
          <w:color w:val="auto"/>
        </w:rPr>
        <w:t>The success of our business, including our ability to finance our company and generate any revenue in the future, will depend on the successful development, regulatory approval and commercialization of our product candidates, which may never occur. We have not yet succeeded and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 bodies.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196"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5"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Our business and future profitability is substantially dependent on our ability to successfully develop, obtain regulatory approval for and then successfully commercialize the RaniPill capsule with oral versions of multiple biologics.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39" w:lineRule="exact"/>
        <w:rPr>
          <w:sz w:val="20"/>
          <w:szCs w:val="20"/>
          <w:color w:val="auto"/>
        </w:rPr>
      </w:pPr>
    </w:p>
    <w:p>
      <w:pPr>
        <w:ind w:left="1360" w:right="140"/>
        <w:spacing w:after="0" w:line="293" w:lineRule="auto"/>
        <w:rPr>
          <w:sz w:val="20"/>
          <w:szCs w:val="20"/>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sz w:val="20"/>
          <w:szCs w:val="20"/>
          <w:color w:val="auto"/>
        </w:rPr>
      </w:pPr>
    </w:p>
    <w:p>
      <w:pPr>
        <w:ind w:left="1360" w:right="100"/>
        <w:spacing w:after="0" w:line="293" w:lineRule="auto"/>
        <w:rPr>
          <w:sz w:val="20"/>
          <w:szCs w:val="20"/>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39" w:lineRule="exact"/>
        <w:rPr>
          <w:sz w:val="20"/>
          <w:szCs w:val="20"/>
          <w:color w:val="auto"/>
        </w:rPr>
      </w:pPr>
    </w:p>
    <w:p>
      <w:pPr>
        <w:ind w:left="1360" w:right="320"/>
        <w:spacing w:after="0" w:line="293" w:lineRule="auto"/>
        <w:rPr>
          <w:sz w:val="20"/>
          <w:szCs w:val="20"/>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170" w:lineRule="exact"/>
        <w:rPr>
          <w:sz w:val="20"/>
          <w:szCs w:val="20"/>
          <w:color w:val="auto"/>
        </w:rPr>
      </w:pPr>
    </w:p>
    <w:p>
      <w:pPr>
        <w:ind w:left="1360" w:right="80"/>
        <w:spacing w:after="0" w:line="324" w:lineRule="auto"/>
        <w:rPr>
          <w:sz w:val="20"/>
          <w:szCs w:val="20"/>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submissions necessary to obtain regulatory approval in the United States or elsewhere;</w:t>
      </w:r>
    </w:p>
    <w:p>
      <w:pPr>
        <w:spacing w:after="0" w:line="147" w:lineRule="exact"/>
        <w:rPr>
          <w:sz w:val="20"/>
          <w:szCs w:val="20"/>
          <w:color w:val="auto"/>
        </w:rPr>
      </w:pPr>
    </w:p>
    <w:p>
      <w:pPr>
        <w:ind w:left="1360" w:right="300"/>
        <w:spacing w:after="0" w:line="293" w:lineRule="auto"/>
        <w:rPr>
          <w:sz w:val="20"/>
          <w:szCs w:val="20"/>
          <w:color w:val="auto"/>
        </w:rPr>
      </w:pPr>
      <w:r>
        <w:rPr>
          <w:rFonts w:ascii="Arial" w:cs="Arial" w:eastAsia="Arial" w:hAnsi="Arial"/>
          <w:sz w:val="18"/>
          <w:szCs w:val="18"/>
          <w:color w:val="auto"/>
        </w:rPr>
        <w:t>we may not meet the cGMP and other applicable requirements for manufacturing processes, procedures, documentation and facilities necessary for approval by the FDA or comparable foreign regulatory authorities; and</w:t>
      </w:r>
    </w:p>
    <w:p>
      <w:pPr>
        <w:spacing w:after="0" w:line="170" w:lineRule="exact"/>
        <w:rPr>
          <w:sz w:val="20"/>
          <w:szCs w:val="20"/>
          <w:color w:val="auto"/>
        </w:rPr>
      </w:pPr>
    </w:p>
    <w:p>
      <w:pPr>
        <w:ind w:left="1360" w:right="460"/>
        <w:spacing w:after="0" w:line="266" w:lineRule="auto"/>
        <w:rPr>
          <w:sz w:val="20"/>
          <w:szCs w:val="20"/>
          <w:color w:val="auto"/>
        </w:rPr>
      </w:pPr>
      <w:r>
        <w:rPr>
          <w:rFonts w:ascii="Arial" w:cs="Arial" w:eastAsia="Arial" w:hAnsi="Arial"/>
          <w:sz w:val="18"/>
          <w:szCs w:val="18"/>
          <w:color w:val="auto"/>
        </w:rPr>
        <w:t>changes to the approval policies or regulations of the FDA or comparable foreign regulatory authorities with respect to our product candidates may result in our clinical data becoming insufficient for approval.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right="220" w:firstLine="1018"/>
        <w:spacing w:after="0" w:line="279" w:lineRule="auto"/>
        <w:rPr>
          <w:sz w:val="20"/>
          <w:szCs w:val="20"/>
          <w:color w:val="auto"/>
        </w:rPr>
      </w:pPr>
      <w:r>
        <w:rPr>
          <w:rFonts w:ascii="Arial" w:cs="Arial" w:eastAsia="Arial" w:hAnsi="Arial"/>
          <w:sz w:val="18"/>
          <w:szCs w:val="18"/>
          <w:color w:val="auto"/>
        </w:rPr>
        <w:t>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w:t>
      </w:r>
    </w:p>
    <w:p>
      <w:pPr>
        <w:spacing w:after="0" w:line="183" w:lineRule="exact"/>
        <w:rPr>
          <w:sz w:val="20"/>
          <w:szCs w:val="20"/>
          <w:color w:val="auto"/>
        </w:rPr>
      </w:pPr>
    </w:p>
    <w:p>
      <w:pPr>
        <w:ind w:firstLine="1018"/>
        <w:spacing w:after="0" w:line="271" w:lineRule="auto"/>
        <w:rPr>
          <w:sz w:val="20"/>
          <w:szCs w:val="20"/>
          <w:color w:val="auto"/>
        </w:rPr>
      </w:pPr>
      <w:r>
        <w:rPr>
          <w:rFonts w:ascii="Arial" w:cs="Arial" w:eastAsia="Arial" w:hAnsi="Arial"/>
          <w:sz w:val="18"/>
          <w:szCs w:val="18"/>
          <w:color w:val="auto"/>
        </w:rPr>
        <w:t>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our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w:t>
      </w:r>
    </w:p>
    <w:p>
      <w:pPr>
        <w:spacing w:after="0" w:line="191" w:lineRule="exact"/>
        <w:rPr>
          <w:sz w:val="20"/>
          <w:szCs w:val="20"/>
          <w:color w:val="auto"/>
        </w:rPr>
      </w:pPr>
    </w:p>
    <w:p>
      <w:pPr>
        <w:ind w:right="40" w:firstLine="1018"/>
        <w:spacing w:after="0" w:line="279" w:lineRule="auto"/>
        <w:rPr>
          <w:sz w:val="20"/>
          <w:szCs w:val="20"/>
          <w:color w:val="auto"/>
        </w:rPr>
      </w:pPr>
      <w:r>
        <w:rPr>
          <w:rFonts w:ascii="Arial" w:cs="Arial" w:eastAsia="Arial" w:hAnsi="Arial"/>
          <w:sz w:val="18"/>
          <w:szCs w:val="18"/>
          <w:color w:val="auto"/>
        </w:rPr>
        <w:t>We have not previously submitted a BLA, an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w:t>
      </w:r>
    </w:p>
    <w:p>
      <w:pPr>
        <w:spacing w:after="0" w:line="18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183" w:lineRule="exact"/>
        <w:rPr>
          <w:sz w:val="20"/>
          <w:szCs w:val="20"/>
          <w:color w:val="auto"/>
        </w:rPr>
      </w:pPr>
    </w:p>
    <w:p>
      <w:pPr>
        <w:ind w:right="120" w:firstLine="1018"/>
        <w:spacing w:after="0" w:line="303"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 of RT-101 do not ensure that future Phase 2 or later clinical trials of RT-101 will have similar results or be successful. In our Phase 1 clinical trial 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 We have never conducted a Phase 2 or Phase 3 clinical trial or submitted a BLA or comparable marketing application to foreign regulatory authorities, and as a result, we have no history or track-record to rely on when entering these phases of the development cycle. Furthermore, we are currently optimizing the formulation for RT-101, to enable once daily dosing. If we are able to optimize the formulation, we plan to test and verify the formulation in appropriate animal models. Once the formulation is validated in preclinical studies, we plan to submit an IND and initiate clinical trials for the development of RT-101. The scale-up development related to this formulation could delay commencement of such clinical trials, and the revised formulation could cause RT-101 to perform differently than the original formulation and affect the results of our planned clinical trials.</w:t>
      </w:r>
    </w:p>
    <w:p>
      <w:pPr>
        <w:spacing w:after="0" w:line="169" w:lineRule="exact"/>
        <w:rPr>
          <w:sz w:val="20"/>
          <w:szCs w:val="20"/>
          <w:color w:val="auto"/>
        </w:rPr>
      </w:pPr>
    </w:p>
    <w:p>
      <w:pPr>
        <w:ind w:right="20" w:firstLine="1018"/>
        <w:spacing w:after="0" w:line="272" w:lineRule="auto"/>
        <w:rPr>
          <w:sz w:val="20"/>
          <w:szCs w:val="20"/>
          <w:color w:val="auto"/>
        </w:rPr>
      </w:pPr>
      <w:r>
        <w:rPr>
          <w:rFonts w:ascii="Arial" w:cs="Arial" w:eastAsia="Arial" w:hAnsi="Arial"/>
          <w:sz w:val="18"/>
          <w:szCs w:val="18"/>
          <w:color w:val="auto"/>
        </w:rPr>
        <w:t>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w:t>
      </w:r>
    </w:p>
    <w:p>
      <w:pPr>
        <w:spacing w:after="0" w:line="366" w:lineRule="exact"/>
        <w:rPr>
          <w:sz w:val="20"/>
          <w:szCs w:val="20"/>
          <w:color w:val="auto"/>
        </w:rPr>
      </w:pPr>
    </w:p>
    <w:p>
      <w:pPr>
        <w:ind w:right="120" w:firstLine="1018"/>
        <w:spacing w:after="0" w:line="359" w:lineRule="auto"/>
        <w:rPr>
          <w:sz w:val="20"/>
          <w:szCs w:val="20"/>
          <w:color w:val="auto"/>
        </w:rPr>
      </w:pPr>
      <w:r>
        <w:rPr>
          <w:rFonts w:ascii="Arial" w:cs="Arial" w:eastAsia="Arial" w:hAnsi="Arial"/>
          <w:sz w:val="16"/>
          <w:szCs w:val="16"/>
          <w:color w:val="auto"/>
        </w:rPr>
        <w:t>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obtaining regulatory approvals to commence a clinical trial;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fraud or negligence on the part of consultants or contractors;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obtaining Institutional Review Board ("IRB"), or Ethics Committee ("EC") approval at each site;</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recruiting suitable patients to participate in a clinical trial;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ind w:left="1360"/>
        <w:spacing w:after="0"/>
        <w:rPr>
          <w:sz w:val="20"/>
          <w:szCs w:val="20"/>
          <w:color w:val="auto"/>
        </w:rPr>
      </w:pPr>
      <w:r>
        <w:rPr>
          <w:rFonts w:ascii="Arial" w:cs="Arial" w:eastAsia="Arial" w:hAnsi="Arial"/>
          <w:sz w:val="18"/>
          <w:szCs w:val="18"/>
          <w:color w:val="auto"/>
        </w:rPr>
        <w:t>having patients complete a clinical trial or return for post-treatment follow-up;</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clinical sites deviating from the clinical trial’s protocol or dropping out of a clinical trial;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impacts of the COVID-19 pandemic on our ongoing and planned preclinical studies and clinical trials;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adding new clinical trial sites; or</w:t>
      </w:r>
    </w:p>
    <w:p>
      <w:pPr>
        <w:spacing w:after="0" w:line="239" w:lineRule="exact"/>
        <w:rPr>
          <w:sz w:val="20"/>
          <w:szCs w:val="20"/>
          <w:color w:val="auto"/>
        </w:rPr>
      </w:pPr>
    </w:p>
    <w:p>
      <w:pPr>
        <w:ind w:left="1360" w:right="40"/>
        <w:spacing w:after="0" w:line="293" w:lineRule="auto"/>
        <w:rPr>
          <w:sz w:val="20"/>
          <w:szCs w:val="20"/>
          <w:color w:val="auto"/>
        </w:rPr>
      </w:pPr>
      <w:r>
        <w:rPr>
          <w:rFonts w:ascii="Arial" w:cs="Arial" w:eastAsia="Arial" w:hAnsi="Arial"/>
          <w:sz w:val="18"/>
          <w:szCs w:val="18"/>
          <w:color w:val="auto"/>
        </w:rPr>
        <w:t>manufacturing sufficient quantities of product candidate for use in our preclinical studies and clinical trials, including product candidates manufactured in accordance with our specifications.</w:t>
      </w:r>
    </w:p>
    <w:p>
      <w:pPr>
        <w:spacing w:after="0" w:line="170"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ongoing and planned clinical trials. We could encounter delays if a clinical trial is modified, suspended or terminated by us, by the IRBs or ECs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0" w:lineRule="exact"/>
        <w:rPr>
          <w:sz w:val="20"/>
          <w:szCs w:val="20"/>
          <w:color w:val="auto"/>
        </w:rPr>
      </w:pPr>
    </w:p>
    <w:p>
      <w:pPr>
        <w:ind w:right="260" w:firstLine="1018"/>
        <w:spacing w:after="0" w:line="272" w:lineRule="auto"/>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comparable foreign regulatory authorities, which would represent a significant setback for the applicable program.</w:t>
      </w:r>
    </w:p>
    <w:p>
      <w:pPr>
        <w:spacing w:after="0" w:line="191" w:lineRule="exact"/>
        <w:rPr>
          <w:sz w:val="20"/>
          <w:szCs w:val="20"/>
          <w:color w:val="auto"/>
        </w:rPr>
      </w:pPr>
    </w:p>
    <w:p>
      <w:pPr>
        <w:ind w:right="540" w:firstLine="1018"/>
        <w:spacing w:after="0" w:line="329" w:lineRule="auto"/>
        <w:rPr>
          <w:sz w:val="20"/>
          <w:szCs w:val="20"/>
          <w:color w:val="auto"/>
        </w:rPr>
      </w:pPr>
      <w:r>
        <w:rPr>
          <w:rFonts w:ascii="Arial" w:cs="Arial" w:eastAsia="Arial" w:hAnsi="Arial"/>
          <w:sz w:val="16"/>
          <w:szCs w:val="16"/>
          <w:color w:val="auto"/>
        </w:rPr>
        <w:t>For the foregoing reasons, our ongoing and planned preclinical studies and clinical trials may not be successful. Any safety concerns observed in any one of our clinical trials in our targeted or contemplated biologic indications could limit the prospects for regulatory approval of our product candidates in those and other indications, which could have an adverse effect on our business, financial condition and results of operations.</w:t>
      </w:r>
    </w:p>
    <w:p>
      <w:pPr>
        <w:spacing w:after="0" w:line="323" w:lineRule="exact"/>
        <w:rPr>
          <w:sz w:val="20"/>
          <w:szCs w:val="20"/>
          <w:color w:val="auto"/>
        </w:rPr>
      </w:pPr>
    </w:p>
    <w:p>
      <w:pPr>
        <w:ind w:right="280"/>
        <w:spacing w:after="0" w:line="324"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47" w:lineRule="exact"/>
        <w:rPr>
          <w:sz w:val="20"/>
          <w:szCs w:val="20"/>
          <w:color w:val="auto"/>
        </w:rPr>
      </w:pPr>
    </w:p>
    <w:p>
      <w:pPr>
        <w:ind w:right="100" w:firstLine="1018"/>
        <w:spacing w:after="0" w:line="288"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only one product candidate, RT-101, in early clinical development. We completed a Phase 1 clinical trial of RT-101 to evaluate safety as a primary endpoint and bioavailability as a secondary endpoint. Our other product candidates are still in the formulation or preclinical stages. We intend to initiate Phase 1 clinical trials for certain of these product candidates in 2022 and in 2023. However, we have not, to date, submitted an IND for any of our product candidates. However, we have not, to date, submitted an IND for any of our product candidates. We will be required to submit applicable equivalent regulatory filings to foreign regulatory authorities to the extent we initiate clinical trials outside of the United States.</w:t>
      </w:r>
    </w:p>
    <w:p>
      <w:pPr>
        <w:spacing w:after="0" w:line="181" w:lineRule="exact"/>
        <w:rPr>
          <w:sz w:val="20"/>
          <w:szCs w:val="20"/>
          <w:color w:val="auto"/>
        </w:rPr>
      </w:pPr>
    </w:p>
    <w:p>
      <w:pPr>
        <w:ind w:right="600" w:firstLine="1018"/>
        <w:spacing w:after="0" w:line="293" w:lineRule="auto"/>
        <w:rPr>
          <w:sz w:val="20"/>
          <w:szCs w:val="20"/>
          <w:color w:val="auto"/>
        </w:rPr>
      </w:pPr>
      <w:r>
        <w:rPr>
          <w:rFonts w:ascii="Arial" w:cs="Arial" w:eastAsia="Arial" w:hAnsi="Arial"/>
          <w:sz w:val="18"/>
          <w:szCs w:val="18"/>
          <w:color w:val="auto"/>
        </w:rPr>
        <w:t>We do not know whether our planned clinical trials will begin on time or be completed on schedule, if at all. The commencement and completion of clinical trials can be delayed for a number of reasons, including delays related to:</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FDA or comparable foreign regulatory authorities disagreeing with the design or implementation of our clinical trials;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left="1360"/>
        <w:spacing w:after="0"/>
        <w:rPr>
          <w:sz w:val="20"/>
          <w:szCs w:val="20"/>
          <w:color w:val="auto"/>
        </w:rPr>
      </w:pPr>
      <w:r>
        <w:rPr>
          <w:rFonts w:ascii="Arial" w:cs="Arial" w:eastAsia="Arial" w:hAnsi="Arial"/>
          <w:sz w:val="18"/>
          <w:szCs w:val="18"/>
          <w:color w:val="auto"/>
        </w:rPr>
        <w:t>obtaining regulatory authorizations to commence a trial, or reaching a consensus with regulatory authorities on trial design;</w:t>
      </w:r>
    </w:p>
    <w:p>
      <w:pPr>
        <w:spacing w:after="0" w:line="239" w:lineRule="exact"/>
        <w:rPr>
          <w:sz w:val="20"/>
          <w:szCs w:val="20"/>
          <w:color w:val="auto"/>
        </w:rPr>
      </w:pPr>
    </w:p>
    <w:p>
      <w:pPr>
        <w:ind w:left="1360" w:right="800"/>
        <w:spacing w:after="0" w:line="293" w:lineRule="auto"/>
        <w:rPr>
          <w:sz w:val="20"/>
          <w:szCs w:val="20"/>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obtaining approval from one or more IRBs;</w:t>
      </w:r>
    </w:p>
    <w:p>
      <w:pPr>
        <w:spacing w:after="0" w:line="239" w:lineRule="exact"/>
        <w:rPr>
          <w:sz w:val="20"/>
          <w:szCs w:val="20"/>
          <w:color w:val="auto"/>
        </w:rPr>
      </w:pPr>
    </w:p>
    <w:p>
      <w:pPr>
        <w:ind w:left="1360" w:right="80"/>
        <w:spacing w:after="0" w:line="293" w:lineRule="auto"/>
        <w:rPr>
          <w:sz w:val="20"/>
          <w:szCs w:val="20"/>
          <w:color w:val="auto"/>
        </w:rPr>
      </w:pPr>
      <w:r>
        <w:rPr>
          <w:rFonts w:ascii="Arial" w:cs="Arial" w:eastAsia="Arial" w:hAnsi="Arial"/>
          <w:sz w:val="18"/>
          <w:szCs w:val="18"/>
          <w:color w:val="auto"/>
        </w:rPr>
        <w:t>IRBs refusing to approve, suspending or terminating the trial at an investigational site, precluding enrollment of additional volunteers or withdrawing their approval of the trial;</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to clinical trial protocol;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clinical sites deviating from trial protocol or dropping out of a trial;</w:t>
      </w:r>
    </w:p>
    <w:p>
      <w:pPr>
        <w:spacing w:after="0" w:line="239" w:lineRule="exact"/>
        <w:rPr>
          <w:sz w:val="20"/>
          <w:szCs w:val="20"/>
          <w:color w:val="auto"/>
        </w:rPr>
      </w:pPr>
    </w:p>
    <w:p>
      <w:pPr>
        <w:ind w:left="1360" w:right="140"/>
        <w:spacing w:after="0" w:line="293" w:lineRule="auto"/>
        <w:rPr>
          <w:sz w:val="20"/>
          <w:szCs w:val="20"/>
          <w:color w:val="auto"/>
        </w:rPr>
      </w:pPr>
      <w:r>
        <w:rPr>
          <w:rFonts w:ascii="Arial" w:cs="Arial" w:eastAsia="Arial" w:hAnsi="Arial"/>
          <w:sz w:val="18"/>
          <w:szCs w:val="18"/>
          <w:color w:val="auto"/>
        </w:rPr>
        <w:t>manufacturing sufficient quantities of a product candidate or obtaining sufficient quantities of other therapies or APIs for use in clinical trials;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volunteers failing to enroll or remain in our trial at the rate we expect, or failing to return for post-treatment follow-up;</w:t>
      </w:r>
    </w:p>
    <w:p>
      <w:pPr>
        <w:spacing w:after="0" w:line="239" w:lineRule="exact"/>
        <w:rPr>
          <w:sz w:val="20"/>
          <w:szCs w:val="20"/>
          <w:color w:val="auto"/>
        </w:rPr>
      </w:pPr>
    </w:p>
    <w:p>
      <w:pPr>
        <w:ind w:left="1360" w:right="260"/>
        <w:spacing w:after="0" w:line="293" w:lineRule="auto"/>
        <w:rPr>
          <w:sz w:val="20"/>
          <w:szCs w:val="20"/>
          <w:color w:val="auto"/>
        </w:rPr>
      </w:pPr>
      <w:r>
        <w:rPr>
          <w:rFonts w:ascii="Arial" w:cs="Arial" w:eastAsia="Arial" w:hAnsi="Arial"/>
          <w:sz w:val="18"/>
          <w:szCs w:val="18"/>
          <w:color w:val="auto"/>
        </w:rPr>
        <w:t>volunteers choosing an alternative treatment for the indication for which we are developing our product candidates, or participating in competing clinical trials;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lack of adequate funding to continue the clinical trial;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volunteers experiencing severe or unexpected drug-related adverse effects;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occurrence of serious adverse events in clinical trials of the same class of agents conducted by other companies;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39" w:lineRule="exact"/>
        <w:rPr>
          <w:sz w:val="20"/>
          <w:szCs w:val="20"/>
          <w:color w:val="auto"/>
        </w:rPr>
      </w:pPr>
    </w:p>
    <w:p>
      <w:pPr>
        <w:ind w:left="1360" w:right="140"/>
        <w:spacing w:after="0" w:line="279" w:lineRule="auto"/>
        <w:rPr>
          <w:sz w:val="20"/>
          <w:szCs w:val="20"/>
          <w:color w:val="auto"/>
        </w:rPr>
      </w:pPr>
      <w:r>
        <w:rPr>
          <w:rFonts w:ascii="Arial" w:cs="Arial" w:eastAsia="Arial" w:hAnsi="Arial"/>
          <w:sz w:val="18"/>
          <w:szCs w:val="18"/>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any changes to our manufacturing process or product formulation that may be necessary or desired;</w:t>
      </w:r>
    </w:p>
    <w:p>
      <w:pPr>
        <w:spacing w:after="0" w:line="239" w:lineRule="exact"/>
        <w:rPr>
          <w:sz w:val="20"/>
          <w:szCs w:val="20"/>
          <w:color w:val="auto"/>
        </w:rPr>
      </w:pPr>
    </w:p>
    <w:p>
      <w:pPr>
        <w:ind w:left="1360" w:right="320"/>
        <w:spacing w:after="0" w:line="293" w:lineRule="auto"/>
        <w:rPr>
          <w:sz w:val="20"/>
          <w:szCs w:val="20"/>
          <w:color w:val="auto"/>
        </w:rPr>
      </w:pPr>
      <w:r>
        <w:rPr>
          <w:rFonts w:ascii="Arial" w:cs="Arial" w:eastAsia="Arial" w:hAnsi="Arial"/>
          <w:sz w:val="18"/>
          <w:szCs w:val="18"/>
          <w:color w:val="auto"/>
        </w:rPr>
        <w:t>shortages in, or delays in obtaining, raw materials for manufacturing our product candidates or adequately scaling our manufacturing processes and procedures to deliver sufficient quantities for use in our clinical trials;</w:t>
      </w:r>
    </w:p>
    <w:p>
      <w:pPr>
        <w:spacing w:after="0" w:line="170" w:lineRule="exact"/>
        <w:rPr>
          <w:sz w:val="20"/>
          <w:szCs w:val="20"/>
          <w:color w:val="auto"/>
        </w:rPr>
      </w:pPr>
    </w:p>
    <w:p>
      <w:pPr>
        <w:ind w:left="1360" w:right="180"/>
        <w:spacing w:after="0" w:line="293" w:lineRule="auto"/>
        <w:rPr>
          <w:sz w:val="20"/>
          <w:szCs w:val="20"/>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protocol or relevant regulatory requirements;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third-party contractors not performing data collection or analysis in a timely or accurate manner; or</w:t>
      </w:r>
    </w:p>
    <w:p>
      <w:pPr>
        <w:spacing w:after="0" w:line="239" w:lineRule="exact"/>
        <w:rPr>
          <w:sz w:val="20"/>
          <w:szCs w:val="20"/>
          <w:color w:val="auto"/>
        </w:rPr>
      </w:pPr>
    </w:p>
    <w:p>
      <w:pPr>
        <w:jc w:val="both"/>
        <w:ind w:left="1360" w:right="140"/>
        <w:spacing w:after="0" w:line="303" w:lineRule="auto"/>
        <w:rPr>
          <w:sz w:val="20"/>
          <w:szCs w:val="20"/>
          <w:color w:val="auto"/>
        </w:rPr>
      </w:pPr>
      <w:r>
        <w:rPr>
          <w:rFonts w:ascii="Arial" w:cs="Arial" w:eastAsia="Arial" w:hAnsi="Arial"/>
          <w:sz w:val="17"/>
          <w:szCs w:val="17"/>
          <w:color w:val="auto"/>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4" w:lineRule="exact"/>
        <w:rPr>
          <w:sz w:val="20"/>
          <w:szCs w:val="20"/>
          <w:color w:val="auto"/>
        </w:rPr>
      </w:pPr>
    </w:p>
    <w:p>
      <w:pPr>
        <w:ind w:right="380" w:firstLine="1018"/>
        <w:spacing w:after="0" w:line="266"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ind w:right="180"/>
        <w:spacing w:after="0" w:line="275" w:lineRule="auto"/>
        <w:rPr>
          <w:sz w:val="20"/>
          <w:szCs w:val="20"/>
          <w:color w:val="auto"/>
        </w:rPr>
      </w:pPr>
      <w:r>
        <w:rPr>
          <w:rFonts w:ascii="Arial" w:cs="Arial" w:eastAsia="Arial" w:hAnsi="Arial"/>
          <w:sz w:val="18"/>
          <w:szCs w:val="18"/>
          <w:color w:val="auto"/>
        </w:rPr>
        <w:t>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spacing w:after="0" w:line="185" w:lineRule="exact"/>
        <w:rPr>
          <w:sz w:val="20"/>
          <w:szCs w:val="20"/>
          <w:color w:val="auto"/>
        </w:rPr>
      </w:pPr>
    </w:p>
    <w:p>
      <w:pPr>
        <w:ind w:right="220" w:firstLine="1018"/>
        <w:spacing w:after="0" w:line="275"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5"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356" w:lineRule="exact"/>
        <w:rPr>
          <w:sz w:val="20"/>
          <w:szCs w:val="20"/>
          <w:color w:val="auto"/>
        </w:rPr>
      </w:pPr>
    </w:p>
    <w:p>
      <w:pPr>
        <w:ind w:right="80" w:firstLine="1018"/>
        <w:spacing w:after="0" w:line="290" w:lineRule="auto"/>
        <w:rPr>
          <w:sz w:val="20"/>
          <w:szCs w:val="20"/>
          <w:color w:val="auto"/>
        </w:rPr>
      </w:pPr>
      <w:r>
        <w:rPr>
          <w:rFonts w:ascii="Arial" w:cs="Arial" w:eastAsia="Arial" w:hAnsi="Arial"/>
          <w:sz w:val="17"/>
          <w:szCs w:val="17"/>
          <w:color w:val="auto"/>
        </w:rPr>
        <w:t>In addition, we work with third parties to manufacture, develop, and supply the biologic payloads for inclusion in the RaniPill capsule, a development process that is lengthy and expensive. Some of the active ingredients we are utilizing in our development and used by other sponsors to make biosimilars in the United States, and others are not. We and our third party manufacturers may discover, even late in the process, that a particular biologic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spacing w:after="0" w:line="176" w:lineRule="exact"/>
        <w:rPr>
          <w:sz w:val="20"/>
          <w:szCs w:val="20"/>
          <w:color w:val="auto"/>
        </w:rPr>
      </w:pPr>
    </w:p>
    <w:p>
      <w:pPr>
        <w:ind w:right="160" w:firstLine="1018"/>
        <w:spacing w:after="0" w:line="27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5" w:lineRule="exact"/>
        <w:rPr>
          <w:sz w:val="20"/>
          <w:szCs w:val="20"/>
          <w:color w:val="auto"/>
        </w:rPr>
      </w:pPr>
    </w:p>
    <w:p>
      <w:pPr>
        <w:ind w:right="140" w:firstLine="1018"/>
        <w:spacing w:after="0" w:line="311" w:lineRule="auto"/>
        <w:rPr>
          <w:sz w:val="20"/>
          <w:szCs w:val="20"/>
          <w:color w:val="auto"/>
        </w:rPr>
      </w:pPr>
      <w:r>
        <w:rPr>
          <w:rFonts w:ascii="Arial" w:cs="Arial" w:eastAsia="Arial" w:hAnsi="Arial"/>
          <w:sz w:val="16"/>
          <w:szCs w:val="16"/>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63"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70" w:lineRule="exact"/>
        <w:rPr>
          <w:sz w:val="20"/>
          <w:szCs w:val="20"/>
          <w:color w:val="auto"/>
        </w:rPr>
      </w:pPr>
    </w:p>
    <w:p>
      <w:pPr>
        <w:ind w:firstLine="1018"/>
        <w:spacing w:after="0" w:line="272" w:lineRule="auto"/>
        <w:rPr>
          <w:sz w:val="20"/>
          <w:szCs w:val="20"/>
          <w:color w:val="auto"/>
        </w:rPr>
      </w:pPr>
      <w:r>
        <w:rPr>
          <w:rFonts w:ascii="Arial" w:cs="Arial" w:eastAsia="Arial" w:hAnsi="Arial"/>
          <w:sz w:val="18"/>
          <w:szCs w:val="18"/>
          <w:color w:val="auto"/>
        </w:rPr>
        <w:t>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trial sites and the eligibility criteria for the clinical trial.</w:t>
      </w:r>
    </w:p>
    <w:p>
      <w:pPr>
        <w:spacing w:after="0" w:line="191" w:lineRule="exact"/>
        <w:rPr>
          <w:sz w:val="20"/>
          <w:szCs w:val="20"/>
          <w:color w:val="auto"/>
        </w:rPr>
      </w:pPr>
    </w:p>
    <w:p>
      <w:pPr>
        <w:ind w:firstLine="1018"/>
        <w:spacing w:after="0" w:line="281" w:lineRule="auto"/>
        <w:rPr>
          <w:sz w:val="20"/>
          <w:szCs w:val="20"/>
          <w:color w:val="auto"/>
        </w:rPr>
      </w:pPr>
      <w:r>
        <w:rPr>
          <w:rFonts w:ascii="Arial" w:cs="Arial" w:eastAsia="Arial" w:hAnsi="Arial"/>
          <w:sz w:val="17"/>
          <w:szCs w:val="17"/>
          <w:color w:val="auto"/>
        </w:rPr>
        <w:t>For example, we are developing RT-108 for the treatment of hemophilia A, a rare bleeding disorder with limited patient populations from which to draw volunteers in clinical trials. We will be required to identify and enroll a sufficient number of patients with hemophilia A for each of our ongoing and planned clinical trials of RT-108. Potential patients for RT-108 may not be adequately diagnosed or identified with the disease we are targeting or may not meet the entry criteria for our trials. For example, some patients with hemophilia A may seek liver transplants early and as a result become ineligible for our treatment. Additionally, other pharmaceutical companies targeting this same bleeding disorder are recruiting clinical trial patients from these patient populations, which may delay or make it more difficult to fully enroll our clinical trials. 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 future clinical trials would result in significant delays or may require us to abandon one or more clinical trials altogether.</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ind w:right="60" w:firstLine="1018"/>
        <w:spacing w:after="0" w:line="272" w:lineRule="auto"/>
        <w:rPr>
          <w:sz w:val="20"/>
          <w:szCs w:val="20"/>
          <w:color w:val="auto"/>
        </w:rPr>
      </w:pPr>
      <w:r>
        <w:rPr>
          <w:rFonts w:ascii="Arial" w:cs="Arial" w:eastAsia="Arial" w:hAnsi="Arial"/>
          <w:sz w:val="18"/>
          <w:szCs w:val="18"/>
          <w:color w:val="auto"/>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spacing w:after="0" w:line="191" w:lineRule="exact"/>
        <w:rPr>
          <w:sz w:val="20"/>
          <w:szCs w:val="20"/>
          <w:color w:val="auto"/>
        </w:rPr>
      </w:pPr>
    </w:p>
    <w:p>
      <w:pPr>
        <w:ind w:right="60" w:firstLine="1018"/>
        <w:spacing w:after="0" w:line="309" w:lineRule="auto"/>
        <w:rPr>
          <w:sz w:val="20"/>
          <w:szCs w:val="20"/>
          <w:color w:val="auto"/>
        </w:rPr>
      </w:pPr>
      <w:r>
        <w:rPr>
          <w:rFonts w:ascii="Arial" w:cs="Arial" w:eastAsia="Arial" w:hAnsi="Arial"/>
          <w:sz w:val="16"/>
          <w:szCs w:val="16"/>
          <w:color w:val="auto"/>
        </w:rPr>
        <w:t>Our preclinical studies and clinical trials have been affected and may in the future be affected by the COVID-19 pandemic, such as by a reduction in staffing at a CRO, a pause in clinical trial patient enrollment to focus on, and direct resources to, COVID-19, or patients choosing not to enroll or continue participating in a clinical trial as a result of the pandemic. For example, we are developing RT-106 and RT-103 as an oral version of basal insulin and GLP-1 mimetic, respectively, for the treatment of Type 2 diabetes. According to the Centers for Disease Control and Prevention, people who have Type 2 diabetes are at higher risk of getting severely ill from COVID-19. As a result, potential patients in contemplated clinical trials may choose to not enroll, not participate in follow-up clinical visits or drop out of the trial as a precaution against contracting COVID-19 if not vaccinated. Further, some patients may not be able or willing to comply with clinical trial protocols if quarantines impede patient movement or interrupt healthcare services.</w:t>
      </w:r>
    </w:p>
    <w:p>
      <w:pPr>
        <w:spacing w:after="0" w:line="164"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i w:val="1"/>
          <w:iCs w:val="1"/>
          <w:color w:val="auto"/>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p>
    <w:p>
      <w:pPr>
        <w:spacing w:after="0" w:line="183"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w:t>
      </w:r>
    </w:p>
    <w:p>
      <w:pPr>
        <w:spacing w:after="0" w:line="191" w:lineRule="exact"/>
        <w:rPr>
          <w:sz w:val="20"/>
          <w:szCs w:val="20"/>
          <w:color w:val="auto"/>
        </w:rPr>
      </w:pPr>
    </w:p>
    <w:p>
      <w:pPr>
        <w:ind w:right="160" w:firstLine="1018"/>
        <w:spacing w:after="0" w:line="329" w:lineRule="auto"/>
        <w:rPr>
          <w:sz w:val="20"/>
          <w:szCs w:val="20"/>
          <w:color w:val="auto"/>
        </w:rPr>
      </w:pPr>
      <w:r>
        <w:rPr>
          <w:rFonts w:ascii="Arial" w:cs="Arial" w:eastAsia="Arial" w:hAnsi="Arial"/>
          <w:sz w:val="16"/>
          <w:szCs w:val="16"/>
          <w:color w:val="auto"/>
        </w:rPr>
        <w:t>For example, in our Phase 1 clinical trial of RT-101,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analysis may reveal adverse events inconsistent with the safety profile observed to date.</w:t>
      </w:r>
    </w:p>
    <w:p>
      <w:pPr>
        <w:spacing w:after="0" w:line="148" w:lineRule="exact"/>
        <w:rPr>
          <w:sz w:val="20"/>
          <w:szCs w:val="20"/>
          <w:color w:val="auto"/>
        </w:rPr>
      </w:pPr>
    </w:p>
    <w:p>
      <w:pPr>
        <w:jc w:val="both"/>
        <w:ind w:right="260" w:firstLine="1018"/>
        <w:spacing w:after="0" w:line="279" w:lineRule="auto"/>
        <w:rPr>
          <w:sz w:val="20"/>
          <w:szCs w:val="20"/>
          <w:color w:val="auto"/>
        </w:rPr>
      </w:pPr>
      <w:r>
        <w:rPr>
          <w:rFonts w:ascii="Arial" w:cs="Arial" w:eastAsia="Arial" w:hAnsi="Arial"/>
          <w:sz w:val="18"/>
          <w:szCs w:val="18"/>
          <w:color w:val="auto"/>
        </w:rPr>
        <w:t>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w:t>
      </w:r>
    </w:p>
    <w:p>
      <w:pPr>
        <w:spacing w:after="0" w:line="183" w:lineRule="exact"/>
        <w:rPr>
          <w:sz w:val="20"/>
          <w:szCs w:val="20"/>
          <w:color w:val="auto"/>
        </w:rPr>
      </w:pPr>
    </w:p>
    <w:p>
      <w:pPr>
        <w:ind w:right="140" w:firstLine="1018"/>
        <w:spacing w:after="0" w:line="329" w:lineRule="auto"/>
        <w:rPr>
          <w:sz w:val="20"/>
          <w:szCs w:val="20"/>
          <w:color w:val="auto"/>
        </w:rPr>
      </w:pPr>
      <w:r>
        <w:rPr>
          <w:rFonts w:ascii="Arial" w:cs="Arial" w:eastAsia="Arial" w:hAnsi="Arial"/>
          <w:sz w:val="16"/>
          <w:szCs w:val="16"/>
          <w:color w:val="auto"/>
        </w:rPr>
        <w:t>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w:t>
      </w:r>
    </w:p>
    <w:p>
      <w:pPr>
        <w:spacing w:after="0" w:line="148" w:lineRule="exact"/>
        <w:rPr>
          <w:sz w:val="20"/>
          <w:szCs w:val="20"/>
          <w:color w:val="auto"/>
        </w:rPr>
      </w:pPr>
    </w:p>
    <w:p>
      <w:pPr>
        <w:ind w:right="120" w:firstLine="1018"/>
        <w:spacing w:after="0" w:line="296" w:lineRule="auto"/>
        <w:rPr>
          <w:sz w:val="20"/>
          <w:szCs w:val="20"/>
          <w:color w:val="auto"/>
        </w:rPr>
      </w:pPr>
      <w:r>
        <w:rPr>
          <w:rFonts w:ascii="Arial" w:cs="Arial" w:eastAsia="Arial" w:hAnsi="Arial"/>
          <w:sz w:val="17"/>
          <w:szCs w:val="17"/>
          <w:color w:val="auto"/>
        </w:rPr>
        <w:t>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 regulatory requirements. We may face increased regulatory scrutiny and ultimately may have to abandon our product candidate of the same class, which would have an adverse effect on our business, financial condition and operations.</w:t>
      </w:r>
    </w:p>
    <w:p>
      <w:pPr>
        <w:spacing w:after="0" w:line="170" w:lineRule="exact"/>
        <w:rPr>
          <w:sz w:val="20"/>
          <w:szCs w:val="20"/>
          <w:color w:val="auto"/>
        </w:rPr>
      </w:pPr>
    </w:p>
    <w:p>
      <w:pPr>
        <w:ind w:right="300" w:firstLine="1018"/>
        <w:spacing w:after="0" w:line="293"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regulatory authorities may withdraw approvals of such product;</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regulatory authorities may require additional warnings on the label;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5" w:name="page56"/>
    <w:bookmarkEnd w:id="55"/>
    <w:p>
      <w:pPr>
        <w:ind w:left="1360"/>
        <w:spacing w:after="0"/>
        <w:rPr>
          <w:sz w:val="20"/>
          <w:szCs w:val="20"/>
          <w:color w:val="auto"/>
        </w:rPr>
      </w:pPr>
      <w:r>
        <w:rPr>
          <w:rFonts w:ascii="Arial" w:cs="Arial" w:eastAsia="Arial" w:hAnsi="Arial"/>
          <w:sz w:val="18"/>
          <w:szCs w:val="18"/>
          <w:color w:val="auto"/>
        </w:rPr>
        <w:t>we could be sued and held liable for harm caused to patients;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reputation may suffer.</w:t>
      </w:r>
    </w:p>
    <w:p>
      <w:pPr>
        <w:spacing w:after="0" w:line="239" w:lineRule="exact"/>
        <w:rPr>
          <w:sz w:val="20"/>
          <w:szCs w:val="20"/>
          <w:color w:val="auto"/>
        </w:rPr>
      </w:pPr>
    </w:p>
    <w:p>
      <w:pPr>
        <w:ind w:right="480" w:firstLine="1018"/>
        <w:spacing w:after="0" w:line="29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which could significantly harm our business and prospects.</w:t>
      </w:r>
    </w:p>
    <w:p>
      <w:pPr>
        <w:spacing w:after="0" w:line="170"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As an organization, we recently completed our first Phase 1 clinical trial, have not submitted an IND to the FDA and we have never conducted later-stage clinical trials or submitted a BLA, and may be unable to do so for any of our product candidates.</w:t>
      </w:r>
    </w:p>
    <w:p>
      <w:pPr>
        <w:spacing w:after="0" w:line="170" w:lineRule="exact"/>
        <w:rPr>
          <w:sz w:val="20"/>
          <w:szCs w:val="20"/>
          <w:color w:val="auto"/>
        </w:rPr>
      </w:pPr>
    </w:p>
    <w:p>
      <w:pPr>
        <w:ind w:right="20" w:firstLine="1018"/>
        <w:spacing w:after="0" w:line="284" w:lineRule="auto"/>
        <w:rPr>
          <w:sz w:val="20"/>
          <w:szCs w:val="20"/>
          <w:color w:val="auto"/>
        </w:rPr>
      </w:pPr>
      <w:r>
        <w:rPr>
          <w:rFonts w:ascii="Arial" w:cs="Arial" w:eastAsia="Arial" w:hAnsi="Arial"/>
          <w:sz w:val="17"/>
          <w:szCs w:val="17"/>
          <w:color w:val="auto"/>
        </w:rPr>
        <w:t>We are early in our development efforts for our product candidates, and we will need to successfully complete later-stage and pivotal clinical trials in order to obtain FDA or comparable foreign regulatory approval to market our current or any future product candidates. Carrying out later-stage clinical trials and the submission of a successful BLA is a complicated process. As an organization, we recently completed our first Phase 1 clinical trial for RT-101 conducted in Australia and have not yet conducted any clinical trials for our other product candidates. We have not previously conducted any later stage or pivotal clinical trials, have limited experience as a company in preparing, submitting and prosecuting regulatory filings and have not previously submitted a BLA or other comparable foreign regulatory submission for any product candidate. We also plan to conduct a number of clinical trials for multiple product candidates in parallel over the next several years. For example, we plan to initiate two clinical trials in 2022. This may be a difficult process to manage with our limited resources and may divert the attention of management. In addition, we have had limited interactions with the FDA, through the pre-submission process with the Center for Devices and Radiological Health (CDRH), and we have never filed an IDE or IND. Although we plan to engage with FDA’s Center for Drug Evaluation and Research (CDER) and/or Center for Biologics Evaluation and Research (CBER) to request guidance on our clinical development plan, we have not done so, to date, and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for and commercializing our product candidates.</w:t>
      </w:r>
    </w:p>
    <w:p>
      <w:pPr>
        <w:spacing w:after="0" w:line="200" w:lineRule="exact"/>
        <w:rPr>
          <w:sz w:val="20"/>
          <w:szCs w:val="20"/>
          <w:color w:val="auto"/>
        </w:rPr>
      </w:pPr>
    </w:p>
    <w:p>
      <w:pPr>
        <w:spacing w:after="0" w:line="213" w:lineRule="exact"/>
        <w:rPr>
          <w:sz w:val="20"/>
          <w:szCs w:val="20"/>
          <w:color w:val="auto"/>
        </w:rPr>
      </w:pPr>
    </w:p>
    <w:p>
      <w:pPr>
        <w:ind w:right="560"/>
        <w:spacing w:after="0" w:line="359" w:lineRule="auto"/>
        <w:rPr>
          <w:sz w:val="20"/>
          <w:szCs w:val="20"/>
          <w:color w:val="auto"/>
        </w:rPr>
      </w:pPr>
      <w:r>
        <w:rPr>
          <w:rFonts w:ascii="Arial" w:cs="Arial" w:eastAsia="Arial" w:hAnsi="Arial"/>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25" w:lineRule="exact"/>
        <w:rPr>
          <w:sz w:val="20"/>
          <w:szCs w:val="20"/>
          <w:color w:val="auto"/>
        </w:rPr>
      </w:pPr>
    </w:p>
    <w:p>
      <w:pPr>
        <w:ind w:right="100" w:firstLine="1018"/>
        <w:spacing w:after="0" w:line="287"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w:t>
      </w:r>
    </w:p>
    <w:p>
      <w:pPr>
        <w:spacing w:after="0" w:line="178" w:lineRule="exact"/>
        <w:rPr>
          <w:sz w:val="20"/>
          <w:szCs w:val="20"/>
          <w:color w:val="auto"/>
        </w:rPr>
      </w:pPr>
    </w:p>
    <w:p>
      <w:pPr>
        <w:ind w:right="20" w:firstLine="1018"/>
        <w:spacing w:after="0" w:line="266"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ind w:left="1020"/>
        <w:spacing w:after="0"/>
        <w:rPr>
          <w:sz w:val="20"/>
          <w:szCs w:val="20"/>
          <w:color w:val="auto"/>
        </w:rPr>
      </w:pPr>
      <w:r>
        <w:rPr>
          <w:rFonts w:ascii="Arial" w:cs="Arial" w:eastAsia="Arial" w:hAnsi="Arial"/>
          <w:sz w:val="16"/>
          <w:szCs w:val="16"/>
          <w:color w:val="auto"/>
        </w:rPr>
        <w:t>The FDA or comparable foreign regulatory authorities can delay, limit or deny approval of a product candidate for many reasons, including:</w:t>
      </w:r>
    </w:p>
    <w:p>
      <w:pPr>
        <w:spacing w:after="0" w:line="26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such authorities may disagree with the design or implementation of our clinical trials;</w:t>
      </w:r>
    </w:p>
    <w:p>
      <w:pPr>
        <w:spacing w:after="0" w:line="239" w:lineRule="exact"/>
        <w:rPr>
          <w:sz w:val="20"/>
          <w:szCs w:val="20"/>
          <w:color w:val="auto"/>
        </w:rPr>
      </w:pPr>
    </w:p>
    <w:p>
      <w:pPr>
        <w:ind w:left="1360" w:right="120"/>
        <w:spacing w:after="0" w:line="293" w:lineRule="auto"/>
        <w:rPr>
          <w:sz w:val="20"/>
          <w:szCs w:val="20"/>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authorities for approval;</w:t>
      </w:r>
    </w:p>
    <w:p>
      <w:pPr>
        <w:spacing w:after="0" w:line="170" w:lineRule="exact"/>
        <w:rPr>
          <w:sz w:val="20"/>
          <w:szCs w:val="20"/>
          <w:color w:val="auto"/>
        </w:rPr>
      </w:pPr>
    </w:p>
    <w:p>
      <w:pPr>
        <w:ind w:left="1360" w:right="240"/>
        <w:spacing w:after="0" w:line="293" w:lineRule="auto"/>
        <w:rPr>
          <w:sz w:val="20"/>
          <w:szCs w:val="20"/>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170" w:lineRule="exact"/>
        <w:rPr>
          <w:sz w:val="20"/>
          <w:szCs w:val="20"/>
          <w:color w:val="auto"/>
        </w:rPr>
      </w:pPr>
    </w:p>
    <w:p>
      <w:pPr>
        <w:ind w:left="1360" w:right="60"/>
        <w:spacing w:after="0" w:line="293" w:lineRule="auto"/>
        <w:rPr>
          <w:sz w:val="20"/>
          <w:szCs w:val="20"/>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70" w:lineRule="exact"/>
        <w:rPr>
          <w:sz w:val="20"/>
          <w:szCs w:val="20"/>
          <w:color w:val="auto"/>
        </w:rPr>
      </w:pPr>
    </w:p>
    <w:p>
      <w:pPr>
        <w:ind w:left="1360" w:right="280"/>
        <w:spacing w:after="0" w:line="293" w:lineRule="auto"/>
        <w:rPr>
          <w:sz w:val="20"/>
          <w:szCs w:val="20"/>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39" w:lineRule="exact"/>
        <w:rPr>
          <w:sz w:val="20"/>
          <w:szCs w:val="20"/>
          <w:color w:val="auto"/>
        </w:rPr>
      </w:pPr>
    </w:p>
    <w:p>
      <w:pPr>
        <w:ind w:left="1360" w:right="60"/>
        <w:spacing w:after="0" w:line="279" w:lineRule="auto"/>
        <w:rPr>
          <w:sz w:val="20"/>
          <w:szCs w:val="20"/>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239" w:lineRule="exact"/>
        <w:rPr>
          <w:sz w:val="20"/>
          <w:szCs w:val="20"/>
          <w:color w:val="auto"/>
        </w:rPr>
      </w:pPr>
    </w:p>
    <w:p>
      <w:pPr>
        <w:ind w:left="1360" w:right="360"/>
        <w:spacing w:after="0" w:line="293" w:lineRule="auto"/>
        <w:rPr>
          <w:sz w:val="20"/>
          <w:szCs w:val="20"/>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70" w:lineRule="exact"/>
        <w:rPr>
          <w:sz w:val="20"/>
          <w:szCs w:val="20"/>
          <w:color w:val="auto"/>
        </w:rPr>
      </w:pPr>
    </w:p>
    <w:p>
      <w:pPr>
        <w:ind w:left="1360" w:right="560"/>
        <w:spacing w:after="0" w:line="293" w:lineRule="auto"/>
        <w:rPr>
          <w:sz w:val="20"/>
          <w:szCs w:val="20"/>
          <w:color w:val="auto"/>
        </w:rPr>
      </w:pPr>
      <w:r>
        <w:rPr>
          <w:rFonts w:ascii="Arial" w:cs="Arial" w:eastAsia="Arial" w:hAnsi="Arial"/>
          <w:sz w:val="18"/>
          <w:szCs w:val="18"/>
          <w:color w:val="auto"/>
        </w:rPr>
        <w:t>such authorities may find deficiencies in the manufacturing processes or facilities of our third-party manufacturers with which we contract for clinical and commercial supplies;</w:t>
      </w:r>
    </w:p>
    <w:p>
      <w:pPr>
        <w:spacing w:after="0" w:line="170" w:lineRule="exact"/>
        <w:rPr>
          <w:sz w:val="20"/>
          <w:szCs w:val="20"/>
          <w:color w:val="auto"/>
        </w:rPr>
      </w:pPr>
    </w:p>
    <w:p>
      <w:pPr>
        <w:ind w:left="1360" w:right="200"/>
        <w:spacing w:after="0" w:line="293" w:lineRule="auto"/>
        <w:rPr>
          <w:sz w:val="20"/>
          <w:szCs w:val="20"/>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39" w:lineRule="exact"/>
        <w:rPr>
          <w:sz w:val="20"/>
          <w:szCs w:val="20"/>
          <w:color w:val="auto"/>
        </w:rPr>
      </w:pPr>
    </w:p>
    <w:p>
      <w:pPr>
        <w:ind w:firstLine="1018"/>
        <w:spacing w:after="0" w:line="292" w:lineRule="auto"/>
        <w:rPr>
          <w:sz w:val="20"/>
          <w:szCs w:val="20"/>
          <w:color w:val="auto"/>
        </w:rPr>
      </w:pPr>
      <w:r>
        <w:rPr>
          <w:rFonts w:ascii="Arial" w:cs="Arial" w:eastAsia="Arial" w:hAnsi="Arial"/>
          <w:sz w:val="17"/>
          <w:szCs w:val="17"/>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w:t>
      </w:r>
    </w:p>
    <w:p>
      <w:pPr>
        <w:spacing w:after="0" w:line="174"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83" w:lineRule="exact"/>
        <w:rPr>
          <w:sz w:val="20"/>
          <w:szCs w:val="20"/>
          <w:color w:val="auto"/>
        </w:rPr>
      </w:pPr>
    </w:p>
    <w:p>
      <w:pPr>
        <w:ind w:firstLine="1018"/>
        <w:spacing w:after="0" w:line="299" w:lineRule="auto"/>
        <w:rPr>
          <w:sz w:val="20"/>
          <w:szCs w:val="20"/>
          <w:color w:val="auto"/>
        </w:rPr>
      </w:pPr>
      <w:r>
        <w:rPr>
          <w:rFonts w:ascii="Arial" w:cs="Arial" w:eastAsia="Arial" w:hAnsi="Arial"/>
          <w:sz w:val="16"/>
          <w:szCs w:val="16"/>
          <w:color w:val="auto"/>
        </w:rPr>
        <w:t>Because we have limited financial and managerial resources, we focus on specific product candidates, indications and development programs. We also plan to conduct several clinical trials for our product candidates in parallel over the next several years, including potentially initiating two clinical trials across our product candidates in 2022,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biologic formulations for use in the RaniPill capsule. While we intend to focus on well-characterized molecules with attractive commercial characteristics, focusing both on biologics delivery and formulation will require substantial resource and attention. In addition, we may identify other target payloads that are larger than the current capacity of the RaniPill capsule and we would need to redesign and conduct additional preclinical and clinical studies of any future design of the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ind w:right="40"/>
        <w:spacing w:after="0" w:line="292" w:lineRule="auto"/>
        <w:rPr>
          <w:sz w:val="20"/>
          <w:szCs w:val="20"/>
          <w:color w:val="auto"/>
        </w:rPr>
      </w:pPr>
      <w:r>
        <w:rPr>
          <w:rFonts w:ascii="Arial" w:cs="Arial" w:eastAsia="Arial" w:hAnsi="Arial"/>
          <w:sz w:val="17"/>
          <w:szCs w:val="17"/>
          <w:color w:val="auto"/>
        </w:rPr>
        <w:t>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74" w:lineRule="exact"/>
        <w:rPr>
          <w:sz w:val="20"/>
          <w:szCs w:val="20"/>
          <w:color w:val="auto"/>
        </w:rPr>
      </w:pPr>
    </w:p>
    <w:p>
      <w:pPr>
        <w:ind w:right="40" w:firstLine="1018"/>
        <w:spacing w:after="0" w:line="271"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91"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for a drug may not lead to a faster development or regulatory review or approval process, and it would not increase the likelihood that the drug will receive marketing approval.</w:t>
      </w:r>
    </w:p>
    <w:p>
      <w:pPr>
        <w:spacing w:after="0" w:line="170" w:lineRule="exact"/>
        <w:rPr>
          <w:sz w:val="20"/>
          <w:szCs w:val="20"/>
          <w:color w:val="auto"/>
        </w:rPr>
      </w:pPr>
    </w:p>
    <w:p>
      <w:pPr>
        <w:ind w:right="80" w:firstLine="1018"/>
        <w:spacing w:after="0" w:line="288" w:lineRule="auto"/>
        <w:rPr>
          <w:sz w:val="20"/>
          <w:szCs w:val="20"/>
          <w:color w:val="auto"/>
        </w:rPr>
      </w:pPr>
      <w:r>
        <w:rPr>
          <w:rFonts w:ascii="Arial" w:cs="Arial" w:eastAsia="Arial" w:hAnsi="Arial"/>
          <w:sz w:val="17"/>
          <w:szCs w:val="17"/>
          <w:color w:val="auto"/>
        </w:rPr>
        <w:t>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w:t>
      </w:r>
    </w:p>
    <w:p>
      <w:pPr>
        <w:spacing w:after="0" w:line="181" w:lineRule="exact"/>
        <w:rPr>
          <w:sz w:val="20"/>
          <w:szCs w:val="20"/>
          <w:color w:val="auto"/>
        </w:rPr>
      </w:pPr>
    </w:p>
    <w:p>
      <w:pPr>
        <w:ind w:right="120" w:firstLine="1018"/>
        <w:spacing w:after="0" w:line="290"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meets the conditions for qualification, or it may decide that the time period for FDA review or approval will not be shortened.</w:t>
      </w:r>
    </w:p>
    <w:p>
      <w:pPr>
        <w:spacing w:after="0" w:line="176" w:lineRule="exact"/>
        <w:rPr>
          <w:sz w:val="20"/>
          <w:szCs w:val="20"/>
          <w:color w:val="auto"/>
        </w:rPr>
      </w:pPr>
    </w:p>
    <w:p>
      <w:pPr>
        <w:ind w:right="20" w:firstLine="1018"/>
        <w:spacing w:after="0" w:line="306" w:lineRule="auto"/>
        <w:rPr>
          <w:sz w:val="20"/>
          <w:szCs w:val="20"/>
          <w:color w:val="auto"/>
        </w:rPr>
      </w:pPr>
      <w:r>
        <w:rPr>
          <w:rFonts w:ascii="Arial" w:cs="Arial" w:eastAsia="Arial" w:hAnsi="Arial"/>
          <w:sz w:val="16"/>
          <w:szCs w:val="16"/>
          <w:color w:val="auto"/>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candidates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0" w:lineRule="exact"/>
        <w:rPr>
          <w:sz w:val="20"/>
          <w:szCs w:val="20"/>
          <w:color w:val="auto"/>
        </w:rPr>
      </w:pPr>
    </w:p>
    <w:p>
      <w:pPr>
        <w:ind w:right="160"/>
        <w:spacing w:after="0" w:line="324"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7" w:lineRule="exact"/>
        <w:rPr>
          <w:sz w:val="20"/>
          <w:szCs w:val="20"/>
          <w:color w:val="auto"/>
        </w:rPr>
      </w:pPr>
    </w:p>
    <w:p>
      <w:pPr>
        <w:ind w:firstLine="1018"/>
        <w:spacing w:after="0" w:line="281" w:lineRule="auto"/>
        <w:rPr>
          <w:sz w:val="20"/>
          <w:szCs w:val="20"/>
          <w:color w:val="auto"/>
        </w:rPr>
      </w:pPr>
      <w:r>
        <w:rPr>
          <w:rFonts w:ascii="Arial" w:cs="Arial" w:eastAsia="Arial" w:hAnsi="Arial"/>
          <w:sz w:val="17"/>
          <w:szCs w:val="17"/>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ind w:right="20"/>
        <w:spacing w:after="0" w:line="287" w:lineRule="auto"/>
        <w:rPr>
          <w:sz w:val="20"/>
          <w:szCs w:val="20"/>
          <w:color w:val="auto"/>
        </w:rPr>
      </w:pPr>
      <w:r>
        <w:rPr>
          <w:rFonts w:ascii="Arial" w:cs="Arial" w:eastAsia="Arial" w:hAnsi="Arial"/>
          <w:sz w:val="17"/>
          <w:szCs w:val="17"/>
          <w:color w:val="auto"/>
        </w:rPr>
        <w:t>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i w:val="1"/>
          <w:iCs w:val="1"/>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185" w:lineRule="exact"/>
        <w:rPr>
          <w:sz w:val="20"/>
          <w:szCs w:val="20"/>
          <w:color w:val="auto"/>
        </w:rPr>
      </w:pPr>
    </w:p>
    <w:p>
      <w:pPr>
        <w:ind w:right="60" w:firstLine="1018"/>
        <w:spacing w:after="0" w:line="286" w:lineRule="auto"/>
        <w:rPr>
          <w:sz w:val="20"/>
          <w:szCs w:val="20"/>
          <w:color w:val="auto"/>
        </w:rPr>
      </w:pPr>
      <w:r>
        <w:rPr>
          <w:rFonts w:ascii="Arial" w:cs="Arial" w:eastAsia="Arial" w:hAnsi="Arial"/>
          <w:sz w:val="17"/>
          <w:szCs w:val="17"/>
          <w:color w:val="auto"/>
        </w:rPr>
        <w:t>We and our collaboration partners are developing product candidates based on novel technologies, and we intend to work closely with our collaboration partners to understand and deliver the requisite demonstration of safety and efficacy that the FDA and comparable foreign regulatory authorities may seek for the approval of our product candidates, which comprise a biologic within the RaniPill capsule. It is possible that the regulatory approval process may take significant time and resources and require deliverables from independent third parties not under our control. We anticipate that our marketing applications to the FDA will have to be submitted as 351(a) BLAs. For some of our product candidates, the regulatory approval path and requirements may not be clear or may change, which could add significant delay and expense. For example, although we have engaged in pre-submission meetings with FDA’s CDRH regarding our planned evaluation of the RaniPill platform under an IDE, we have not yet engaged in formal interactions with CDER or CBER to obtain FDA feedback on the clinical trials that will be necessary to support BLA submissions for any of our product candidates. Delays or failure to obtain regulatory approval of any of the products that we or our collaboration partners develop using our novel technologies would adversely affect our business.</w:t>
      </w:r>
    </w:p>
    <w:p>
      <w:pPr>
        <w:spacing w:after="0" w:line="182" w:lineRule="exact"/>
        <w:rPr>
          <w:sz w:val="20"/>
          <w:szCs w:val="20"/>
          <w:color w:val="auto"/>
        </w:rPr>
      </w:pPr>
    </w:p>
    <w:p>
      <w:pPr>
        <w:ind w:right="100" w:firstLine="1018"/>
        <w:spacing w:after="0" w:line="314" w:lineRule="auto"/>
        <w:rPr>
          <w:sz w:val="20"/>
          <w:szCs w:val="20"/>
          <w:color w:val="auto"/>
        </w:rPr>
      </w:pPr>
      <w:r>
        <w:rPr>
          <w:rFonts w:ascii="Arial" w:cs="Arial" w:eastAsia="Arial" w:hAnsi="Arial"/>
          <w:sz w:val="16"/>
          <w:szCs w:val="16"/>
          <w:color w:val="auto"/>
        </w:rPr>
        <w:t>In addition, we are in the early stages of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clinical data on our product candidates to indicate whether they are safe or effective for long-term use in humans.</w:t>
      </w:r>
    </w:p>
    <w:p>
      <w:pPr>
        <w:spacing w:after="0" w:line="239" w:lineRule="exact"/>
        <w:rPr>
          <w:sz w:val="20"/>
          <w:szCs w:val="20"/>
          <w:color w:val="auto"/>
        </w:rPr>
      </w:pPr>
    </w:p>
    <w:p>
      <w:pPr>
        <w:ind w:right="80" w:firstLine="1018"/>
        <w:spacing w:after="0" w:line="292" w:lineRule="auto"/>
        <w:rPr>
          <w:sz w:val="20"/>
          <w:szCs w:val="20"/>
          <w:color w:val="auto"/>
        </w:rPr>
      </w:pPr>
      <w:r>
        <w:rPr>
          <w:rFonts w:ascii="Arial" w:cs="Arial" w:eastAsia="Arial" w:hAnsi="Arial"/>
          <w:sz w:val="17"/>
          <w:szCs w:val="17"/>
          <w:color w:val="auto"/>
        </w:rPr>
        <w:t>We have limited clinical data on our product candidates and we have not conducted any studies to evaluate whether they are safe or effective for long-term use in humans, including to evaluate the safety of any degradation products that may result after the drug is injected into the intestinal wall. In our Phase 1 clinical trial 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w:t>
      </w:r>
    </w:p>
    <w:p>
      <w:pPr>
        <w:spacing w:after="0" w:line="174" w:lineRule="exact"/>
        <w:rPr>
          <w:sz w:val="20"/>
          <w:szCs w:val="20"/>
          <w:color w:val="auto"/>
        </w:rPr>
      </w:pPr>
    </w:p>
    <w:p>
      <w:pPr>
        <w:jc w:val="both"/>
        <w:ind w:right="280" w:firstLine="1018"/>
        <w:spacing w:after="0" w:line="279" w:lineRule="auto"/>
        <w:rPr>
          <w:sz w:val="20"/>
          <w:szCs w:val="20"/>
          <w:color w:val="auto"/>
        </w:rPr>
      </w:pPr>
      <w:r>
        <w:rPr>
          <w:rFonts w:ascii="Arial" w:cs="Arial" w:eastAsia="Arial" w:hAnsi="Arial"/>
          <w:sz w:val="18"/>
          <w:szCs w:val="18"/>
          <w:color w:val="auto"/>
        </w:rPr>
        <w:t>If treatment with any of our product candidates in our ongoing or future clinical trials results in concerns about their safety or efficacy, we and our collaboration partners may be unable to successfully develop or commercialize any or all of our product candidates or enter into collaborations with respect to our product candidates.</w:t>
      </w:r>
    </w:p>
    <w:p>
      <w:pPr>
        <w:spacing w:after="0" w:line="183"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70" w:lineRule="exact"/>
        <w:rPr>
          <w:sz w:val="20"/>
          <w:szCs w:val="20"/>
          <w:color w:val="auto"/>
        </w:rPr>
      </w:pPr>
    </w:p>
    <w:p>
      <w:pPr>
        <w:ind w:right="80" w:firstLine="1018"/>
        <w:spacing w:after="0" w:line="299" w:lineRule="auto"/>
        <w:rPr>
          <w:sz w:val="20"/>
          <w:szCs w:val="20"/>
          <w:color w:val="auto"/>
        </w:rPr>
      </w:pPr>
      <w:r>
        <w:rPr>
          <w:rFonts w:ascii="Arial" w:cs="Arial" w:eastAsia="Arial" w:hAnsi="Arial"/>
          <w:sz w:val="16"/>
          <w:szCs w:val="16"/>
          <w:color w:val="auto"/>
        </w:rPr>
        <w:t>We have conducted and may in the future choose to conduct one or more clinical trials outside the United States. For example, we conducted a Phase 1 study of RT-101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regulations ("GCP"); and (iii) the data may be considered valid without the need for an on-site inspection by the FDA, or if the FDA considers such inspection to be necessary, the FDA is able to validate the data</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ind w:right="120"/>
        <w:spacing w:after="0" w:line="287" w:lineRule="auto"/>
        <w:rPr>
          <w:sz w:val="20"/>
          <w:szCs w:val="20"/>
          <w:color w:val="auto"/>
        </w:rPr>
      </w:pPr>
      <w:r>
        <w:rPr>
          <w:rFonts w:ascii="Arial" w:cs="Arial" w:eastAsia="Arial" w:hAnsi="Arial"/>
          <w:sz w:val="17"/>
          <w:szCs w:val="17"/>
          <w:color w:val="auto"/>
        </w:rPr>
        <w:t>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43"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70" w:lineRule="exact"/>
        <w:rPr>
          <w:sz w:val="20"/>
          <w:szCs w:val="20"/>
          <w:color w:val="auto"/>
        </w:rPr>
      </w:pPr>
    </w:p>
    <w:p>
      <w:pPr>
        <w:ind w:firstLine="1018"/>
        <w:spacing w:after="0" w:line="329"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48" w:lineRule="exact"/>
        <w:rPr>
          <w:sz w:val="20"/>
          <w:szCs w:val="20"/>
          <w:color w:val="auto"/>
        </w:rPr>
      </w:pPr>
    </w:p>
    <w:p>
      <w:pPr>
        <w:ind w:firstLine="1018"/>
        <w:spacing w:after="0" w:line="272" w:lineRule="auto"/>
        <w:rPr>
          <w:sz w:val="20"/>
          <w:szCs w:val="20"/>
          <w:color w:val="auto"/>
        </w:rPr>
      </w:pPr>
      <w:r>
        <w:rPr>
          <w:rFonts w:ascii="Arial" w:cs="Arial" w:eastAsia="Arial" w:hAnsi="Arial"/>
          <w:sz w:val="18"/>
          <w:szCs w:val="18"/>
          <w:color w:val="auto"/>
        </w:rPr>
        <w:t>Manufacturers and manufacturers’ facilities are required to comply with extensive requirements imposed by the FDA and comparable foreign regulatory authorities, including ensuring that quality control and manufacturing procedures conform to cGMP regulations. As such, we and our contract manufacturers, if any, 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pacing w:after="0" w:line="191" w:lineRule="exact"/>
        <w:rPr>
          <w:sz w:val="20"/>
          <w:szCs w:val="20"/>
          <w:color w:val="auto"/>
        </w:rPr>
      </w:pPr>
    </w:p>
    <w:p>
      <w:pPr>
        <w:ind w:right="20" w:firstLine="1018"/>
        <w:spacing w:after="0" w:line="305"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69" w:lineRule="exact"/>
        <w:rPr>
          <w:sz w:val="20"/>
          <w:szCs w:val="20"/>
          <w:color w:val="auto"/>
        </w:rPr>
      </w:pPr>
    </w:p>
    <w:p>
      <w:pPr>
        <w:ind w:right="280" w:firstLine="1018"/>
        <w:spacing w:after="0" w:line="296" w:lineRule="auto"/>
        <w:rPr>
          <w:sz w:val="20"/>
          <w:szCs w:val="20"/>
          <w:color w:val="auto"/>
        </w:rPr>
      </w:pPr>
      <w:r>
        <w:rPr>
          <w:rFonts w:ascii="Arial" w:cs="Arial" w:eastAsia="Arial" w:hAnsi="Arial"/>
          <w:sz w:val="17"/>
          <w:szCs w:val="17"/>
          <w:color w:val="auto"/>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issue warning letters that would result in adverse publicity;</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impose civil or criminal penalties;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suspend or withdraw regulatory approvals;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suspend any of our ongoing clinical trials;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refuse to approve pending applications or supplements to approved applications submitted by us;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ind w:left="1360"/>
        <w:spacing w:after="0"/>
        <w:rPr>
          <w:sz w:val="20"/>
          <w:szCs w:val="20"/>
          <w:color w:val="auto"/>
        </w:rPr>
      </w:pPr>
      <w:r>
        <w:rPr>
          <w:rFonts w:ascii="Arial" w:cs="Arial" w:eastAsia="Arial" w:hAnsi="Arial"/>
          <w:sz w:val="18"/>
          <w:szCs w:val="18"/>
          <w:color w:val="auto"/>
        </w:rPr>
        <w:t>impose restrictions on our operations, including closing our contract manufacturers’ facilities;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seize or detain products; or</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require a product recall.</w:t>
      </w:r>
    </w:p>
    <w:p>
      <w:pPr>
        <w:spacing w:after="0" w:line="239" w:lineRule="exact"/>
        <w:rPr>
          <w:sz w:val="20"/>
          <w:szCs w:val="20"/>
          <w:color w:val="auto"/>
        </w:rPr>
      </w:pPr>
    </w:p>
    <w:p>
      <w:pPr>
        <w:ind w:right="200" w:firstLine="1018"/>
        <w:spacing w:after="0" w:line="27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31"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b w:val="1"/>
          <w:bCs w:val="1"/>
          <w:i w:val="1"/>
          <w:iCs w:val="1"/>
          <w:color w:val="auto"/>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p>
    <w:p>
      <w:pPr>
        <w:spacing w:after="0" w:line="183" w:lineRule="exact"/>
        <w:rPr>
          <w:sz w:val="20"/>
          <w:szCs w:val="20"/>
          <w:color w:val="auto"/>
        </w:rPr>
      </w:pPr>
    </w:p>
    <w:p>
      <w:pPr>
        <w:ind w:right="120" w:firstLine="1018"/>
        <w:spacing w:after="0" w:line="275"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w:t>
      </w:r>
    </w:p>
    <w:p>
      <w:pPr>
        <w:spacing w:after="0" w:line="185" w:lineRule="exact"/>
        <w:rPr>
          <w:sz w:val="20"/>
          <w:szCs w:val="20"/>
          <w:color w:val="auto"/>
        </w:rPr>
      </w:pPr>
    </w:p>
    <w:p>
      <w:pPr>
        <w:ind w:left="1360" w:right="120"/>
        <w:spacing w:after="0" w:line="293" w:lineRule="auto"/>
        <w:rPr>
          <w:sz w:val="20"/>
          <w:szCs w:val="20"/>
          <w:color w:val="auto"/>
        </w:rPr>
      </w:pPr>
      <w:r>
        <w:rPr>
          <w:rFonts w:ascii="Arial" w:cs="Arial" w:eastAsia="Arial" w:hAnsi="Arial"/>
          <w:sz w:val="18"/>
          <w:szCs w:val="18"/>
          <w:color w:val="auto"/>
        </w:rPr>
        <w:t>the potential or perceived advantages or disadvantages of the oral delivery of biologics as compared to subcutaneous or IV injections of biologics;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efficacy of our product candidates compared to alternative treatments;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shelf-life of our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effectiveness of sales and marketing efforts;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cost of treatment in relation to alternative treatments;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offer our product candidates for sale at competitive prices;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willingness of the target patient population to try the RaniPill capsule;</w:t>
      </w:r>
    </w:p>
    <w:p>
      <w:pPr>
        <w:spacing w:after="0" w:line="239" w:lineRule="exact"/>
        <w:rPr>
          <w:sz w:val="20"/>
          <w:szCs w:val="20"/>
          <w:color w:val="auto"/>
        </w:rPr>
      </w:pPr>
    </w:p>
    <w:p>
      <w:pPr>
        <w:ind w:left="1360" w:right="20"/>
        <w:spacing w:after="0" w:line="293" w:lineRule="auto"/>
        <w:rPr>
          <w:sz w:val="20"/>
          <w:szCs w:val="20"/>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willingness of physicians to prescribe use of the RaniPill capsule and to prescribe biologics that utilize the RaniPill capsule;</w:t>
      </w:r>
    </w:p>
    <w:p>
      <w:pPr>
        <w:spacing w:after="0" w:line="250" w:lineRule="exact"/>
        <w:rPr>
          <w:sz w:val="20"/>
          <w:szCs w:val="20"/>
          <w:color w:val="auto"/>
        </w:rPr>
      </w:pPr>
    </w:p>
    <w:p>
      <w:pPr>
        <w:ind w:left="1360" w:right="160"/>
        <w:spacing w:after="0" w:line="293" w:lineRule="auto"/>
        <w:rPr>
          <w:sz w:val="20"/>
          <w:szCs w:val="20"/>
          <w:color w:val="auto"/>
        </w:rPr>
      </w:pPr>
      <w:r>
        <w:rPr>
          <w:rFonts w:ascii="Arial" w:cs="Arial" w:eastAsia="Arial" w:hAnsi="Arial"/>
          <w:sz w:val="18"/>
          <w:szCs w:val="18"/>
          <w:color w:val="auto"/>
        </w:rPr>
        <w:t>the willingness of the medical community to offer patients our product candidates in addition to or in the place of current subcutaneous and IV injectable therapies;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strength of marketing and distribution support;</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availability of government and third-party coverage and adequate reimbursement;</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manufacture sufficient supply to meet patients’ demand;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prevalence and severity of any side effects;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any restrictions on the use of our product candidates together with other medications or treatments.</w:t>
      </w:r>
    </w:p>
    <w:p>
      <w:pPr>
        <w:spacing w:after="0" w:line="239" w:lineRule="exact"/>
        <w:rPr>
          <w:sz w:val="20"/>
          <w:szCs w:val="20"/>
          <w:color w:val="auto"/>
        </w:rPr>
      </w:pPr>
    </w:p>
    <w:p>
      <w:pPr>
        <w:ind w:right="120" w:firstLine="1018"/>
        <w:spacing w:after="0" w:line="279" w:lineRule="auto"/>
        <w:rPr>
          <w:sz w:val="20"/>
          <w:szCs w:val="20"/>
          <w:color w:val="auto"/>
        </w:rPr>
      </w:pPr>
      <w:r>
        <w:rPr>
          <w:rFonts w:ascii="Arial" w:cs="Arial" w:eastAsia="Arial" w:hAnsi="Arial"/>
          <w:sz w:val="18"/>
          <w:szCs w:val="18"/>
          <w:color w:val="auto"/>
        </w:rPr>
        <w:t>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ind w:right="20"/>
        <w:spacing w:after="0" w:line="293" w:lineRule="auto"/>
        <w:rPr>
          <w:sz w:val="20"/>
          <w:szCs w:val="20"/>
          <w:color w:val="auto"/>
        </w:rPr>
      </w:pPr>
      <w:r>
        <w:rPr>
          <w:rFonts w:ascii="Arial" w:cs="Arial" w:eastAsia="Arial" w:hAnsi="Arial"/>
          <w:sz w:val="18"/>
          <w:szCs w:val="18"/>
          <w:b w:val="1"/>
          <w:bCs w:val="1"/>
          <w:i w:val="1"/>
          <w:iCs w:val="1"/>
          <w:color w:val="auto"/>
        </w:rPr>
        <w:t>The FDA and comparable foreign regulatory authorities actively enforce the laws and regulations prohibiting the promotion of off-label uses. If we are found or alleged to have improperly promoted off-label uses, we may become subject to significant liability.</w:t>
      </w:r>
    </w:p>
    <w:p>
      <w:pPr>
        <w:spacing w:after="0" w:line="170" w:lineRule="exact"/>
        <w:rPr>
          <w:sz w:val="20"/>
          <w:szCs w:val="20"/>
          <w:color w:val="auto"/>
        </w:rPr>
      </w:pPr>
    </w:p>
    <w:p>
      <w:pPr>
        <w:ind w:right="40" w:firstLine="1018"/>
        <w:spacing w:after="0" w:line="285" w:lineRule="auto"/>
        <w:rPr>
          <w:sz w:val="20"/>
          <w:szCs w:val="20"/>
          <w:color w:val="auto"/>
        </w:rPr>
      </w:pPr>
      <w:r>
        <w:rPr>
          <w:rFonts w:ascii="Arial" w:cs="Arial" w:eastAsia="Arial" w:hAnsi="Arial"/>
          <w:sz w:val="17"/>
          <w:szCs w:val="17"/>
          <w:color w:val="auto"/>
        </w:rPr>
        <w:t>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w:t>
      </w:r>
    </w:p>
    <w:p>
      <w:pPr>
        <w:spacing w:after="0" w:line="185"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 candidates could limit our ability to generate revenue.</w:t>
      </w:r>
    </w:p>
    <w:p>
      <w:pPr>
        <w:spacing w:after="0" w:line="170" w:lineRule="exact"/>
        <w:rPr>
          <w:sz w:val="20"/>
          <w:szCs w:val="20"/>
          <w:color w:val="auto"/>
        </w:rPr>
      </w:pPr>
    </w:p>
    <w:p>
      <w:pPr>
        <w:ind w:firstLine="1018"/>
        <w:spacing w:after="0" w:line="288" w:lineRule="auto"/>
        <w:rPr>
          <w:sz w:val="20"/>
          <w:szCs w:val="20"/>
          <w:color w:val="auto"/>
        </w:rPr>
      </w:pPr>
      <w:r>
        <w:rPr>
          <w:rFonts w:ascii="Arial" w:cs="Arial" w:eastAsia="Arial" w:hAnsi="Arial"/>
          <w:sz w:val="17"/>
          <w:szCs w:val="17"/>
          <w:color w:val="auto"/>
        </w:rPr>
        <w:t>The availability and extent of reimbursement by governmental and private payors is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covered benefit under its health plan;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safe, effective and medically necessary;</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appropriate for the specific patient;</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cost-effective;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neither experimental nor investigational.</w:t>
      </w:r>
    </w:p>
    <w:p>
      <w:pPr>
        <w:spacing w:after="0" w:line="239" w:lineRule="exact"/>
        <w:rPr>
          <w:sz w:val="20"/>
          <w:szCs w:val="20"/>
          <w:color w:val="auto"/>
        </w:rPr>
      </w:pPr>
    </w:p>
    <w:p>
      <w:pPr>
        <w:ind w:right="100" w:firstLine="1018"/>
        <w:spacing w:after="0" w:line="314"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CMS, an agency within the United States Department of Health and Human Services.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w:t>
      </w:r>
    </w:p>
    <w:p>
      <w:pPr>
        <w:spacing w:after="0" w:line="335" w:lineRule="exact"/>
        <w:rPr>
          <w:sz w:val="20"/>
          <w:szCs w:val="20"/>
          <w:color w:val="auto"/>
        </w:rPr>
      </w:pPr>
    </w:p>
    <w:p>
      <w:pPr>
        <w:ind w:right="20" w:firstLine="1018"/>
        <w:spacing w:after="0" w:line="281"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ind w:right="160"/>
        <w:spacing w:after="0" w:line="293" w:lineRule="auto"/>
        <w:rPr>
          <w:sz w:val="20"/>
          <w:szCs w:val="20"/>
          <w:color w:val="auto"/>
        </w:rPr>
      </w:pPr>
      <w:r>
        <w:rPr>
          <w:rFonts w:ascii="Arial" w:cs="Arial" w:eastAsia="Arial" w:hAnsi="Arial"/>
          <w:sz w:val="18"/>
          <w:szCs w:val="18"/>
          <w:color w:val="auto"/>
        </w:rPr>
        <w:t>States, the reimbursement for our products may be reduced compared with the United States and may be insufficient to generate commercially reasonable revenues and profits.</w:t>
      </w:r>
    </w:p>
    <w:p>
      <w:pPr>
        <w:spacing w:after="0" w:line="170" w:lineRule="exact"/>
        <w:rPr>
          <w:sz w:val="20"/>
          <w:szCs w:val="20"/>
          <w:color w:val="auto"/>
        </w:rPr>
      </w:pPr>
    </w:p>
    <w:p>
      <w:pPr>
        <w:ind w:right="280" w:firstLine="1018"/>
        <w:spacing w:after="0" w:line="311"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63" w:lineRule="exact"/>
        <w:rPr>
          <w:sz w:val="20"/>
          <w:szCs w:val="20"/>
          <w:color w:val="auto"/>
        </w:rPr>
      </w:pPr>
    </w:p>
    <w:p>
      <w:pPr>
        <w:jc w:val="both"/>
        <w:ind w:right="220"/>
        <w:spacing w:after="0" w:line="293" w:lineRule="auto"/>
        <w:rPr>
          <w:sz w:val="20"/>
          <w:szCs w:val="20"/>
          <w:color w:val="auto"/>
        </w:rPr>
      </w:pPr>
      <w:r>
        <w:rPr>
          <w:rFonts w:ascii="Arial" w:cs="Arial" w:eastAsia="Arial" w:hAnsi="Arial"/>
          <w:sz w:val="18"/>
          <w:szCs w:val="18"/>
          <w:b w:val="1"/>
          <w:bCs w:val="1"/>
          <w:i w:val="1"/>
          <w:iCs w:val="1"/>
          <w:color w:val="auto"/>
        </w:rPr>
        <w:t>We face significant competition from other biotherapeutics and pharmaceutical companies, and our operating results will suffer if we fail to compete effectively.</w:t>
      </w:r>
    </w:p>
    <w:p>
      <w:pPr>
        <w:spacing w:after="0" w:line="170" w:lineRule="exact"/>
        <w:rPr>
          <w:sz w:val="20"/>
          <w:szCs w:val="20"/>
          <w:color w:val="auto"/>
        </w:rPr>
      </w:pPr>
    </w:p>
    <w:p>
      <w:pPr>
        <w:jc w:val="both"/>
        <w:ind w:right="240" w:firstLine="1018"/>
        <w:spacing w:after="0" w:line="279" w:lineRule="auto"/>
        <w:rPr>
          <w:sz w:val="20"/>
          <w:szCs w:val="20"/>
          <w:color w:val="auto"/>
        </w:rPr>
      </w:pPr>
      <w:r>
        <w:rPr>
          <w:rFonts w:ascii="Arial" w:cs="Arial" w:eastAsia="Arial" w:hAnsi="Arial"/>
          <w:sz w:val="18"/>
          <w:szCs w:val="18"/>
          <w:color w:val="auto"/>
        </w:rPr>
        <w:t>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w:t>
      </w:r>
    </w:p>
    <w:p>
      <w:pPr>
        <w:spacing w:after="0" w:line="183" w:lineRule="exact"/>
        <w:rPr>
          <w:sz w:val="20"/>
          <w:szCs w:val="20"/>
          <w:color w:val="auto"/>
        </w:rPr>
      </w:pPr>
    </w:p>
    <w:p>
      <w:pPr>
        <w:ind w:right="180" w:firstLine="1018"/>
        <w:spacing w:after="0" w:line="272"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Mergers and acquisitions in our industry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w:t>
      </w:r>
    </w:p>
    <w:p>
      <w:pPr>
        <w:spacing w:after="0" w:line="191" w:lineRule="exact"/>
        <w:rPr>
          <w:sz w:val="20"/>
          <w:szCs w:val="20"/>
          <w:color w:val="auto"/>
        </w:rPr>
      </w:pPr>
    </w:p>
    <w:p>
      <w:pPr>
        <w:ind w:right="160" w:firstLine="1018"/>
        <w:spacing w:after="0" w:line="314" w:lineRule="auto"/>
        <w:rPr>
          <w:sz w:val="20"/>
          <w:szCs w:val="20"/>
          <w:color w:val="auto"/>
        </w:rPr>
      </w:pPr>
      <w:r>
        <w:rPr>
          <w:rFonts w:ascii="Arial" w:cs="Arial" w:eastAsia="Arial" w:hAnsi="Arial"/>
          <w:sz w:val="16"/>
          <w:szCs w:val="16"/>
          <w:color w:val="auto"/>
        </w:rPr>
        <w:t>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Unforeseen technological advances to those of our technologies may be developed by these competitors. If approved, our product candidates are expected to face competition from commercially available drugs as well as drugs and devices that are in the development pipelines of our competitors.</w:t>
      </w:r>
    </w:p>
    <w:p>
      <w:pPr>
        <w:spacing w:after="0" w:line="160" w:lineRule="exact"/>
        <w:rPr>
          <w:sz w:val="20"/>
          <w:szCs w:val="20"/>
          <w:color w:val="auto"/>
        </w:rPr>
      </w:pPr>
    </w:p>
    <w:p>
      <w:pPr>
        <w:ind w:right="240" w:firstLine="1018"/>
        <w:spacing w:after="0" w:line="292" w:lineRule="auto"/>
        <w:rPr>
          <w:sz w:val="20"/>
          <w:szCs w:val="20"/>
          <w:color w:val="auto"/>
        </w:rPr>
      </w:pPr>
      <w:r>
        <w:rPr>
          <w:rFonts w:ascii="Arial" w:cs="Arial" w:eastAsia="Arial" w:hAnsi="Arial"/>
          <w:sz w:val="17"/>
          <w:szCs w:val="17"/>
          <w:color w:val="auto"/>
        </w:rPr>
        <w:t>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 blocking intellectual property to which we do not have a license, there would be a material adverse impact on the future prospects for our product candidates and business.</w:t>
      </w:r>
    </w:p>
    <w:p>
      <w:pPr>
        <w:spacing w:after="0" w:line="174"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We face competition primarily from current and future (generic and biosimilars) manufacturers of subcutaneous and IV injectable versions of our product candidates, such as AbbVie Inc., Eli Lilly and Company, Novartis AG, Roche Holdings AG and the SOMA and LUMI from the Novo Nordisk-MIT collaboration. Additionally, we face competition from companies that are pursuing the development and manufacture of oral biologics, including Oramed Pharmaceuticals, Inc., Entera Bio Ltd., Applied Molecular Transport Inc., Protagonist Therapeutics, Inc., Chiasma, Inc., and Novo Nordisk A/S. For example, Chiasma received FDA approval for an oral octreotide product, MYCAPSSA, in June 2020. We also face competition from gene and cell therapy companies. Further, our product candidates aim to treat chronic diseases. As a result, we also compete with curative therapies on the basis that they cure the chronic disease we are intending to treat.</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the efficacy and safety of our product candidates, in particular compared to marketed products and products in late-stage development;</w:t>
      </w:r>
    </w:p>
    <w:p>
      <w:pPr>
        <w:spacing w:after="0" w:line="26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time it takes for our product candidates to complete clinical development and receive regulatory approval, if at all;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ability to commercialize and market any of our product candidates that receive regulatory approval;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price of our products, including in comparison to branded or generic competitors;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ind w:left="1360" w:right="140"/>
        <w:spacing w:after="0" w:line="293" w:lineRule="auto"/>
        <w:rPr>
          <w:sz w:val="20"/>
          <w:szCs w:val="20"/>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ability to protect our intellectual property rights related to our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ability to avoid infringing on the intellectual property rights of others;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ability to manufacture and sell commercial quantities of any of our product candidates that receive regulatory approval; and</w:t>
      </w:r>
    </w:p>
    <w:p>
      <w:pPr>
        <w:spacing w:after="0" w:line="250" w:lineRule="exact"/>
        <w:rPr>
          <w:sz w:val="20"/>
          <w:szCs w:val="20"/>
          <w:color w:val="auto"/>
        </w:rPr>
      </w:pPr>
    </w:p>
    <w:p>
      <w:pPr>
        <w:ind w:left="1360" w:right="220"/>
        <w:spacing w:after="0" w:line="293" w:lineRule="auto"/>
        <w:rPr>
          <w:sz w:val="20"/>
          <w:szCs w:val="20"/>
          <w:color w:val="auto"/>
        </w:rPr>
      </w:pPr>
      <w:r>
        <w:rPr>
          <w:rFonts w:ascii="Arial" w:cs="Arial" w:eastAsia="Arial" w:hAnsi="Arial"/>
          <w:sz w:val="18"/>
          <w:szCs w:val="18"/>
          <w:color w:val="auto"/>
        </w:rPr>
        <w:t>acceptance of any of our product candidates, if approved, by payors, patients, and physicians and other healthcare providers, including perception of the safety and efficacy of the oral delivery of biologics.</w:t>
      </w:r>
    </w:p>
    <w:p>
      <w:pPr>
        <w:spacing w:after="0" w:line="170" w:lineRule="exact"/>
        <w:rPr>
          <w:sz w:val="20"/>
          <w:szCs w:val="20"/>
          <w:color w:val="auto"/>
        </w:rPr>
      </w:pPr>
    </w:p>
    <w:p>
      <w:pPr>
        <w:ind w:right="60" w:firstLine="1018"/>
        <w:spacing w:after="0" w:line="275" w:lineRule="auto"/>
        <w:rPr>
          <w:sz w:val="20"/>
          <w:szCs w:val="20"/>
          <w:color w:val="auto"/>
        </w:rPr>
      </w:pPr>
      <w:r>
        <w:rPr>
          <w:rFonts w:ascii="Arial" w:cs="Arial" w:eastAsia="Arial" w:hAnsi="Arial"/>
          <w:sz w:val="18"/>
          <w:szCs w:val="18"/>
          <w:color w:val="auto"/>
        </w:rPr>
        <w:t>Because our research approach depends on our proprietary RaniPill platform, it may be difficult for us to continue to successfully compete in the face of rapid changes in technology. If we fail to continue to advance the RaniPill platform, technological change may impair our ability to compete effectively and technological advances or products developed by our competitors may render our technologies or product candidates obsolete, less competitive or not economical.</w:t>
      </w:r>
    </w:p>
    <w:p>
      <w:pPr>
        <w:spacing w:after="0" w:line="185"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b w:val="1"/>
          <w:bCs w:val="1"/>
          <w:i w:val="1"/>
          <w:iCs w:val="1"/>
          <w:color w:val="auto"/>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p>
    <w:p>
      <w:pPr>
        <w:spacing w:after="0" w:line="148" w:lineRule="exact"/>
        <w:rPr>
          <w:sz w:val="20"/>
          <w:szCs w:val="20"/>
          <w:color w:val="auto"/>
        </w:rPr>
      </w:pPr>
    </w:p>
    <w:p>
      <w:pPr>
        <w:ind w:firstLine="1018"/>
        <w:spacing w:after="0" w:line="305" w:lineRule="auto"/>
        <w:rPr>
          <w:sz w:val="20"/>
          <w:szCs w:val="20"/>
          <w:color w:val="auto"/>
        </w:rPr>
      </w:pPr>
      <w:r>
        <w:rPr>
          <w:rFonts w:ascii="Arial" w:cs="Arial" w:eastAsia="Arial" w:hAnsi="Arial"/>
          <w:sz w:val="16"/>
          <w:szCs w:val="16"/>
          <w:color w:val="auto"/>
        </w:rPr>
        <w:t>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 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w:t>
      </w:r>
    </w:p>
    <w:p>
      <w:pPr>
        <w:spacing w:after="0" w:line="169"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commercial revenue may be adversely affected and our business may suffer.</w:t>
      </w:r>
    </w:p>
    <w:p>
      <w:pPr>
        <w:spacing w:after="0" w:line="170" w:lineRule="exact"/>
        <w:rPr>
          <w:sz w:val="20"/>
          <w:szCs w:val="20"/>
          <w:color w:val="auto"/>
        </w:rPr>
      </w:pPr>
    </w:p>
    <w:p>
      <w:pPr>
        <w:ind w:right="60" w:firstLine="1018"/>
        <w:spacing w:after="0" w:line="299" w:lineRule="auto"/>
        <w:rPr>
          <w:sz w:val="20"/>
          <w:szCs w:val="20"/>
          <w:color w:val="auto"/>
        </w:rPr>
      </w:pPr>
      <w:r>
        <w:rPr>
          <w:rFonts w:ascii="Arial" w:cs="Arial" w:eastAsia="Arial" w:hAnsi="Arial"/>
          <w:sz w:val="16"/>
          <w:szCs w:val="16"/>
          <w:color w:val="auto"/>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RT-101 for the treatment of acromegaly, for which we estimate the patient population is approximately 25,000 people in the United States as of November 2016, RT-102, an oral administration of parathyroid hormone (PTH) for the treatment of osteoporosis, for which we estimate the patient population is approximately 10.0 million in the United States as of 2018, and RT-105, an oral administration of TNF-alfa antibody for the treatment of psoriatic arthritis, for which we estimate the patient population is approximately 2.4 million in the United States as of March 2014.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Additional time may be required to obtain regulatory approval for our product candidates because they are combination products.</w:t>
      </w:r>
    </w:p>
    <w:p>
      <w:pPr>
        <w:spacing w:after="0" w:line="239" w:lineRule="exact"/>
        <w:rPr>
          <w:sz w:val="20"/>
          <w:szCs w:val="20"/>
          <w:color w:val="auto"/>
        </w:rPr>
      </w:pPr>
    </w:p>
    <w:p>
      <w:pPr>
        <w:ind w:firstLine="1018"/>
        <w:spacing w:after="0" w:line="296" w:lineRule="auto"/>
        <w:rPr>
          <w:sz w:val="20"/>
          <w:szCs w:val="20"/>
          <w:color w:val="auto"/>
        </w:rPr>
      </w:pPr>
      <w:r>
        <w:rPr>
          <w:rFonts w:ascii="Arial" w:cs="Arial" w:eastAsia="Arial" w:hAnsi="Arial"/>
          <w:sz w:val="17"/>
          <w:szCs w:val="17"/>
          <w:color w:val="auto"/>
        </w:rPr>
        <w:t>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spacing w:after="0" w:line="116"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b w:val="1"/>
          <w:bCs w:val="1"/>
          <w:i w:val="1"/>
          <w:iCs w:val="1"/>
          <w:color w:val="auto"/>
        </w:rPr>
        <w:t>Even if we obtain and maintain approval for any of our product candidates from the FDA, we may never obtain approval for our product candidates outside of the United States, which would limit our market opportunities and adversely affect our business.</w:t>
      </w:r>
    </w:p>
    <w:p>
      <w:pPr>
        <w:spacing w:after="0" w:line="170" w:lineRule="exact"/>
        <w:rPr>
          <w:sz w:val="20"/>
          <w:szCs w:val="20"/>
          <w:color w:val="auto"/>
        </w:rPr>
      </w:pPr>
    </w:p>
    <w:p>
      <w:pPr>
        <w:ind w:right="100" w:firstLine="1018"/>
        <w:spacing w:after="0" w:line="302" w:lineRule="auto"/>
        <w:rPr>
          <w:sz w:val="20"/>
          <w:szCs w:val="20"/>
          <w:color w:val="auto"/>
        </w:rPr>
      </w:pPr>
      <w:r>
        <w:rPr>
          <w:rFonts w:ascii="Arial" w:cs="Arial" w:eastAsia="Arial" w:hAnsi="Arial"/>
          <w:sz w:val="16"/>
          <w:szCs w:val="16"/>
          <w:color w:val="auto"/>
        </w:rPr>
        <w:t>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43" w:lineRule="exact"/>
        <w:rPr>
          <w:sz w:val="20"/>
          <w:szCs w:val="20"/>
          <w:color w:val="auto"/>
        </w:rPr>
      </w:pPr>
    </w:p>
    <w:p>
      <w:pPr>
        <w:ind w:right="80"/>
        <w:spacing w:after="0" w:line="359" w:lineRule="auto"/>
        <w:rPr>
          <w:sz w:val="20"/>
          <w:szCs w:val="20"/>
          <w:color w:val="auto"/>
        </w:rPr>
      </w:pPr>
      <w:r>
        <w:rPr>
          <w:rFonts w:ascii="Arial" w:cs="Arial" w:eastAsia="Arial" w:hAnsi="Arial"/>
          <w:sz w:val="15"/>
          <w:szCs w:val="15"/>
          <w:b w:val="1"/>
          <w:bCs w:val="1"/>
          <w:i w:val="1"/>
          <w:iCs w:val="1"/>
          <w:color w:val="auto"/>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spacing w:after="0" w:line="130" w:lineRule="exact"/>
        <w:rPr>
          <w:sz w:val="20"/>
          <w:szCs w:val="20"/>
          <w:color w:val="auto"/>
        </w:rPr>
      </w:pPr>
    </w:p>
    <w:p>
      <w:pPr>
        <w:ind w:right="20" w:firstLine="1018"/>
        <w:spacing w:after="0" w:line="306" w:lineRule="auto"/>
        <w:rPr>
          <w:sz w:val="20"/>
          <w:szCs w:val="20"/>
          <w:color w:val="auto"/>
        </w:rPr>
      </w:pPr>
      <w:r>
        <w:rPr>
          <w:rFonts w:ascii="Arial" w:cs="Arial" w:eastAsia="Arial" w:hAnsi="Arial"/>
          <w:sz w:val="16"/>
          <w:szCs w:val="16"/>
          <w:color w:val="auto"/>
        </w:rPr>
        <w:t>In the past, we have entered into evaluation agreements with Takeda and certain other pharmaceutical companies concerning the formulation and manufacture of oral versions of Factor VIII and other molecules. We currently have no active evaluation agreements. Future evaluation agreements, and any additional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spacing w:after="0" w:line="346" w:lineRule="exact"/>
        <w:rPr>
          <w:sz w:val="20"/>
          <w:szCs w:val="20"/>
          <w:color w:val="auto"/>
        </w:rPr>
      </w:pPr>
    </w:p>
    <w:p>
      <w:pPr>
        <w:ind w:right="20" w:firstLine="1018"/>
        <w:spacing w:after="0" w:line="266" w:lineRule="auto"/>
        <w:rPr>
          <w:sz w:val="20"/>
          <w:szCs w:val="20"/>
          <w:color w:val="auto"/>
        </w:rPr>
      </w:pPr>
      <w:r>
        <w:rPr>
          <w:rFonts w:ascii="Arial" w:cs="Arial" w:eastAsia="Arial" w:hAnsi="Arial"/>
          <w:sz w:val="18"/>
          <w:szCs w:val="18"/>
          <w:color w:val="auto"/>
        </w:rPr>
        <w:t>We believe our product candidates are biologic-device combination products that we anticipate will be regulated under the biologic regulations of the FDA based on its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Quality System Regulations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ind w:right="60"/>
        <w:spacing w:after="0" w:line="279" w:lineRule="auto"/>
        <w:rPr>
          <w:sz w:val="20"/>
          <w:szCs w:val="20"/>
          <w:color w:val="auto"/>
        </w:rPr>
      </w:pPr>
      <w:r>
        <w:rPr>
          <w:rFonts w:ascii="Arial" w:cs="Arial" w:eastAsia="Arial" w:hAnsi="Arial"/>
          <w:sz w:val="18"/>
          <w:szCs w:val="18"/>
          <w:color w:val="auto"/>
        </w:rPr>
        <w:t>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to the FDA.</w:t>
      </w:r>
    </w:p>
    <w:p>
      <w:pPr>
        <w:spacing w:after="0" w:line="183" w:lineRule="exact"/>
        <w:rPr>
          <w:sz w:val="20"/>
          <w:szCs w:val="20"/>
          <w:color w:val="auto"/>
        </w:rPr>
      </w:pPr>
    </w:p>
    <w:p>
      <w:pPr>
        <w:ind w:right="80" w:firstLine="1018"/>
        <w:spacing w:after="0" w:line="271" w:lineRule="auto"/>
        <w:rPr>
          <w:sz w:val="20"/>
          <w:szCs w:val="20"/>
          <w:color w:val="auto"/>
        </w:rPr>
      </w:pPr>
      <w:r>
        <w:rPr>
          <w:rFonts w:ascii="Arial" w:cs="Arial" w:eastAsia="Arial" w:hAnsi="Arial"/>
          <w:sz w:val="18"/>
          <w:szCs w:val="18"/>
          <w:color w:val="auto"/>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of a product candidate under a collaboration, and the payments we receive from our partner may be insufficient to cover the cost of this formulation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spacing w:after="0" w:line="191" w:lineRule="exact"/>
        <w:rPr>
          <w:sz w:val="20"/>
          <w:szCs w:val="20"/>
          <w:color w:val="auto"/>
        </w:rPr>
      </w:pPr>
    </w:p>
    <w:p>
      <w:pPr>
        <w:ind w:firstLine="1018"/>
        <w:spacing w:after="0" w:line="270" w:lineRule="auto"/>
        <w:rPr>
          <w:sz w:val="20"/>
          <w:szCs w:val="20"/>
          <w:color w:val="auto"/>
        </w:rPr>
      </w:pPr>
      <w:r>
        <w:rPr>
          <w:rFonts w:ascii="Arial" w:cs="Arial" w:eastAsia="Arial" w:hAnsi="Arial"/>
          <w:sz w:val="18"/>
          <w:szCs w:val="18"/>
          <w:color w:val="auto"/>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spacing w:after="0" w:line="19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reductions in the payment of royalties or other payments we believe are due pursuant to the applicable collaboration arrangement;</w:t>
      </w:r>
    </w:p>
    <w:p>
      <w:pPr>
        <w:spacing w:after="0" w:line="250" w:lineRule="exact"/>
        <w:rPr>
          <w:sz w:val="20"/>
          <w:szCs w:val="20"/>
          <w:color w:val="auto"/>
        </w:rPr>
      </w:pPr>
    </w:p>
    <w:p>
      <w:pPr>
        <w:ind w:left="1360" w:right="980"/>
        <w:spacing w:after="0" w:line="293" w:lineRule="auto"/>
        <w:rPr>
          <w:sz w:val="20"/>
          <w:szCs w:val="20"/>
          <w:color w:val="auto"/>
        </w:rPr>
      </w:pPr>
      <w:r>
        <w:rPr>
          <w:rFonts w:ascii="Arial" w:cs="Arial" w:eastAsia="Arial" w:hAnsi="Arial"/>
          <w:sz w:val="18"/>
          <w:szCs w:val="18"/>
          <w:color w:val="auto"/>
        </w:rPr>
        <w:t>actions taken by a partner inside or outside our collaboration which could negatively impact our rights or benefits under our collaboration; or</w:t>
      </w:r>
    </w:p>
    <w:p>
      <w:pPr>
        <w:spacing w:after="0" w:line="170" w:lineRule="exact"/>
        <w:rPr>
          <w:sz w:val="20"/>
          <w:szCs w:val="20"/>
          <w:color w:val="auto"/>
        </w:rPr>
      </w:pPr>
    </w:p>
    <w:p>
      <w:pPr>
        <w:ind w:left="1360" w:right="100"/>
        <w:spacing w:after="0" w:line="293" w:lineRule="auto"/>
        <w:rPr>
          <w:sz w:val="20"/>
          <w:szCs w:val="20"/>
          <w:color w:val="auto"/>
        </w:rPr>
      </w:pPr>
      <w:r>
        <w:rPr>
          <w:rFonts w:ascii="Arial" w:cs="Arial" w:eastAsia="Arial" w:hAnsi="Arial"/>
          <w:sz w:val="18"/>
          <w:szCs w:val="18"/>
          <w:color w:val="auto"/>
        </w:rPr>
        <w:t>unwillingness on the part of a partner to keep us informed regarding the progress of its development and commercialization activities or to permit public disclosure of the results of those activities.</w:t>
      </w:r>
    </w:p>
    <w:p>
      <w:pPr>
        <w:spacing w:after="0" w:line="170" w:lineRule="exact"/>
        <w:rPr>
          <w:sz w:val="20"/>
          <w:szCs w:val="20"/>
          <w:color w:val="auto"/>
        </w:rPr>
      </w:pPr>
    </w:p>
    <w:p>
      <w:pPr>
        <w:jc w:val="both"/>
        <w:ind w:right="160" w:firstLine="1018"/>
        <w:spacing w:after="0" w:line="279" w:lineRule="auto"/>
        <w:rPr>
          <w:sz w:val="20"/>
          <w:szCs w:val="20"/>
          <w:color w:val="auto"/>
        </w:rPr>
      </w:pPr>
      <w:r>
        <w:rPr>
          <w:rFonts w:ascii="Arial" w:cs="Arial" w:eastAsia="Arial" w:hAnsi="Arial"/>
          <w:sz w:val="18"/>
          <w:szCs w:val="18"/>
          <w:color w:val="auto"/>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spacing w:after="0" w:line="183"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p>
    <w:p>
      <w:pPr>
        <w:spacing w:after="0" w:line="183" w:lineRule="exact"/>
        <w:rPr>
          <w:sz w:val="20"/>
          <w:szCs w:val="20"/>
          <w:color w:val="auto"/>
        </w:rPr>
      </w:pPr>
    </w:p>
    <w:p>
      <w:pPr>
        <w:ind w:right="20" w:firstLine="1018"/>
        <w:spacing w:after="0" w:line="304" w:lineRule="auto"/>
        <w:rPr>
          <w:sz w:val="20"/>
          <w:szCs w:val="20"/>
          <w:color w:val="auto"/>
        </w:rPr>
      </w:pPr>
      <w:r>
        <w:rPr>
          <w:rFonts w:ascii="Arial" w:cs="Arial" w:eastAsia="Arial" w:hAnsi="Arial"/>
          <w:sz w:val="16"/>
          <w:szCs w:val="16"/>
          <w:color w:val="auto"/>
        </w:rPr>
        <w:t>We have relied upon and plan to continue to rely upon third-party CROs to monitor and manage clinical trials and collect data during our preclinical studies and clinical programs. We rely on these parties for execution of our preclinical studies and clinical trials, and control only certain aspects of their activities. Nevertheless, we 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w:t>
      </w:r>
    </w:p>
    <w:p>
      <w:pPr>
        <w:spacing w:after="0" w:line="170" w:lineRule="exact"/>
        <w:rPr>
          <w:sz w:val="20"/>
          <w:szCs w:val="20"/>
          <w:color w:val="auto"/>
        </w:rPr>
      </w:pPr>
    </w:p>
    <w:p>
      <w:pPr>
        <w:ind w:right="80" w:firstLine="1018"/>
        <w:spacing w:after="0" w:line="279" w:lineRule="auto"/>
        <w:rPr>
          <w:sz w:val="20"/>
          <w:szCs w:val="20"/>
          <w:color w:val="auto"/>
        </w:rPr>
      </w:pPr>
      <w:r>
        <w:rPr>
          <w:rFonts w:ascii="Arial" w:cs="Arial" w:eastAsia="Arial" w:hAnsi="Arial"/>
          <w:sz w:val="18"/>
          <w:szCs w:val="18"/>
          <w:color w:val="auto"/>
        </w:rPr>
        <w:t>Some of our CROs have an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w:t>
      </w:r>
    </w:p>
    <w:p>
      <w:pPr>
        <w:spacing w:after="0" w:line="183" w:lineRule="exact"/>
        <w:rPr>
          <w:sz w:val="20"/>
          <w:szCs w:val="20"/>
          <w:color w:val="auto"/>
        </w:rPr>
      </w:pPr>
    </w:p>
    <w:p>
      <w:pPr>
        <w:ind w:right="60" w:firstLine="1018"/>
        <w:spacing w:after="0" w:line="26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ind w:right="40"/>
        <w:spacing w:after="0" w:line="292" w:lineRule="auto"/>
        <w:rPr>
          <w:sz w:val="20"/>
          <w:szCs w:val="20"/>
          <w:color w:val="auto"/>
        </w:rPr>
      </w:pPr>
      <w:r>
        <w:rPr>
          <w:rFonts w:ascii="Arial" w:cs="Arial" w:eastAsia="Arial" w:hAnsi="Arial"/>
          <w:sz w:val="17"/>
          <w:szCs w:val="17"/>
          <w:color w:val="auto"/>
        </w:rPr>
        <w:t>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 could be delayed significantly.</w:t>
      </w:r>
    </w:p>
    <w:p>
      <w:pPr>
        <w:spacing w:after="0" w:line="174" w:lineRule="exact"/>
        <w:rPr>
          <w:sz w:val="20"/>
          <w:szCs w:val="20"/>
          <w:color w:val="auto"/>
        </w:rPr>
      </w:pPr>
    </w:p>
    <w:p>
      <w:pPr>
        <w:ind w:right="160" w:firstLine="1018"/>
        <w:spacing w:after="0" w:line="319"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56" w:lineRule="exact"/>
        <w:rPr>
          <w:sz w:val="20"/>
          <w:szCs w:val="20"/>
          <w:color w:val="auto"/>
        </w:rPr>
      </w:pPr>
    </w:p>
    <w:p>
      <w:pPr>
        <w:ind w:right="100"/>
        <w:spacing w:after="0" w:line="324" w:lineRule="auto"/>
        <w:rPr>
          <w:sz w:val="20"/>
          <w:szCs w:val="20"/>
          <w:color w:val="auto"/>
        </w:rPr>
      </w:pPr>
      <w:r>
        <w:rPr>
          <w:rFonts w:ascii="Arial" w:cs="Arial" w:eastAsia="Arial" w:hAnsi="Arial"/>
          <w:sz w:val="17"/>
          <w:szCs w:val="17"/>
          <w:b w:val="1"/>
          <w:bCs w:val="1"/>
          <w:i w:val="1"/>
          <w:iCs w:val="1"/>
          <w:color w:val="auto"/>
        </w:rPr>
        <w:t>We depend on third-party suppliers for key materials used in our manufacturing processes as well as for the manufacturing of biosimilars and the loss of these third parties or their inability to supply us with adequate materials and biosimilars could harm our business.</w:t>
      </w:r>
    </w:p>
    <w:p>
      <w:pPr>
        <w:spacing w:after="0" w:line="147" w:lineRule="exact"/>
        <w:rPr>
          <w:sz w:val="20"/>
          <w:szCs w:val="20"/>
          <w:color w:val="auto"/>
        </w:rPr>
      </w:pPr>
    </w:p>
    <w:p>
      <w:pPr>
        <w:jc w:val="both"/>
        <w:ind w:right="220" w:firstLine="1018"/>
        <w:spacing w:after="0" w:line="303" w:lineRule="auto"/>
        <w:rPr>
          <w:sz w:val="20"/>
          <w:szCs w:val="20"/>
          <w:color w:val="auto"/>
        </w:rPr>
      </w:pPr>
      <w:r>
        <w:rPr>
          <w:rFonts w:ascii="Arial" w:cs="Arial" w:eastAsia="Arial" w:hAnsi="Arial"/>
          <w:sz w:val="17"/>
          <w:szCs w:val="17"/>
          <w:color w:val="auto"/>
        </w:rPr>
        <w:t>We rely on third-party suppliers for the supply of the raw materials and APIs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w:t>
      </w:r>
    </w:p>
    <w:p>
      <w:pPr>
        <w:spacing w:after="0" w:line="164" w:lineRule="exact"/>
        <w:rPr>
          <w:sz w:val="20"/>
          <w:szCs w:val="20"/>
          <w:color w:val="auto"/>
        </w:rPr>
      </w:pPr>
    </w:p>
    <w:p>
      <w:pPr>
        <w:ind w:right="120" w:firstLine="1018"/>
        <w:spacing w:after="0" w:line="287" w:lineRule="auto"/>
        <w:rPr>
          <w:sz w:val="20"/>
          <w:szCs w:val="20"/>
          <w:color w:val="auto"/>
        </w:rPr>
      </w:pPr>
      <w:r>
        <w:rPr>
          <w:rFonts w:ascii="Arial" w:cs="Arial" w:eastAsia="Arial" w:hAnsi="Arial"/>
          <w:sz w:val="17"/>
          <w:szCs w:val="17"/>
          <w:color w:val="auto"/>
        </w:rPr>
        <w:t>Our dependence on these third parties and the challenges we may face in obtaining adequate supplies of raw materials, APIs and biosimilars involve several risks, including limited control over pricing, availability, quality, delivery schedules and non-exclusivity. As a small company, our negotiation leverage is limited, and we are likely to get lower priority than our competitors who are larger than we are. We do not have long-term supply 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biosimilars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have an adverse effect on our business, financial condition and results of operations.</w:t>
      </w:r>
    </w:p>
    <w:p>
      <w:pPr>
        <w:spacing w:after="0" w:line="178"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70" w:lineRule="exact"/>
        <w:rPr>
          <w:sz w:val="20"/>
          <w:szCs w:val="20"/>
          <w:color w:val="auto"/>
        </w:rPr>
      </w:pPr>
    </w:p>
    <w:p>
      <w:pPr>
        <w:ind w:firstLine="1018"/>
        <w:spacing w:after="0" w:line="287" w:lineRule="auto"/>
        <w:rPr>
          <w:sz w:val="20"/>
          <w:szCs w:val="20"/>
          <w:color w:val="auto"/>
        </w:rPr>
      </w:pPr>
      <w:r>
        <w:rPr>
          <w:rFonts w:ascii="Arial" w:cs="Arial" w:eastAsia="Arial" w:hAnsi="Arial"/>
          <w:sz w:val="17"/>
          <w:szCs w:val="17"/>
          <w:color w:val="auto"/>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82" w:lineRule="exact"/>
        <w:rPr>
          <w:sz w:val="20"/>
          <w:szCs w:val="20"/>
          <w:color w:val="auto"/>
        </w:rPr>
      </w:pPr>
    </w:p>
    <w:p>
      <w:pPr>
        <w:ind w:right="20" w:firstLine="1018"/>
        <w:spacing w:after="0" w:line="279"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83" w:lineRule="exact"/>
        <w:rPr>
          <w:sz w:val="20"/>
          <w:szCs w:val="20"/>
          <w:color w:val="auto"/>
        </w:rPr>
      </w:pPr>
    </w:p>
    <w:p>
      <w:pPr>
        <w:ind w:right="60" w:firstLine="1018"/>
        <w:spacing w:after="0" w:line="266" w:lineRule="auto"/>
        <w:rPr>
          <w:sz w:val="20"/>
          <w:szCs w:val="20"/>
          <w:color w:val="auto"/>
        </w:rPr>
      </w:pPr>
      <w:r>
        <w:rPr>
          <w:rFonts w:ascii="Arial" w:cs="Arial" w:eastAsia="Arial" w:hAnsi="Arial"/>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43"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238" w:lineRule="exact"/>
        <w:rPr>
          <w:sz w:val="20"/>
          <w:szCs w:val="20"/>
          <w:color w:val="auto"/>
        </w:rPr>
      </w:pPr>
    </w:p>
    <w:p>
      <w:pPr>
        <w:ind w:left="1360" w:right="120"/>
        <w:spacing w:after="0" w:line="293" w:lineRule="auto"/>
        <w:rPr>
          <w:sz w:val="20"/>
          <w:szCs w:val="20"/>
          <w:color w:val="auto"/>
        </w:rPr>
      </w:pPr>
      <w:r>
        <w:rPr>
          <w:rFonts w:ascii="Arial" w:cs="Arial" w:eastAsia="Arial" w:hAnsi="Arial"/>
          <w:sz w:val="18"/>
          <w:szCs w:val="18"/>
          <w:color w:val="auto"/>
        </w:rPr>
        <w:t>the timing, degree of success and cost of, and level of investment in, research, development, regulatory approval and commercialization activities relating to our product candidates, which may change from time to time;</w:t>
      </w:r>
    </w:p>
    <w:p>
      <w:pPr>
        <w:spacing w:after="0" w:line="170" w:lineRule="exact"/>
        <w:rPr>
          <w:sz w:val="20"/>
          <w:szCs w:val="20"/>
          <w:color w:val="auto"/>
        </w:rPr>
      </w:pPr>
    </w:p>
    <w:p>
      <w:pPr>
        <w:ind w:left="1360" w:right="220"/>
        <w:spacing w:after="0" w:line="293" w:lineRule="auto"/>
        <w:rPr>
          <w:sz w:val="20"/>
          <w:szCs w:val="20"/>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cost of manufacturing our product candidates, which may vary depending on the quantity of production;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level of demand for any approved products, which may vary significantly;</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future accounting pronouncements or changes in our accounting policies; and</w:t>
      </w:r>
    </w:p>
    <w:p>
      <w:pPr>
        <w:spacing w:after="0" w:line="239" w:lineRule="exact"/>
        <w:rPr>
          <w:sz w:val="20"/>
          <w:szCs w:val="20"/>
          <w:color w:val="auto"/>
        </w:rPr>
      </w:pPr>
    </w:p>
    <w:p>
      <w:pPr>
        <w:ind w:left="1360" w:right="260"/>
        <w:spacing w:after="0" w:line="359" w:lineRule="auto"/>
        <w:rPr>
          <w:sz w:val="20"/>
          <w:szCs w:val="20"/>
          <w:color w:val="auto"/>
        </w:rPr>
      </w:pPr>
      <w:r>
        <w:rPr>
          <w:rFonts w:ascii="Arial" w:cs="Arial" w:eastAsia="Arial" w:hAnsi="Arial"/>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25" w:lineRule="exact"/>
        <w:rPr>
          <w:sz w:val="20"/>
          <w:szCs w:val="20"/>
          <w:color w:val="auto"/>
        </w:rPr>
      </w:pPr>
    </w:p>
    <w:p>
      <w:pPr>
        <w:ind w:right="40" w:firstLine="1018"/>
        <w:spacing w:after="0" w:line="311" w:lineRule="auto"/>
        <w:rPr>
          <w:sz w:val="20"/>
          <w:szCs w:val="20"/>
          <w:color w:val="auto"/>
        </w:rPr>
      </w:pPr>
      <w:r>
        <w:rPr>
          <w:rFonts w:ascii="Arial" w:cs="Arial" w:eastAsia="Arial" w:hAnsi="Arial"/>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63" w:lineRule="exact"/>
        <w:rPr>
          <w:sz w:val="20"/>
          <w:szCs w:val="20"/>
          <w:color w:val="auto"/>
        </w:rPr>
      </w:pPr>
    </w:p>
    <w:p>
      <w:pPr>
        <w:ind w:right="260"/>
        <w:spacing w:after="0" w:line="324"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in our core programs, and if any of these product candidates fail to enter clinical trials, receive regulatory approval or are not successfully commercialized, our business would be adversely affected.</w:t>
      </w:r>
    </w:p>
    <w:p>
      <w:pPr>
        <w:spacing w:after="0" w:line="147"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We currently have no product candidates that are in late-stage clinical trials or are approved for commercial sale, and we may never be able to develop a marketable product. We have only one product candidate, RT-101, in clinical development. We expect that a substantial portion of our efforts and expenditures over the next few years will be devoted to the development of the RaniPill platform that is designed to enable the oral administration of a broad range of biologics used to treat multiple diseases and disorders. Our initial goal is to evaluate the safety of the RaniPill capsule independent of any biologic. The RaniPill capsule may not receive regulatory approval in connection with any biologic or, if approved, it may not be successfully commercialized. The research, testing, manufacturing, labeling, approval, sale, marketing and distribution of the RaniPill capsule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from the FDA, or a similar marketing authorization from comparable authorities in any foreign countries until after approval of a marketing application by corresponding foreign regulatory authorities. We completed a Phase 1 clinical trial of our most advanced product candidate, RT-101, and have completed preclinical studies of other product candidates. We plan to initiate Phase 1 clinical trials of certain product candidates in 2022 and in 2023. We will need to conduct larger, more extensive clinical trials in the target patient populations for these product candidates and their indications to support a potential application for regulatory approval by the FDA or corresponding foreign regulatory authorities, and we do not expect to be in a position to do so for the near term.</w:t>
      </w:r>
    </w:p>
    <w:p>
      <w:pPr>
        <w:spacing w:after="0" w:line="342" w:lineRule="exact"/>
        <w:rPr>
          <w:sz w:val="20"/>
          <w:szCs w:val="20"/>
          <w:color w:val="auto"/>
        </w:rPr>
      </w:pPr>
    </w:p>
    <w:p>
      <w:pPr>
        <w:jc w:val="both"/>
        <w:ind w:right="100" w:firstLine="1018"/>
        <w:spacing w:after="0" w:line="266" w:lineRule="auto"/>
        <w:rPr>
          <w:sz w:val="20"/>
          <w:szCs w:val="20"/>
          <w:color w:val="auto"/>
        </w:rPr>
      </w:pPr>
      <w:r>
        <w:rPr>
          <w:rFonts w:ascii="Arial" w:cs="Arial" w:eastAsia="Arial" w:hAnsi="Arial"/>
          <w:sz w:val="18"/>
          <w:szCs w:val="18"/>
          <w:color w:val="auto"/>
        </w:rPr>
        <w:t>We have not previously submitted a BLA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is an extensive, lengthy, expensive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and inherently uncertain process, and the regulatory authorities may delay, limit or deny approval of our product candidates for many reasons, including:</w:t>
      </w:r>
    </w:p>
    <w:p>
      <w:pPr>
        <w:spacing w:after="0" w:line="262" w:lineRule="exact"/>
        <w:rPr>
          <w:sz w:val="20"/>
          <w:szCs w:val="20"/>
          <w:color w:val="auto"/>
        </w:rPr>
      </w:pPr>
    </w:p>
    <w:p>
      <w:pPr>
        <w:ind w:left="1360" w:right="160"/>
        <w:spacing w:after="0" w:line="293" w:lineRule="auto"/>
        <w:rPr>
          <w:sz w:val="20"/>
          <w:szCs w:val="20"/>
          <w:color w:val="auto"/>
        </w:rPr>
      </w:pPr>
      <w:r>
        <w:rPr>
          <w:rFonts w:ascii="Arial" w:cs="Arial" w:eastAsia="Arial" w:hAnsi="Arial"/>
          <w:sz w:val="18"/>
          <w:szCs w:val="18"/>
          <w:color w:val="auto"/>
        </w:rPr>
        <w:t>we may not be able to demonstrate that any of our product candidates is safe and effective to the satisfaction of the FDA or comparable foreign regulatory authorities;</w:t>
      </w:r>
    </w:p>
    <w:p>
      <w:pPr>
        <w:spacing w:after="0" w:line="170" w:lineRule="exact"/>
        <w:rPr>
          <w:sz w:val="20"/>
          <w:szCs w:val="20"/>
          <w:color w:val="auto"/>
        </w:rPr>
      </w:pPr>
    </w:p>
    <w:p>
      <w:pPr>
        <w:ind w:left="1360" w:right="620"/>
        <w:spacing w:after="0" w:line="293" w:lineRule="auto"/>
        <w:rPr>
          <w:sz w:val="20"/>
          <w:szCs w:val="20"/>
          <w:color w:val="auto"/>
        </w:rPr>
      </w:pPr>
      <w:r>
        <w:rPr>
          <w:rFonts w:ascii="Arial" w:cs="Arial" w:eastAsia="Arial" w:hAnsi="Arial"/>
          <w:sz w:val="18"/>
          <w:szCs w:val="18"/>
          <w:color w:val="auto"/>
        </w:rPr>
        <w:t>the FDA or comparable foreign regulatory authorities may require additional preclinical studies or clinical trials prior to granting approval, which would increase our costs and extend the pre-approval development process;</w:t>
      </w:r>
    </w:p>
    <w:p>
      <w:pPr>
        <w:spacing w:after="0" w:line="170" w:lineRule="exact"/>
        <w:rPr>
          <w:sz w:val="20"/>
          <w:szCs w:val="20"/>
          <w:color w:val="auto"/>
        </w:rPr>
      </w:pPr>
    </w:p>
    <w:p>
      <w:pPr>
        <w:ind w:left="1360" w:right="220"/>
        <w:spacing w:after="0" w:line="293" w:lineRule="auto"/>
        <w:rPr>
          <w:sz w:val="20"/>
          <w:szCs w:val="20"/>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authorities for approval;</w:t>
      </w:r>
    </w:p>
    <w:p>
      <w:pPr>
        <w:spacing w:after="0" w:line="170" w:lineRule="exact"/>
        <w:rPr>
          <w:sz w:val="20"/>
          <w:szCs w:val="20"/>
          <w:color w:val="auto"/>
        </w:rPr>
      </w:pPr>
    </w:p>
    <w:p>
      <w:pPr>
        <w:ind w:left="1360" w:right="180"/>
        <w:spacing w:after="0" w:line="293" w:lineRule="auto"/>
        <w:rPr>
          <w:sz w:val="20"/>
          <w:szCs w:val="20"/>
          <w:color w:val="auto"/>
        </w:rPr>
      </w:pPr>
      <w:r>
        <w:rPr>
          <w:rFonts w:ascii="Arial" w:cs="Arial" w:eastAsia="Arial" w:hAnsi="Arial"/>
          <w:sz w:val="18"/>
          <w:szCs w:val="18"/>
          <w:color w:val="auto"/>
        </w:rPr>
        <w:t>the FDA or comparable foreign regulatory authorities may disagree with the number, design, size, conduct or statistical analysis of one or more of our clinical trials;</w:t>
      </w:r>
    </w:p>
    <w:p>
      <w:pPr>
        <w:spacing w:after="0" w:line="170" w:lineRule="exact"/>
        <w:rPr>
          <w:sz w:val="20"/>
          <w:szCs w:val="20"/>
          <w:color w:val="auto"/>
        </w:rPr>
      </w:pPr>
    </w:p>
    <w:p>
      <w:pPr>
        <w:ind w:left="1360" w:right="280"/>
        <w:spacing w:after="0" w:line="293" w:lineRule="auto"/>
        <w:rPr>
          <w:sz w:val="20"/>
          <w:szCs w:val="20"/>
          <w:color w:val="auto"/>
        </w:rPr>
      </w:pPr>
      <w:r>
        <w:rPr>
          <w:rFonts w:ascii="Arial" w:cs="Arial" w:eastAsia="Arial" w:hAnsi="Arial"/>
          <w:sz w:val="18"/>
          <w:szCs w:val="18"/>
          <w:color w:val="auto"/>
        </w:rPr>
        <w:t>the FDA or comparable foreign regulatory authorities may disagree with, or not accept, our interpretation of data from our preclinical studies and clinical trials;</w:t>
      </w:r>
    </w:p>
    <w:p>
      <w:pPr>
        <w:spacing w:after="0" w:line="170" w:lineRule="exact"/>
        <w:rPr>
          <w:sz w:val="20"/>
          <w:szCs w:val="20"/>
          <w:color w:val="auto"/>
        </w:rPr>
      </w:pPr>
    </w:p>
    <w:p>
      <w:pPr>
        <w:ind w:left="1360" w:right="40"/>
        <w:spacing w:after="0" w:line="293" w:lineRule="auto"/>
        <w:rPr>
          <w:sz w:val="20"/>
          <w:szCs w:val="20"/>
          <w:color w:val="auto"/>
        </w:rPr>
      </w:pPr>
      <w:r>
        <w:rPr>
          <w:rFonts w:ascii="Arial" w:cs="Arial" w:eastAsia="Arial" w:hAnsi="Arial"/>
          <w:sz w:val="18"/>
          <w:szCs w:val="18"/>
          <w:color w:val="auto"/>
        </w:rPr>
        <w:t>the FDA or comparable foreign regulatory authorities may identify deficiencies in our manufacturing processes or facilities which would be required to be corrected prior to regulatory approval;</w:t>
      </w:r>
    </w:p>
    <w:p>
      <w:pPr>
        <w:spacing w:after="0" w:line="170" w:lineRule="exact"/>
        <w:rPr>
          <w:sz w:val="20"/>
          <w:szCs w:val="20"/>
          <w:color w:val="auto"/>
        </w:rPr>
      </w:pPr>
    </w:p>
    <w:p>
      <w:pPr>
        <w:ind w:left="1360" w:right="300"/>
        <w:spacing w:after="0" w:line="279" w:lineRule="auto"/>
        <w:rPr>
          <w:sz w:val="20"/>
          <w:szCs w:val="20"/>
          <w:color w:val="auto"/>
        </w:rPr>
      </w:pPr>
      <w:r>
        <w:rPr>
          <w:rFonts w:ascii="Arial" w:cs="Arial" w:eastAsia="Arial" w:hAnsi="Arial"/>
          <w:sz w:val="18"/>
          <w:szCs w:val="18"/>
          <w:color w:val="auto"/>
        </w:rPr>
        <w:t>the success or further approval of competitor products approved in indications in which we undertake development of our product candidates may change the standard of care or change the standard for approval of our product candidate in our proposed indications; and</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FDA or comparable foreign regulatory authorities may change their approval policies or adopt new regulations.</w:t>
      </w:r>
    </w:p>
    <w:p>
      <w:pPr>
        <w:spacing w:after="0" w:line="239" w:lineRule="exact"/>
        <w:rPr>
          <w:sz w:val="20"/>
          <w:szCs w:val="20"/>
          <w:color w:val="auto"/>
        </w:rPr>
      </w:pPr>
    </w:p>
    <w:p>
      <w:pPr>
        <w:ind w:firstLine="1018"/>
        <w:spacing w:after="0" w:line="272" w:lineRule="auto"/>
        <w:rPr>
          <w:sz w:val="20"/>
          <w:szCs w:val="20"/>
          <w:color w:val="auto"/>
        </w:rPr>
      </w:pPr>
      <w:r>
        <w:rPr>
          <w:rFonts w:ascii="Arial" w:cs="Arial" w:eastAsia="Arial" w:hAnsi="Arial"/>
          <w:sz w:val="18"/>
          <w:szCs w:val="18"/>
          <w:color w:val="auto"/>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the RaniPill platform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proprietary RaniPill platform to build a pipeline of product candidates.</w:t>
      </w:r>
    </w:p>
    <w:p>
      <w:pPr>
        <w:spacing w:after="0" w:line="250"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A key element of our strategy is to leverage the RaniPill platform to expand our pipeline of product candidates and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we may not prove to be successful at doing so. Furthermore, we may also find that the uses of the RaniPill platform are limited because alternative uses of our biologics prove not to be safe or effective.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cannot successfully develop or commercialize our products, or if serious adverse events are discovered after commercialization, we will not be able to generate any product revenue, which would adversely affect business.</w:t>
      </w:r>
    </w:p>
    <w:p>
      <w:pPr>
        <w:spacing w:after="0" w:line="182"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ECs for re-examination, which may impact the costs, timing or successful completion of a clinical trial.</w:t>
      </w:r>
    </w:p>
    <w:p>
      <w:pPr>
        <w:spacing w:after="0" w:line="183" w:lineRule="exact"/>
        <w:rPr>
          <w:sz w:val="20"/>
          <w:szCs w:val="20"/>
          <w:color w:val="auto"/>
        </w:rPr>
      </w:pPr>
    </w:p>
    <w:p>
      <w:pPr>
        <w:ind w:right="180" w:firstLine="1018"/>
        <w:spacing w:after="0" w:line="266" w:lineRule="auto"/>
        <w:rPr>
          <w:sz w:val="20"/>
          <w:szCs w:val="20"/>
          <w:color w:val="auto"/>
        </w:rPr>
      </w:pPr>
      <w:r>
        <w:rPr>
          <w:rFonts w:ascii="Arial" w:cs="Arial" w:eastAsia="Arial" w:hAnsi="Arial"/>
          <w:sz w:val="18"/>
          <w:szCs w:val="18"/>
          <w:color w:val="auto"/>
        </w:rPr>
        <w:t>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w:t>
      </w:r>
    </w:p>
    <w:p>
      <w:pPr>
        <w:spacing w:after="0" w:line="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9" w:name="page70"/>
    <w:bookmarkEnd w:id="69"/>
    <w:p>
      <w:pPr>
        <w:ind w:right="280"/>
        <w:spacing w:after="0" w:line="293" w:lineRule="auto"/>
        <w:rPr>
          <w:sz w:val="20"/>
          <w:szCs w:val="20"/>
          <w:color w:val="auto"/>
        </w:rPr>
      </w:pPr>
      <w:r>
        <w:rPr>
          <w:rFonts w:ascii="Arial" w:cs="Arial" w:eastAsia="Arial" w:hAnsi="Arial"/>
          <w:sz w:val="18"/>
          <w:szCs w:val="18"/>
          <w:color w:val="auto"/>
        </w:rPr>
        <w:t>approval that we may have obtained, and we may not achieve or sustain profitability, which would harm our business, prospects, financial condition and results of operations.</w:t>
      </w:r>
    </w:p>
    <w:p>
      <w:pPr>
        <w:spacing w:after="0" w:line="170" w:lineRule="exact"/>
        <w:rPr>
          <w:sz w:val="20"/>
          <w:szCs w:val="20"/>
          <w:color w:val="auto"/>
        </w:rPr>
      </w:pPr>
    </w:p>
    <w:p>
      <w:pPr>
        <w:ind w:right="20" w:firstLine="1018"/>
        <w:spacing w:after="0" w:line="270" w:lineRule="auto"/>
        <w:rPr>
          <w:sz w:val="20"/>
          <w:szCs w:val="20"/>
          <w:color w:val="auto"/>
        </w:rPr>
      </w:pPr>
      <w:r>
        <w:rPr>
          <w:rFonts w:ascii="Arial" w:cs="Arial" w:eastAsia="Arial" w:hAnsi="Arial"/>
          <w:sz w:val="18"/>
          <w:szCs w:val="18"/>
          <w:color w:val="auto"/>
        </w:rPr>
        <w:t>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w:t>
      </w:r>
    </w:p>
    <w:p>
      <w:pPr>
        <w:spacing w:after="0" w:line="193"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All of our product candidates, except for RT-101, are in research or preclinical development and have not entered into clinical trials. If we are unable to develop, test and commercialize our product candidates, our business will be adversely affected.</w:t>
      </w:r>
    </w:p>
    <w:p>
      <w:pPr>
        <w:spacing w:after="0" w:line="170" w:lineRule="exact"/>
        <w:rPr>
          <w:sz w:val="20"/>
          <w:szCs w:val="20"/>
          <w:color w:val="auto"/>
        </w:rPr>
      </w:pPr>
    </w:p>
    <w:p>
      <w:pPr>
        <w:ind w:right="220" w:firstLine="1018"/>
        <w:spacing w:after="0" w:line="319" w:lineRule="auto"/>
        <w:rPr>
          <w:sz w:val="20"/>
          <w:szCs w:val="20"/>
          <w:color w:val="auto"/>
        </w:rPr>
      </w:pPr>
      <w:r>
        <w:rPr>
          <w:rFonts w:ascii="Arial" w:cs="Arial" w:eastAsia="Arial" w:hAnsi="Arial"/>
          <w:sz w:val="16"/>
          <w:szCs w:val="16"/>
          <w:color w:val="auto"/>
        </w:rPr>
        <w:t>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w:t>
      </w:r>
    </w:p>
    <w:p>
      <w:pPr>
        <w:spacing w:after="0" w:line="15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financial and internal resources are insufficient;</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research methodology used may not be successful in identifying potential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competitors may develop alternatives that render our product candidates uncompetitive;</w:t>
      </w:r>
    </w:p>
    <w:p>
      <w:pPr>
        <w:spacing w:after="0" w:line="239" w:lineRule="exact"/>
        <w:rPr>
          <w:sz w:val="20"/>
          <w:szCs w:val="20"/>
          <w:color w:val="auto"/>
        </w:rPr>
      </w:pPr>
    </w:p>
    <w:p>
      <w:pPr>
        <w:ind w:left="1360" w:right="20"/>
        <w:spacing w:after="0" w:line="293" w:lineRule="auto"/>
        <w:rPr>
          <w:sz w:val="20"/>
          <w:szCs w:val="20"/>
          <w:color w:val="auto"/>
        </w:rPr>
      </w:pPr>
      <w:r>
        <w:rPr>
          <w:rFonts w:ascii="Arial" w:cs="Arial" w:eastAsia="Arial" w:hAnsi="Arial"/>
          <w:sz w:val="18"/>
          <w:szCs w:val="18"/>
          <w:color w:val="auto"/>
        </w:rPr>
        <w:t>our product candidates may be shown to have harmful side effects or other characteristics that indicate such product candidate is unlikely to be effective or otherwise unlikely to achieve applicable regulatory approval;</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product candidates may not be capable of being produced in commercial quantities at an acceptable cost, or at all; or</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product candidates may not be accepted by patients, the medical community, healthcare providers or third-party payors.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RaniPill platform may not result in any products of commercial value.</w:t>
      </w:r>
    </w:p>
    <w:p>
      <w:pPr>
        <w:spacing w:after="0" w:line="239" w:lineRule="exact"/>
        <w:rPr>
          <w:sz w:val="20"/>
          <w:szCs w:val="20"/>
          <w:color w:val="auto"/>
        </w:rPr>
      </w:pPr>
    </w:p>
    <w:p>
      <w:pPr>
        <w:ind w:right="100" w:firstLine="1018"/>
        <w:spacing w:after="0" w:line="293" w:lineRule="auto"/>
        <w:rPr>
          <w:sz w:val="20"/>
          <w:szCs w:val="20"/>
          <w:color w:val="auto"/>
        </w:rPr>
      </w:pPr>
      <w:r>
        <w:rPr>
          <w:rFonts w:ascii="Arial" w:cs="Arial" w:eastAsia="Arial" w:hAnsi="Arial"/>
          <w:sz w:val="18"/>
          <w:szCs w:val="18"/>
          <w:color w:val="auto"/>
        </w:rPr>
        <w:t>We have developed a proprietary platform designed to enable the administration of biologics previously only administrable by subcutaneous or IV injection, and this approach forms the basis of our overall development strategy for all of our product candidates.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multiple reasons, the RaniPill platform may not ultimately be commercially valuable, including:</w:t>
      </w:r>
    </w:p>
    <w:p>
      <w:pPr>
        <w:spacing w:after="0" w:line="239" w:lineRule="exact"/>
        <w:rPr>
          <w:sz w:val="20"/>
          <w:szCs w:val="20"/>
          <w:color w:val="auto"/>
        </w:rPr>
      </w:pPr>
    </w:p>
    <w:p>
      <w:pPr>
        <w:ind w:left="1360" w:right="20"/>
        <w:spacing w:after="0" w:line="293" w:lineRule="auto"/>
        <w:rPr>
          <w:sz w:val="20"/>
          <w:szCs w:val="20"/>
          <w:color w:val="auto"/>
        </w:rPr>
      </w:pPr>
      <w:r>
        <w:rPr>
          <w:rFonts w:ascii="Arial" w:cs="Arial" w:eastAsia="Arial" w:hAnsi="Arial"/>
          <w:sz w:val="18"/>
          <w:szCs w:val="18"/>
          <w:color w:val="auto"/>
        </w:rPr>
        <w:t>the RaniPill platform may not work in conjunction with our targeted biologic indications or future indications to yield product candidates that can enter clinical development;</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we may not be successful in our efforts to expand the applicability of the RaniPill platform beyond our current product pipeline;</w:t>
      </w:r>
    </w:p>
    <w:p>
      <w:pPr>
        <w:spacing w:after="0" w:line="250" w:lineRule="exact"/>
        <w:rPr>
          <w:sz w:val="20"/>
          <w:szCs w:val="20"/>
          <w:color w:val="auto"/>
        </w:rPr>
      </w:pPr>
    </w:p>
    <w:p>
      <w:pPr>
        <w:ind w:left="1360" w:right="180"/>
        <w:spacing w:after="0" w:line="293" w:lineRule="auto"/>
        <w:rPr>
          <w:sz w:val="20"/>
          <w:szCs w:val="20"/>
          <w:color w:val="auto"/>
        </w:rPr>
      </w:pPr>
      <w:r>
        <w:rPr>
          <w:rFonts w:ascii="Arial" w:cs="Arial" w:eastAsia="Arial" w:hAnsi="Arial"/>
          <w:sz w:val="18"/>
          <w:szCs w:val="18"/>
          <w:color w:val="auto"/>
        </w:rPr>
        <w:t>we may not be able to enter into licensing or partnership agreements on suitable terms to obtain and develop oral versions of biologics; and</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the medical community may not accept the RaniPill platform and physicians may not prescribe our products to patients, if approved.</w:t>
      </w:r>
    </w:p>
    <w:p>
      <w:pPr>
        <w:spacing w:after="0" w:line="262" w:lineRule="exact"/>
        <w:rPr>
          <w:sz w:val="20"/>
          <w:szCs w:val="20"/>
          <w:color w:val="auto"/>
        </w:rPr>
      </w:pPr>
    </w:p>
    <w:p>
      <w:pPr>
        <w:jc w:val="both"/>
        <w:ind w:right="140" w:firstLine="1018"/>
        <w:spacing w:after="0" w:line="266" w:lineRule="auto"/>
        <w:rPr>
          <w:sz w:val="20"/>
          <w:szCs w:val="20"/>
          <w:color w:val="auto"/>
        </w:rPr>
      </w:pPr>
      <w:r>
        <w:rPr>
          <w:rFonts w:ascii="Arial" w:cs="Arial" w:eastAsia="Arial" w:hAnsi="Arial"/>
          <w:sz w:val="18"/>
          <w:szCs w:val="18"/>
          <w:color w:val="auto"/>
        </w:rPr>
        <w:t>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ind w:right="180"/>
        <w:spacing w:after="0" w:line="293" w:lineRule="auto"/>
        <w:rPr>
          <w:sz w:val="20"/>
          <w:szCs w:val="20"/>
          <w:color w:val="auto"/>
        </w:rPr>
      </w:pPr>
      <w:r>
        <w:rPr>
          <w:rFonts w:ascii="Arial" w:cs="Arial" w:eastAsia="Arial" w:hAnsi="Arial"/>
          <w:sz w:val="18"/>
          <w:szCs w:val="18"/>
          <w:color w:val="auto"/>
        </w:rPr>
        <w:t>the RaniPill capsule, whether as a result of payload capacity, mechanism of action, or otherwise, the result of which would significantly harm our product candidates’ commercial potential.</w:t>
      </w:r>
    </w:p>
    <w:p>
      <w:pPr>
        <w:spacing w:after="0" w:line="170"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Furthermore, the product candidates contemplated by our current product pipeline were designed with needles that have the ability to deliver 3.0 to 3.5mg of a biologic, which we refer to as payload capacity. We are aware of biologics that require a dose of nearly 100.0mg in order to be effective, such as oncology biologics and certain other cell therapies. While we plan to develop a needle with a payload capacity of up to 30.0mg, which could enable us to expand our platform to include additional molecules, we may still be precluded from using certain high load biologics for inclusion in the RaniPill capsule, which could adversely affect the commercial potential of the RaniPill platform. Additionally, to the extent we are able to develop a needle with a larger payload capacity, we may be required to conduct additional preclinical or clinical studies to establish performance characteristics of the updated design, and for regulatory authorities to permit evaluation of the updated design in human subjects.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 a result of any one of these factors, our business, financial condition and results of operations could be adversely affected.</w:t>
      </w:r>
    </w:p>
    <w:p>
      <w:pPr>
        <w:spacing w:after="0" w:line="239"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product candidates, if approved.</w:t>
      </w:r>
    </w:p>
    <w:p>
      <w:pPr>
        <w:spacing w:after="0" w:line="170" w:lineRule="exact"/>
        <w:rPr>
          <w:sz w:val="20"/>
          <w:szCs w:val="20"/>
          <w:color w:val="auto"/>
        </w:rPr>
      </w:pPr>
    </w:p>
    <w:p>
      <w:pPr>
        <w:ind w:right="40" w:firstLine="1018"/>
        <w:spacing w:after="0" w:line="288"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w:t>
      </w:r>
    </w:p>
    <w:p>
      <w:pPr>
        <w:spacing w:after="0" w:line="18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delay or termination of clinical studies;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injury to our reputation;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withdrawal of clinical trial participants;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initiation of investigations by regulators;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costs to defend the related litigation;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diversion of management’s time and our resources;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substantial monetary awards to trial participants or patients;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decreased demand for our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product recalls, withdrawals or labeling, marketing or promotional restrictions;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loss of revenue from product sales;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inability to commercialize any our product candidates, if approved.</w:t>
      </w:r>
    </w:p>
    <w:p>
      <w:pPr>
        <w:spacing w:after="0" w:line="239" w:lineRule="exact"/>
        <w:rPr>
          <w:sz w:val="20"/>
          <w:szCs w:val="20"/>
          <w:color w:val="auto"/>
        </w:rPr>
      </w:pPr>
    </w:p>
    <w:p>
      <w:pPr>
        <w:ind w:right="20" w:firstLine="1018"/>
        <w:spacing w:after="0" w:line="281"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development or commercialization of our product candidates. We currently carry $10.0 million in clinical trial liability insurance, which we believe is appropriate for our clinical trials.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ind w:right="460"/>
        <w:spacing w:after="0" w:line="359" w:lineRule="auto"/>
        <w:rPr>
          <w:sz w:val="20"/>
          <w:szCs w:val="20"/>
          <w:color w:val="auto"/>
        </w:rPr>
      </w:pPr>
      <w:r>
        <w:rPr>
          <w:rFonts w:ascii="Arial" w:cs="Arial" w:eastAsia="Arial" w:hAnsi="Arial"/>
          <w:sz w:val="16"/>
          <w:szCs w:val="16"/>
          <w:b w:val="1"/>
          <w:bCs w:val="1"/>
          <w:i w:val="1"/>
          <w:iCs w:val="1"/>
          <w:color w:val="auto"/>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p>
    <w:p>
      <w:pPr>
        <w:spacing w:after="0" w:line="125" w:lineRule="exact"/>
        <w:rPr>
          <w:sz w:val="20"/>
          <w:szCs w:val="20"/>
          <w:color w:val="auto"/>
        </w:rPr>
      </w:pPr>
    </w:p>
    <w:p>
      <w:pPr>
        <w:ind w:firstLine="1018"/>
        <w:spacing w:after="0" w:line="269" w:lineRule="auto"/>
        <w:rPr>
          <w:sz w:val="20"/>
          <w:szCs w:val="20"/>
          <w:color w:val="auto"/>
        </w:rPr>
      </w:pPr>
      <w:r>
        <w:rPr>
          <w:rFonts w:ascii="Arial" w:cs="Arial" w:eastAsia="Arial" w:hAnsi="Arial"/>
          <w:sz w:val="18"/>
          <w:szCs w:val="18"/>
          <w:color w:val="auto"/>
        </w:rPr>
        <w:t>The manufacture and packaging of biologics is regulated by the FDA and comparable foreign regulatory authorities and must be conducted in accordance with the FDA’s cGMP and comparable requirements of foreign regulatory authorities. There are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 and risks are applicable to the suppliers of the key raw material used to manufacture the active pharmaceutical ingredient ("API"), for the biologics of our product candidates.</w:t>
      </w:r>
    </w:p>
    <w:p>
      <w:pPr>
        <w:spacing w:after="0" w:line="194" w:lineRule="exact"/>
        <w:rPr>
          <w:sz w:val="20"/>
          <w:szCs w:val="20"/>
          <w:color w:val="auto"/>
        </w:rPr>
      </w:pPr>
    </w:p>
    <w:p>
      <w:pPr>
        <w:ind w:right="240" w:firstLine="1063"/>
        <w:spacing w:after="0" w:line="308" w:lineRule="auto"/>
        <w:rPr>
          <w:sz w:val="20"/>
          <w:szCs w:val="20"/>
          <w:color w:val="auto"/>
        </w:rPr>
      </w:pPr>
      <w:r>
        <w:rPr>
          <w:rFonts w:ascii="Arial" w:cs="Arial" w:eastAsia="Arial" w:hAnsi="Arial"/>
          <w:sz w:val="16"/>
          <w:szCs w:val="16"/>
          <w:color w:val="auto"/>
        </w:rPr>
        <w:t>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w:t>
      </w:r>
    </w:p>
    <w:p>
      <w:pPr>
        <w:spacing w:after="0" w:line="163" w:lineRule="exact"/>
        <w:rPr>
          <w:sz w:val="20"/>
          <w:szCs w:val="20"/>
          <w:color w:val="auto"/>
        </w:rPr>
      </w:pPr>
    </w:p>
    <w:p>
      <w:pPr>
        <w:ind w:right="100" w:firstLine="1018"/>
        <w:spacing w:after="0" w:line="309"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 party manufacturer could negatively affect our ability to develop product candidates or commercialize our products in a timely manner or within budget. This review may be costly and time consuming and could delay or prevent the launch of a product.</w:t>
      </w:r>
    </w:p>
    <w:p>
      <w:pPr>
        <w:spacing w:after="0" w:line="164" w:lineRule="exact"/>
        <w:rPr>
          <w:sz w:val="20"/>
          <w:szCs w:val="20"/>
          <w:color w:val="auto"/>
        </w:rPr>
      </w:pPr>
    </w:p>
    <w:p>
      <w:pPr>
        <w:ind w:right="140" w:firstLine="1018"/>
        <w:spacing w:after="0" w:line="269" w:lineRule="auto"/>
        <w:rPr>
          <w:sz w:val="20"/>
          <w:szCs w:val="20"/>
          <w:color w:val="auto"/>
        </w:rPr>
      </w:pPr>
      <w:r>
        <w:rPr>
          <w:rFonts w:ascii="Arial" w:cs="Arial" w:eastAsia="Arial" w:hAnsi="Arial"/>
          <w:sz w:val="18"/>
          <w:szCs w:val="18"/>
          <w:color w:val="auto"/>
        </w:rPr>
        <w:t>Furthermore, in order to obtain approval of our product candidates by the FDA and comparable foreign regulatory authorities, we will be required to consistently produce our formulation of the API, and the finished product in commercial quantities and of specified quality on a repeated basis and document our ability to do so. This requirement is referred to as process validation. Each of our potential API suppliers will likely use a different method to manufacture API,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w:t>
      </w:r>
    </w:p>
    <w:p>
      <w:pPr>
        <w:spacing w:after="0" w:line="196" w:lineRule="exact"/>
        <w:rPr>
          <w:sz w:val="20"/>
          <w:szCs w:val="20"/>
          <w:color w:val="auto"/>
        </w:rPr>
      </w:pPr>
    </w:p>
    <w:p>
      <w:pPr>
        <w:ind w:right="420" w:firstLine="1018"/>
        <w:spacing w:after="0" w:line="279" w:lineRule="auto"/>
        <w:rPr>
          <w:sz w:val="20"/>
          <w:szCs w:val="20"/>
          <w:color w:val="auto"/>
        </w:rPr>
      </w:pPr>
      <w:r>
        <w:rPr>
          <w:rFonts w:ascii="Arial" w:cs="Arial" w:eastAsia="Arial" w:hAnsi="Arial"/>
          <w:sz w:val="18"/>
          <w:szCs w:val="18"/>
          <w:color w:val="auto"/>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spacing w:after="0" w:line="183" w:lineRule="exact"/>
        <w:rPr>
          <w:sz w:val="20"/>
          <w:szCs w:val="20"/>
          <w:color w:val="auto"/>
        </w:rPr>
      </w:pPr>
    </w:p>
    <w:p>
      <w:pPr>
        <w:ind w:firstLine="1018"/>
        <w:spacing w:after="0" w:line="287" w:lineRule="auto"/>
        <w:rPr>
          <w:sz w:val="20"/>
          <w:szCs w:val="20"/>
          <w:color w:val="auto"/>
        </w:rPr>
      </w:pPr>
      <w:r>
        <w:rPr>
          <w:rFonts w:ascii="Arial" w:cs="Arial" w:eastAsia="Arial" w:hAnsi="Arial"/>
          <w:sz w:val="17"/>
          <w:szCs w:val="17"/>
          <w:color w:val="auto"/>
        </w:rPr>
        <w:t>We may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The laws that may affect our ability to operate include, but are not limited to:</w:t>
      </w:r>
    </w:p>
    <w:p>
      <w:pPr>
        <w:spacing w:after="0" w:line="182" w:lineRule="exact"/>
        <w:rPr>
          <w:sz w:val="20"/>
          <w:szCs w:val="20"/>
          <w:color w:val="auto"/>
        </w:rPr>
      </w:pPr>
    </w:p>
    <w:p>
      <w:pPr>
        <w:ind w:left="1360" w:right="320"/>
        <w:spacing w:after="0" w:line="266" w:lineRule="auto"/>
        <w:rPr>
          <w:sz w:val="20"/>
          <w:szCs w:val="20"/>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ind w:left="240" w:right="100"/>
        <w:spacing w:after="0" w:line="311" w:lineRule="auto"/>
        <w:rPr>
          <w:sz w:val="20"/>
          <w:szCs w:val="20"/>
          <w:color w:val="auto"/>
        </w:rPr>
      </w:pPr>
      <w:r>
        <w:rPr>
          <w:rFonts w:ascii="Arial" w:cs="Arial" w:eastAsia="Arial" w:hAnsi="Arial"/>
          <w:sz w:val="16"/>
          <w:szCs w:val="16"/>
          <w:color w:val="auto"/>
        </w:rPr>
        <w:t>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 On December 2, 2020, the OIG, published further modifications to the federal Anti-Kickback Statute. Under the final rules, OIG added safe harbor protections under the Anti-Kickback Statute for certain coordinated care and value-based arrangements among clinicians, providers, and others. This rule (with exceptions) became effective January 19, 2021;</w:t>
      </w:r>
    </w:p>
    <w:p>
      <w:pPr>
        <w:spacing w:after="0" w:line="163" w:lineRule="exact"/>
        <w:rPr>
          <w:sz w:val="20"/>
          <w:szCs w:val="20"/>
          <w:color w:val="auto"/>
        </w:rPr>
      </w:pPr>
    </w:p>
    <w:p>
      <w:pPr>
        <w:ind w:left="240" w:right="20"/>
        <w:spacing w:after="0" w:line="287" w:lineRule="auto"/>
        <w:rPr>
          <w:sz w:val="20"/>
          <w:szCs w:val="20"/>
          <w:color w:val="auto"/>
        </w:rPr>
      </w:pPr>
      <w:r>
        <w:rPr>
          <w:rFonts w:ascii="Arial" w:cs="Arial" w:eastAsia="Arial" w:hAnsi="Arial"/>
          <w:sz w:val="17"/>
          <w:szCs w:val="17"/>
          <w:color w:val="auto"/>
        </w:rPr>
        <w:t>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w:t>
      </w:r>
    </w:p>
    <w:p>
      <w:pPr>
        <w:spacing w:after="0" w:line="178" w:lineRule="exact"/>
        <w:rPr>
          <w:sz w:val="20"/>
          <w:szCs w:val="20"/>
          <w:color w:val="auto"/>
        </w:rPr>
      </w:pPr>
    </w:p>
    <w:p>
      <w:pPr>
        <w:ind w:left="240" w:right="40"/>
        <w:spacing w:after="0" w:line="269" w:lineRule="auto"/>
        <w:rPr>
          <w:sz w:val="20"/>
          <w:szCs w:val="20"/>
          <w:color w:val="auto"/>
        </w:rPr>
      </w:pPr>
      <w:r>
        <w:rPr>
          <w:rFonts w:ascii="Arial" w:cs="Arial" w:eastAsia="Arial" w:hAnsi="Arial"/>
          <w:sz w:val="18"/>
          <w:szCs w:val="18"/>
          <w:color w:val="auto"/>
        </w:rPr>
        <w:t>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96" w:lineRule="exact"/>
        <w:rPr>
          <w:sz w:val="20"/>
          <w:szCs w:val="20"/>
          <w:color w:val="auto"/>
        </w:rPr>
      </w:pPr>
    </w:p>
    <w:p>
      <w:pPr>
        <w:ind w:left="240" w:right="100"/>
        <w:spacing w:after="0" w:line="269" w:lineRule="auto"/>
        <w:rPr>
          <w:sz w:val="20"/>
          <w:szCs w:val="20"/>
          <w:color w:val="auto"/>
        </w:rPr>
      </w:pPr>
      <w:r>
        <w:rPr>
          <w:rFonts w:ascii="Arial" w:cs="Arial" w:eastAsia="Arial" w:hAnsi="Arial"/>
          <w:sz w:val="18"/>
          <w:szCs w:val="18"/>
          <w:color w:val="auto"/>
        </w:rPr>
        <w:t>HIPAA, as amended by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96" w:lineRule="exact"/>
        <w:rPr>
          <w:sz w:val="20"/>
          <w:szCs w:val="20"/>
          <w:color w:val="auto"/>
        </w:rPr>
      </w:pPr>
    </w:p>
    <w:p>
      <w:pPr>
        <w:ind w:left="240" w:right="80"/>
        <w:spacing w:after="0" w:line="279" w:lineRule="auto"/>
        <w:rPr>
          <w:sz w:val="20"/>
          <w:szCs w:val="20"/>
          <w:color w:val="auto"/>
        </w:rPr>
      </w:pPr>
      <w:r>
        <w:rPr>
          <w:rFonts w:ascii="Arial" w:cs="Arial" w:eastAsia="Arial" w:hAnsi="Arial"/>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183" w:lineRule="exact"/>
        <w:rPr>
          <w:sz w:val="20"/>
          <w:szCs w:val="20"/>
          <w:color w:val="auto"/>
        </w:rPr>
      </w:pPr>
    </w:p>
    <w:p>
      <w:pPr>
        <w:ind w:left="240" w:right="100"/>
        <w:spacing w:after="0" w:line="293" w:lineRule="auto"/>
        <w:rPr>
          <w:sz w:val="20"/>
          <w:szCs w:val="20"/>
          <w:color w:val="auto"/>
        </w:rPr>
      </w:pPr>
      <w:r>
        <w:rPr>
          <w:rFonts w:ascii="Arial" w:cs="Arial" w:eastAsia="Arial" w:hAnsi="Arial"/>
          <w:sz w:val="18"/>
          <w:szCs w:val="18"/>
          <w:color w:val="auto"/>
        </w:rPr>
        <w:t>the federal Physician Payment Sunshine Act, which requires certain manufacturers of drugs, devices, biologics and medical supplies for which payment is available under Medicare, Medicaid</w:t>
      </w:r>
    </w:p>
    <w:p>
      <w:pPr>
        <w:spacing w:after="0" w:line="170" w:lineRule="exact"/>
        <w:rPr>
          <w:sz w:val="20"/>
          <w:szCs w:val="20"/>
          <w:color w:val="auto"/>
        </w:rPr>
      </w:pPr>
    </w:p>
    <w:p>
      <w:pPr>
        <w:ind w:left="240" w:right="40"/>
        <w:spacing w:after="0" w:line="309" w:lineRule="auto"/>
        <w:rPr>
          <w:sz w:val="20"/>
          <w:szCs w:val="20"/>
          <w:color w:val="auto"/>
        </w:rPr>
      </w:pPr>
      <w:r>
        <w:rPr>
          <w:rFonts w:ascii="Arial" w:cs="Arial" w:eastAsia="Arial" w:hAnsi="Arial"/>
          <w:sz w:val="16"/>
          <w:szCs w:val="16"/>
          <w:color w:val="auto"/>
        </w:rPr>
        <w:t>or the Children’s Health Insurance Program (with certain exceptions) to report annually to the government information related to certain payments and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Beginning in 2022, applicable manufacturers also will be required to report such information regarding its payments and other transfers of value during the previous year to physician assistants, nurse practitioners, clinical nurse specialists, anesthesiologist assistants, certified registered nurse anesthetists and certified nurse midwives; and</w:t>
      </w:r>
    </w:p>
    <w:p>
      <w:pPr>
        <w:spacing w:after="0" w:line="164" w:lineRule="exact"/>
        <w:rPr>
          <w:sz w:val="20"/>
          <w:szCs w:val="20"/>
          <w:color w:val="auto"/>
        </w:rPr>
      </w:pPr>
    </w:p>
    <w:p>
      <w:pPr>
        <w:ind w:left="240" w:right="240"/>
        <w:spacing w:after="0" w:line="266" w:lineRule="auto"/>
        <w:rPr>
          <w:sz w:val="20"/>
          <w:szCs w:val="20"/>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73" w:name="page74"/>
    <w:bookmarkEnd w:id="73"/>
    <w:p>
      <w:pPr>
        <w:ind w:left="1360" w:right="100"/>
        <w:spacing w:after="0" w:line="271" w:lineRule="auto"/>
        <w:rPr>
          <w:sz w:val="20"/>
          <w:szCs w:val="20"/>
          <w:color w:val="auto"/>
        </w:rPr>
      </w:pPr>
      <w:r>
        <w:rPr>
          <w:rFonts w:ascii="Arial" w:cs="Arial" w:eastAsia="Arial" w:hAnsi="Arial"/>
          <w:sz w:val="18"/>
          <w:szCs w:val="18"/>
          <w:color w:val="auto"/>
        </w:rPr>
        <w:t>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91" w:lineRule="exact"/>
        <w:rPr>
          <w:sz w:val="20"/>
          <w:szCs w:val="20"/>
          <w:color w:val="auto"/>
        </w:rPr>
      </w:pPr>
    </w:p>
    <w:p>
      <w:pPr>
        <w:ind w:right="20" w:firstLine="1018"/>
        <w:spacing w:after="0" w:line="269" w:lineRule="auto"/>
        <w:rPr>
          <w:sz w:val="20"/>
          <w:szCs w:val="20"/>
          <w:color w:val="auto"/>
        </w:rPr>
      </w:pPr>
      <w:r>
        <w:rPr>
          <w:rFonts w:ascii="Arial" w:cs="Arial" w:eastAsia="Arial" w:hAnsi="Arial"/>
          <w:sz w:val="18"/>
          <w:szCs w:val="18"/>
          <w:color w:val="auto"/>
        </w:rPr>
        <w:t>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 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94" w:lineRule="exact"/>
        <w:rPr>
          <w:sz w:val="20"/>
          <w:szCs w:val="20"/>
          <w:color w:val="auto"/>
        </w:rPr>
      </w:pPr>
    </w:p>
    <w:p>
      <w:pPr>
        <w:ind w:right="20" w:firstLine="1018"/>
        <w:spacing w:after="0" w:line="31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63" w:lineRule="exact"/>
        <w:rPr>
          <w:sz w:val="20"/>
          <w:szCs w:val="20"/>
          <w:color w:val="auto"/>
        </w:rPr>
      </w:pPr>
    </w:p>
    <w:p>
      <w:pPr>
        <w:ind w:right="20" w:firstLine="1018"/>
        <w:spacing w:after="0" w:line="290" w:lineRule="auto"/>
        <w:rPr>
          <w:sz w:val="20"/>
          <w:szCs w:val="20"/>
          <w:color w:val="auto"/>
        </w:rPr>
      </w:pPr>
      <w:r>
        <w:rPr>
          <w:rFonts w:ascii="Arial" w:cs="Arial" w:eastAsia="Arial" w:hAnsi="Arial"/>
          <w:sz w:val="17"/>
          <w:szCs w:val="17"/>
          <w:color w:val="auto"/>
        </w:rPr>
        <w:t>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351"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380" w:firstLine="1018"/>
        <w:spacing w:after="0" w:line="275"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85" w:lineRule="exact"/>
        <w:rPr>
          <w:sz w:val="20"/>
          <w:szCs w:val="20"/>
          <w:color w:val="auto"/>
        </w:rPr>
      </w:pPr>
    </w:p>
    <w:p>
      <w:pPr>
        <w:ind w:right="40" w:firstLine="1018"/>
        <w:spacing w:after="0" w:line="292" w:lineRule="auto"/>
        <w:rPr>
          <w:sz w:val="20"/>
          <w:szCs w:val="20"/>
          <w:color w:val="auto"/>
        </w:rPr>
      </w:pPr>
      <w:r>
        <w:rPr>
          <w:rFonts w:ascii="Arial" w:cs="Arial" w:eastAsia="Arial" w:hAnsi="Arial"/>
          <w:sz w:val="17"/>
          <w:szCs w:val="17"/>
          <w:color w:val="auto"/>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Among the provisions of the ACA of importance to our potential product candidates are the following:</w:t>
      </w:r>
    </w:p>
    <w:p>
      <w:pPr>
        <w:spacing w:after="0" w:line="174" w:lineRule="exact"/>
        <w:rPr>
          <w:sz w:val="20"/>
          <w:szCs w:val="20"/>
          <w:color w:val="auto"/>
        </w:rPr>
      </w:pPr>
    </w:p>
    <w:p>
      <w:pPr>
        <w:jc w:val="both"/>
        <w:ind w:left="1360" w:right="180"/>
        <w:spacing w:after="0" w:line="279" w:lineRule="auto"/>
        <w:rPr>
          <w:sz w:val="20"/>
          <w:szCs w:val="20"/>
          <w:color w:val="auto"/>
        </w:rPr>
      </w:pPr>
      <w:r>
        <w:rPr>
          <w:rFonts w:ascii="Arial" w:cs="Arial" w:eastAsia="Arial" w:hAnsi="Arial"/>
          <w:sz w:val="18"/>
          <w:szCs w:val="18"/>
          <w:color w:val="auto"/>
        </w:rPr>
        <w:t>an annual, non-tax deductible fee payable by any entity that manufactures or imports specified branded prescription drugs and biologic agents payable to the federal government based on each company’s market share of prior year total sales of branded products to certain federal healthcare programs;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39" w:lineRule="exact"/>
        <w:rPr>
          <w:sz w:val="20"/>
          <w:szCs w:val="20"/>
          <w:color w:val="auto"/>
        </w:rPr>
      </w:pPr>
    </w:p>
    <w:p>
      <w:pPr>
        <w:ind w:left="1360" w:right="80"/>
        <w:spacing w:after="0" w:line="293" w:lineRule="auto"/>
        <w:rPr>
          <w:sz w:val="20"/>
          <w:szCs w:val="20"/>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ind w:left="1360"/>
        <w:spacing w:after="0"/>
        <w:rPr>
          <w:sz w:val="20"/>
          <w:szCs w:val="20"/>
          <w:color w:val="auto"/>
        </w:rPr>
      </w:pPr>
      <w:r>
        <w:rPr>
          <w:rFonts w:ascii="Arial" w:cs="Arial" w:eastAsia="Arial" w:hAnsi="Arial"/>
          <w:sz w:val="18"/>
          <w:szCs w:val="18"/>
          <w:color w:val="auto"/>
        </w:rPr>
        <w:t>expansion of eligibility criteria for Medicaid programs in certain states;</w:t>
      </w:r>
    </w:p>
    <w:p>
      <w:pPr>
        <w:spacing w:after="0" w:line="239" w:lineRule="exact"/>
        <w:rPr>
          <w:sz w:val="20"/>
          <w:szCs w:val="20"/>
          <w:color w:val="auto"/>
        </w:rPr>
      </w:pPr>
    </w:p>
    <w:p>
      <w:pPr>
        <w:ind w:left="1360"/>
        <w:spacing w:after="0" w:line="275" w:lineRule="auto"/>
        <w:rPr>
          <w:sz w:val="20"/>
          <w:szCs w:val="20"/>
          <w:color w:val="auto"/>
        </w:rPr>
      </w:pPr>
      <w:r>
        <w:rPr>
          <w:rFonts w:ascii="Arial" w:cs="Arial" w:eastAsia="Arial" w:hAnsi="Arial"/>
          <w:sz w:val="18"/>
          <w:szCs w:val="18"/>
          <w:color w:val="auto"/>
        </w:rPr>
        <w:t>a new Medicare Part D coverage gap discount program, in which manufacturers must now agree to offer 50% (increased to 70% pursuant to the Bipartisan Budget Act of 2018, effective as of January 1, 2019) point-of-sale discounts off negotiated prices of applicable brand drugs to eligible beneficiaries under their coverage gap period, as a condition for the manufacturer’s outpatient drugs to be covered under Medicare Part D;</w:t>
      </w:r>
    </w:p>
    <w:p>
      <w:pPr>
        <w:spacing w:after="0" w:line="18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39" w:lineRule="exact"/>
        <w:rPr>
          <w:sz w:val="20"/>
          <w:szCs w:val="20"/>
          <w:color w:val="auto"/>
        </w:rPr>
      </w:pPr>
    </w:p>
    <w:p>
      <w:pPr>
        <w:ind w:left="1360" w:right="340"/>
        <w:spacing w:after="0" w:line="293" w:lineRule="auto"/>
        <w:rPr>
          <w:sz w:val="20"/>
          <w:szCs w:val="20"/>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40" w:firstLine="1018"/>
        <w:spacing w:after="0" w:line="303"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For example, the Tax Cuts and Jobs Act of 2017 ("Tax Act"), included a provision that decreased the tax-based shared responsibility payment imposed by the ACA on certain individuals who fail to maintain qualifying health coverage for all or part of a year,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The United States Supreme Court is currently reviewing this case, although it is unclear when a decision will be made or how the Supreme Court will rule. On February 10, 2021, the Biden administration withdrew the federal government’s support for overturning the ACA. Further, although the Supreme Court has not yet ruled on the constitutionality of the ACA, President Biden issued an executive order to initiate a special enrollment period for purposes of obtaining health insurance coverage through the ACA marketplace, which began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74" w:lineRule="exact"/>
        <w:rPr>
          <w:sz w:val="20"/>
          <w:szCs w:val="20"/>
          <w:color w:val="auto"/>
        </w:rPr>
      </w:pPr>
    </w:p>
    <w:p>
      <w:pPr>
        <w:ind w:right="60" w:firstLine="1018"/>
        <w:spacing w:after="0" w:line="304"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December 31, 2021 due to the COVID-19 pandemic. In January 2013, the American Taxpayer Relief Act of 2012 was signed into law, which, among other things, further reduced Medicare payments to several types of providers and increased the statute of limitations period in which the government may recover overpayments to providers from three to five years. 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It is unclear whether the Biden administration will work to reverse these measures or pursue similar policy initiatives.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w:t>
      </w:r>
    </w:p>
    <w:p>
      <w:pPr>
        <w:spacing w:after="0" w:line="170" w:lineRule="exact"/>
        <w:rPr>
          <w:sz w:val="20"/>
          <w:szCs w:val="20"/>
          <w:color w:val="auto"/>
        </w:rPr>
      </w:pPr>
    </w:p>
    <w:p>
      <w:pPr>
        <w:ind w:right="40" w:firstLine="1018"/>
        <w:spacing w:after="0" w:line="279"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presidential administration, any of which could limit the amounts that federal and state governments will pay for healthcare therapies, which could result in reduced demand for our product candidates or additional pricing pressures.</w:t>
      </w:r>
    </w:p>
    <w:p>
      <w:pPr>
        <w:spacing w:after="0" w:line="183"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Further, it is possible that additional governmental action is taken in response to the COVID-19 pandemic.</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39" w:lineRule="exact"/>
        <w:rPr>
          <w:sz w:val="20"/>
          <w:szCs w:val="20"/>
          <w:color w:val="auto"/>
        </w:rPr>
      </w:pPr>
    </w:p>
    <w:p>
      <w:pPr>
        <w:ind w:right="20" w:firstLine="1018"/>
        <w:spacing w:after="0" w:line="308" w:lineRule="auto"/>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63" w:lineRule="exact"/>
        <w:rPr>
          <w:sz w:val="20"/>
          <w:szCs w:val="20"/>
          <w:color w:val="auto"/>
        </w:rPr>
      </w:pPr>
    </w:p>
    <w:p>
      <w:pPr>
        <w:ind w:right="240"/>
        <w:spacing w:after="0" w:line="359" w:lineRule="auto"/>
        <w:rPr>
          <w:sz w:val="20"/>
          <w:szCs w:val="20"/>
          <w:color w:val="auto"/>
        </w:rPr>
      </w:pPr>
      <w:r>
        <w:rPr>
          <w:rFonts w:ascii="Arial" w:cs="Arial" w:eastAsia="Arial" w:hAnsi="Arial"/>
          <w:sz w:val="16"/>
          <w:szCs w:val="16"/>
          <w:b w:val="1"/>
          <w:bCs w:val="1"/>
          <w:i w:val="1"/>
          <w:iCs w:val="1"/>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25" w:lineRule="exact"/>
        <w:rPr>
          <w:sz w:val="20"/>
          <w:szCs w:val="20"/>
          <w:color w:val="auto"/>
        </w:rPr>
      </w:pPr>
    </w:p>
    <w:p>
      <w:pPr>
        <w:ind w:right="60" w:firstLine="1018"/>
        <w:spacing w:after="0" w:line="286" w:lineRule="auto"/>
        <w:rPr>
          <w:sz w:val="20"/>
          <w:szCs w:val="20"/>
          <w:color w:val="auto"/>
        </w:rPr>
      </w:pPr>
      <w:r>
        <w:rPr>
          <w:rFonts w:ascii="Arial" w:cs="Arial" w:eastAsia="Arial" w:hAnsi="Arial"/>
          <w:sz w:val="17"/>
          <w:szCs w:val="17"/>
          <w:color w:val="auto"/>
        </w:rPr>
        <w:t>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founder and Executive Chairman, Mir Imran, and our existing senior management team, especially Talat Imran, our Chief Executive Officer, Mir Hashim, our Chief Scientific Officer, Svai Sanford, our Chief Financial Officer and Stephanie McGrory, our Vice President of Business Development.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medical, regulatory, manufacturing and management training and skills.</w:t>
      </w:r>
    </w:p>
    <w:p>
      <w:pPr>
        <w:spacing w:after="0" w:line="182" w:lineRule="exact"/>
        <w:rPr>
          <w:sz w:val="20"/>
          <w:szCs w:val="20"/>
          <w:color w:val="auto"/>
        </w:rPr>
      </w:pPr>
    </w:p>
    <w:p>
      <w:pPr>
        <w:ind w:right="240" w:firstLine="1018"/>
        <w:spacing w:after="0" w:line="311" w:lineRule="auto"/>
        <w:rPr>
          <w:sz w:val="20"/>
          <w:szCs w:val="20"/>
          <w:color w:val="auto"/>
        </w:rPr>
      </w:pPr>
      <w:r>
        <w:rPr>
          <w:rFonts w:ascii="Arial" w:cs="Arial" w:eastAsia="Arial" w:hAnsi="Arial"/>
          <w:sz w:val="16"/>
          <w:szCs w:val="16"/>
          <w:color w:val="auto"/>
        </w:rPr>
        <w:t>We may not be able to attract or retain qualified personnel in the future due to the intense competition for a limited number of qualified personnel among biotherapeutics, biotechnology, pharmaceutical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expand the size of our organization, and we may experience difficulties in managing this growth.</w:t>
      </w:r>
    </w:p>
    <w:p>
      <w:pPr>
        <w:spacing w:after="0" w:line="239" w:lineRule="exact"/>
        <w:rPr>
          <w:sz w:val="20"/>
          <w:szCs w:val="20"/>
          <w:color w:val="auto"/>
        </w:rPr>
      </w:pPr>
    </w:p>
    <w:p>
      <w:pPr>
        <w:ind w:right="20" w:firstLine="1018"/>
        <w:spacing w:after="0" w:line="303" w:lineRule="auto"/>
        <w:rPr>
          <w:sz w:val="20"/>
          <w:szCs w:val="20"/>
          <w:color w:val="auto"/>
        </w:rPr>
      </w:pPr>
      <w:r>
        <w:rPr>
          <w:rFonts w:ascii="Arial" w:cs="Arial" w:eastAsia="Arial" w:hAnsi="Arial"/>
          <w:sz w:val="17"/>
          <w:szCs w:val="17"/>
          <w:color w:val="auto"/>
        </w:rPr>
        <w:t>As of June 30, 2021, we had 78 full-time employees. As our development and commercialization plans and strategies develop and we operate as a public company, we expect to need additional managerial, operational, scientific, sales, marketing, development, regulatory, manufacturing, financial and other resources. Future growth would impose significant added responsibilities on members of management, including:</w:t>
      </w:r>
    </w:p>
    <w:p>
      <w:pPr>
        <w:spacing w:after="0" w:line="16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designing and managing our clinical trials effectively;</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identifying, recruiting, maintaining, motivating and integrating additional employees;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managing our manufacturing and development efforts effectively;</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improving our managerial, development, operational and financial systems and controls;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expanding our facilities.</w:t>
      </w:r>
    </w:p>
    <w:p>
      <w:pPr>
        <w:spacing w:after="0" w:line="239" w:lineRule="exact"/>
        <w:rPr>
          <w:sz w:val="20"/>
          <w:szCs w:val="20"/>
          <w:color w:val="auto"/>
        </w:rPr>
      </w:pPr>
    </w:p>
    <w:p>
      <w:pPr>
        <w:jc w:val="both"/>
        <w:ind w:right="180" w:firstLine="1018"/>
        <w:spacing w:after="0" w:line="266" w:lineRule="auto"/>
        <w:rPr>
          <w:sz w:val="20"/>
          <w:szCs w:val="20"/>
          <w:color w:val="auto"/>
        </w:rPr>
      </w:pPr>
      <w:r>
        <w:rPr>
          <w:rFonts w:ascii="Arial" w:cs="Arial" w:eastAsia="Arial" w:hAnsi="Arial"/>
          <w:sz w:val="18"/>
          <w:szCs w:val="18"/>
          <w:color w:val="auto"/>
        </w:rPr>
        <w:t>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accomplishing these tasks in growing our company, and our failure to accomplish any of them could adversely affect our business and operations.</w:t>
      </w:r>
    </w:p>
    <w:p>
      <w:pPr>
        <w:spacing w:after="0" w:line="250"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70" w:lineRule="exact"/>
        <w:rPr>
          <w:sz w:val="20"/>
          <w:szCs w:val="20"/>
          <w:color w:val="auto"/>
        </w:rPr>
      </w:pPr>
    </w:p>
    <w:p>
      <w:pPr>
        <w:ind w:right="40" w:firstLine="1018"/>
        <w:spacing w:after="0" w:line="290" w:lineRule="auto"/>
        <w:rPr>
          <w:sz w:val="20"/>
          <w:szCs w:val="20"/>
          <w:color w:val="auto"/>
        </w:rPr>
      </w:pPr>
      <w:r>
        <w:rPr>
          <w:rFonts w:ascii="Arial" w:cs="Arial" w:eastAsia="Arial" w:hAnsi="Arial"/>
          <w:sz w:val="17"/>
          <w:szCs w:val="17"/>
          <w:color w:val="auto"/>
        </w:rPr>
        <w:t>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available capital resources or capital constraints we experience;</w:t>
      </w:r>
    </w:p>
    <w:p>
      <w:pPr>
        <w:spacing w:after="0" w:line="239" w:lineRule="exact"/>
        <w:rPr>
          <w:sz w:val="20"/>
          <w:szCs w:val="20"/>
          <w:color w:val="auto"/>
        </w:rPr>
      </w:pPr>
    </w:p>
    <w:p>
      <w:pPr>
        <w:ind w:left="1360" w:right="220"/>
        <w:spacing w:after="0" w:line="279" w:lineRule="auto"/>
        <w:rPr>
          <w:sz w:val="20"/>
          <w:szCs w:val="20"/>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receipt of approvals by the FDA and comparable foreign regulatory authorities and the timing thereof;</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other actions, decisions or rules issued by regulators;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our ability to access sufficient, reliable and affordable supplies of compounds used in the manufacture of our product candidates;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ability of our suppliers to reliably provide the quantity of materials needed to manufacture and commercialize our products;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non-occurrence of adverse events or serious adverse events in preclinical studies or clinical trials of our product candidates;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efforts of our collaborators and the success of our own efforts with respect to the commercialization of our products; and</w:t>
      </w:r>
    </w:p>
    <w:p>
      <w:pPr>
        <w:spacing w:after="0" w:line="239" w:lineRule="exact"/>
        <w:rPr>
          <w:sz w:val="20"/>
          <w:szCs w:val="20"/>
          <w:color w:val="auto"/>
        </w:rPr>
      </w:pPr>
    </w:p>
    <w:p>
      <w:pPr>
        <w:ind w:left="1360" w:right="120"/>
        <w:spacing w:after="0" w:line="293" w:lineRule="auto"/>
        <w:rPr>
          <w:sz w:val="20"/>
          <w:szCs w:val="20"/>
          <w:color w:val="auto"/>
        </w:rPr>
      </w:pPr>
      <w:r>
        <w:rPr>
          <w:rFonts w:ascii="Arial" w:cs="Arial" w:eastAsia="Arial" w:hAnsi="Arial"/>
          <w:sz w:val="18"/>
          <w:szCs w:val="18"/>
          <w:color w:val="auto"/>
        </w:rPr>
        <w:t>the securing of, costs related to, and timing issues associated with, product manufacturing, including scale and automation processes, as well as sales and marketing activities.</w:t>
      </w:r>
    </w:p>
    <w:p>
      <w:pPr>
        <w:spacing w:after="0" w:line="345" w:lineRule="exact"/>
        <w:rPr>
          <w:sz w:val="20"/>
          <w:szCs w:val="20"/>
          <w:color w:val="auto"/>
        </w:rPr>
      </w:pPr>
    </w:p>
    <w:p>
      <w:pPr>
        <w:ind w:right="100" w:firstLine="1018"/>
        <w:spacing w:after="0" w:line="293" w:lineRule="auto"/>
        <w:rPr>
          <w:sz w:val="20"/>
          <w:szCs w:val="20"/>
          <w:color w:val="auto"/>
        </w:rPr>
      </w:pPr>
      <w:r>
        <w:rPr>
          <w:rFonts w:ascii="Arial" w:cs="Arial" w:eastAsia="Arial" w:hAnsi="Arial"/>
          <w:sz w:val="18"/>
          <w:szCs w:val="18"/>
          <w:color w:val="auto"/>
        </w:rPr>
        <w:t>If we fail to achieve announced milestones in the timeframes we announce and expect, the commercialization of our product candidates may be delayed and our business and results of operations may be harmed.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73" w:lineRule="exact"/>
        <w:rPr>
          <w:sz w:val="20"/>
          <w:szCs w:val="20"/>
          <w:color w:val="auto"/>
        </w:rPr>
      </w:pPr>
    </w:p>
    <w:p>
      <w:pPr>
        <w:ind w:right="40" w:firstLine="1018"/>
        <w:spacing w:after="0" w:line="281"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i w:val="1"/>
          <w:iCs w:val="1"/>
          <w:color w:val="auto"/>
        </w:rPr>
        <w:t>Our insurance policies are expensive and only protect us from some business risks, which will leave us exposed to significant uninsured liabilities.</w:t>
      </w:r>
    </w:p>
    <w:p>
      <w:pPr>
        <w:spacing w:after="0" w:line="262" w:lineRule="exact"/>
        <w:rPr>
          <w:sz w:val="20"/>
          <w:szCs w:val="20"/>
          <w:color w:val="auto"/>
        </w:rPr>
      </w:pPr>
    </w:p>
    <w:p>
      <w:pPr>
        <w:ind w:right="80" w:firstLine="1018"/>
        <w:spacing w:after="0" w:line="275"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85"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20" w:firstLine="1018"/>
        <w:spacing w:after="0" w:line="29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6" w:lineRule="exact"/>
        <w:rPr>
          <w:sz w:val="20"/>
          <w:szCs w:val="20"/>
          <w:color w:val="auto"/>
        </w:rPr>
      </w:pPr>
    </w:p>
    <w:p>
      <w:pPr>
        <w:ind w:firstLine="1018"/>
        <w:spacing w:after="0" w:line="272"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366" w:lineRule="exact"/>
        <w:rPr>
          <w:sz w:val="20"/>
          <w:szCs w:val="20"/>
          <w:color w:val="auto"/>
        </w:rPr>
      </w:pPr>
    </w:p>
    <w:p>
      <w:pPr>
        <w:ind w:right="480"/>
        <w:spacing w:after="0" w:line="359" w:lineRule="auto"/>
        <w:rPr>
          <w:sz w:val="20"/>
          <w:szCs w:val="20"/>
          <w:color w:val="auto"/>
        </w:rPr>
      </w:pPr>
      <w:r>
        <w:rPr>
          <w:rFonts w:ascii="Arial" w:cs="Arial" w:eastAsia="Arial" w:hAnsi="Arial"/>
          <w:sz w:val="16"/>
          <w:szCs w:val="16"/>
          <w:b w:val="1"/>
          <w:bCs w:val="1"/>
          <w:i w:val="1"/>
          <w:iCs w:val="1"/>
          <w:color w:val="auto"/>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p>
    <w:p>
      <w:pPr>
        <w:spacing w:after="0" w:line="125"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 (ii) 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83" w:lineRule="exact"/>
        <w:rPr>
          <w:sz w:val="20"/>
          <w:szCs w:val="20"/>
          <w:color w:val="auto"/>
        </w:rPr>
      </w:pPr>
    </w:p>
    <w:p>
      <w:pPr>
        <w:ind w:right="220" w:firstLine="1018"/>
        <w:spacing w:after="0" w:line="279" w:lineRule="auto"/>
        <w:rPr>
          <w:sz w:val="20"/>
          <w:szCs w:val="20"/>
          <w:color w:val="auto"/>
        </w:rPr>
      </w:pPr>
      <w:r>
        <w:rPr>
          <w:rFonts w:ascii="Arial" w:cs="Arial" w:eastAsia="Arial" w:hAnsi="Arial"/>
          <w:sz w:val="18"/>
          <w:szCs w:val="18"/>
          <w:color w:val="auto"/>
        </w:rPr>
        <w:t>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is located in San Jose, which in the past has experienced severe earthquakes and fires.</w:t>
      </w:r>
    </w:p>
    <w:p>
      <w:pPr>
        <w:spacing w:after="0" w:line="183" w:lineRule="exact"/>
        <w:rPr>
          <w:sz w:val="20"/>
          <w:szCs w:val="20"/>
          <w:color w:val="auto"/>
        </w:rPr>
      </w:pPr>
    </w:p>
    <w:p>
      <w:pPr>
        <w:ind w:right="500" w:firstLine="1018"/>
        <w:spacing w:after="0" w:line="293"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jc w:val="both"/>
        <w:ind w:right="460" w:firstLine="1018"/>
        <w:spacing w:after="0" w:line="266"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damaged critical infrastructure, such as our data storage facilities or financial systems, or that otherwise disrupted operations, it may be difficult or, in certain cases, impossible for us to continue our business for a substantial period of time. We do</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8" w:name="page79"/>
    <w:bookmarkEnd w:id="78"/>
    <w:p>
      <w:pPr>
        <w:ind w:right="60"/>
        <w:spacing w:after="0" w:line="272" w:lineRule="auto"/>
        <w:rPr>
          <w:sz w:val="20"/>
          <w:szCs w:val="20"/>
          <w:color w:val="auto"/>
        </w:rPr>
      </w:pPr>
      <w:r>
        <w:rPr>
          <w:rFonts w:ascii="Arial" w:cs="Arial" w:eastAsia="Arial" w:hAnsi="Arial"/>
          <w:sz w:val="18"/>
          <w:szCs w:val="18"/>
          <w:color w:val="auto"/>
        </w:rPr>
        <w:t>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w:t>
      </w:r>
    </w:p>
    <w:p>
      <w:pPr>
        <w:spacing w:after="0" w:line="366" w:lineRule="exact"/>
        <w:rPr>
          <w:sz w:val="20"/>
          <w:szCs w:val="20"/>
          <w:color w:val="auto"/>
        </w:rPr>
      </w:pPr>
    </w:p>
    <w:p>
      <w:pPr>
        <w:ind w:right="100"/>
        <w:spacing w:after="0" w:line="399"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01" w:lineRule="exact"/>
        <w:rPr>
          <w:sz w:val="20"/>
          <w:szCs w:val="20"/>
          <w:color w:val="auto"/>
        </w:rPr>
      </w:pPr>
    </w:p>
    <w:p>
      <w:pPr>
        <w:ind w:right="40" w:firstLine="1018"/>
        <w:spacing w:after="0" w:line="296"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0" w:lineRule="exact"/>
        <w:rPr>
          <w:sz w:val="20"/>
          <w:szCs w:val="20"/>
          <w:color w:val="auto"/>
        </w:rPr>
      </w:pPr>
    </w:p>
    <w:p>
      <w:pPr>
        <w:ind w:right="20" w:firstLine="1018"/>
        <w:spacing w:after="0" w:line="292"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authorities,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4"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to prioritized basis and may experience delays in their regulatory activities. The FDA has developed a rating system to assist in determining when and where it is safest to conduct prioritized domestic inspections and resumed inspections in China and India in 2021. In April 2021, the FDA issued guidance for industry formally announcing plans to employ remote interactive evaluations, using risk management methods, to meet user fee commitments and goal dates. Should FDA determine that an inspection is necessary for approval and inspection cannot be completed during the review cycle due to restrictions on travel, and the FDA does not determine a remote interaction evaluation to be appropriate, the agency has stated that it generally intends to issue a complete response letter. Further, if there is an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If a prolonged government shutdown occurs, or if global health concerns continue to prevent the FDA or comparable foreign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preclinical studies and clinical trials.</w:t>
      </w:r>
    </w:p>
    <w:p>
      <w:pPr>
        <w:spacing w:after="0" w:line="250"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Since COVID-19 surfaced in Fall 2019, the virus has spread to numerous countries, including the United States, resulting in the World Health Organization characterizing COVID-19 as a pandemic. As a result of the COVID-19 pandemic, we have experienced and may continue to experience delays in our preclinical and planned clinical development activities.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The extent to which the COVID-19 pandemic will impact our business will depend on future developments, which are highly uncertain and cannot be predicted, such as the continued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could experience other disruptions that could severely impact our business, current and planned clinical trials and preclinical studies, including:</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inability of our management to travel in connection with establishing partnerships and collaborations;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ind w:left="1360"/>
        <w:spacing w:after="0"/>
        <w:rPr>
          <w:sz w:val="20"/>
          <w:szCs w:val="20"/>
          <w:color w:val="auto"/>
        </w:rPr>
      </w:pPr>
      <w:r>
        <w:rPr>
          <w:rFonts w:ascii="Arial" w:cs="Arial" w:eastAsia="Arial" w:hAnsi="Arial"/>
          <w:sz w:val="18"/>
          <w:szCs w:val="18"/>
          <w:color w:val="auto"/>
        </w:rPr>
        <w:t>delays in receiving the supplies, materials and services needed to conduct preclinical studies and clinical trials;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disruption of our access to capital in the global financial markets;</w:t>
      </w:r>
    </w:p>
    <w:p>
      <w:pPr>
        <w:spacing w:after="0" w:line="239" w:lineRule="exact"/>
        <w:rPr>
          <w:sz w:val="20"/>
          <w:szCs w:val="20"/>
          <w:color w:val="auto"/>
        </w:rPr>
      </w:pPr>
    </w:p>
    <w:p>
      <w:pPr>
        <w:ind w:left="1360" w:right="460"/>
        <w:spacing w:after="0" w:line="324" w:lineRule="auto"/>
        <w:rPr>
          <w:sz w:val="20"/>
          <w:szCs w:val="20"/>
          <w:color w:val="auto"/>
        </w:rPr>
      </w:pPr>
      <w:r>
        <w:rPr>
          <w:rFonts w:ascii="Arial" w:cs="Arial" w:eastAsia="Arial" w:hAnsi="Arial"/>
          <w:sz w:val="17"/>
          <w:szCs w:val="17"/>
          <w:color w:val="auto"/>
        </w:rPr>
        <w:t>delays or difficulties in enrolling patients in our planned Phase 1 clinical trials of RT-102, RT-109 (an oral administration of human growth hormone ("hGH") for the treatment of growth hormone deficiency) and our other future clinical trials;</w:t>
      </w:r>
    </w:p>
    <w:p>
      <w:pPr>
        <w:spacing w:after="0" w:line="14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39" w:lineRule="exact"/>
        <w:rPr>
          <w:sz w:val="20"/>
          <w:szCs w:val="20"/>
          <w:color w:val="auto"/>
        </w:rPr>
      </w:pPr>
    </w:p>
    <w:p>
      <w:pPr>
        <w:jc w:val="both"/>
        <w:ind w:left="1360" w:right="60"/>
        <w:spacing w:after="0" w:line="293" w:lineRule="auto"/>
        <w:rPr>
          <w:sz w:val="20"/>
          <w:szCs w:val="20"/>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170" w:lineRule="exact"/>
        <w:rPr>
          <w:sz w:val="20"/>
          <w:szCs w:val="20"/>
          <w:color w:val="auto"/>
        </w:rPr>
      </w:pPr>
    </w:p>
    <w:p>
      <w:pPr>
        <w:jc w:val="both"/>
        <w:ind w:left="1360" w:right="60"/>
        <w:spacing w:after="0" w:line="279" w:lineRule="auto"/>
        <w:rPr>
          <w:sz w:val="20"/>
          <w:szCs w:val="20"/>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183" w:lineRule="exact"/>
        <w:rPr>
          <w:sz w:val="20"/>
          <w:szCs w:val="20"/>
          <w:color w:val="auto"/>
        </w:rPr>
      </w:pPr>
    </w:p>
    <w:p>
      <w:pPr>
        <w:ind w:left="1360" w:right="240"/>
        <w:spacing w:after="0" w:line="329" w:lineRule="auto"/>
        <w:rPr>
          <w:sz w:val="20"/>
          <w:szCs w:val="20"/>
          <w:color w:val="auto"/>
        </w:rPr>
      </w:pPr>
      <w:r>
        <w:rPr>
          <w:rFonts w:ascii="Arial" w:cs="Arial" w:eastAsia="Arial" w:hAnsi="Arial"/>
          <w:sz w:val="16"/>
          <w:szCs w:val="16"/>
          <w:color w:val="auto"/>
        </w:rPr>
        <w:t>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w:t>
      </w:r>
    </w:p>
    <w:p>
      <w:pPr>
        <w:spacing w:after="0" w:line="148" w:lineRule="exact"/>
        <w:rPr>
          <w:sz w:val="20"/>
          <w:szCs w:val="20"/>
          <w:color w:val="auto"/>
        </w:rPr>
      </w:pPr>
    </w:p>
    <w:p>
      <w:pPr>
        <w:ind w:left="1360" w:right="680"/>
        <w:spacing w:after="0" w:line="293" w:lineRule="auto"/>
        <w:rPr>
          <w:sz w:val="20"/>
          <w:szCs w:val="20"/>
          <w:color w:val="auto"/>
        </w:rPr>
      </w:pPr>
      <w:r>
        <w:rPr>
          <w:rFonts w:ascii="Arial" w:cs="Arial" w:eastAsia="Arial" w:hAnsi="Arial"/>
          <w:sz w:val="18"/>
          <w:szCs w:val="18"/>
          <w:color w:val="auto"/>
        </w:rPr>
        <w:t>interruptions or delays in the operations of the FDA or comparable foreign regulatory authorities, which may impact review and approval timelines;</w:t>
      </w:r>
    </w:p>
    <w:p>
      <w:pPr>
        <w:spacing w:after="0" w:line="170" w:lineRule="exact"/>
        <w:rPr>
          <w:sz w:val="20"/>
          <w:szCs w:val="20"/>
          <w:color w:val="auto"/>
        </w:rPr>
      </w:pPr>
    </w:p>
    <w:p>
      <w:pPr>
        <w:ind w:left="1360" w:right="180"/>
        <w:spacing w:after="0" w:line="324" w:lineRule="auto"/>
        <w:rPr>
          <w:sz w:val="20"/>
          <w:szCs w:val="20"/>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which may result in unexpected costs or require us to discontinue clinical trials altogether;</w:t>
      </w:r>
    </w:p>
    <w:p>
      <w:pPr>
        <w:spacing w:after="0" w:line="14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interruptions or delays to our pipeline and research programs; and</w:t>
      </w:r>
    </w:p>
    <w:p>
      <w:pPr>
        <w:spacing w:after="0" w:line="239" w:lineRule="exact"/>
        <w:rPr>
          <w:sz w:val="20"/>
          <w:szCs w:val="20"/>
          <w:color w:val="auto"/>
        </w:rPr>
      </w:pPr>
    </w:p>
    <w:p>
      <w:pPr>
        <w:ind w:left="1360" w:right="340"/>
        <w:spacing w:after="0" w:line="293" w:lineRule="auto"/>
        <w:rPr>
          <w:sz w:val="20"/>
          <w:szCs w:val="20"/>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furlough of government or contractor personnel.</w:t>
      </w:r>
    </w:p>
    <w:p>
      <w:pPr>
        <w:spacing w:after="0" w:line="170"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Further, as a result of the COVID-19 pandemic, the extent and length of which is uncertain, we may be required to develop and implement additional clinical trial policies and procedures designed to help protect trial participants from the COVID-19 virus, which may include using telemedicine visits, remote monitoring of patients and clinical sites, and measures to ensure that data from clinical trials that may be disrupted as a result of the pandemic are collected pursuant to the trial protocol and consistent with GCPs, with any material protocol deviation reviewed and approved by the site IRB. Patients who may miss scheduled appointments, any interruption in trial drug supply, or other consequence that may result in incomplete data being generated during a trial as a result of the pandemic must be adequately documented and justified. For example, on March 18, 2020, the FDA issued a guidance on conducting clinical trials during the pandemic, which describe a number of considerations for sponsors of clinical trials impacted by the pandemic, including the requirement to include in the clinical trial report (or as a separate document) contingency measures implemented to manage the trial, and any disruption of the trial as a result of the COVID-19 pandemic; a list of all trial participants affected by the COVID-19-pandemic related trial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trial, alternative procedures used to collect critical safety and/or efficacy data) on the safety and efficacy results reported for the trial.</w:t>
      </w:r>
    </w:p>
    <w:p>
      <w:pPr>
        <w:spacing w:after="0" w:line="173" w:lineRule="exact"/>
        <w:rPr>
          <w:sz w:val="20"/>
          <w:szCs w:val="20"/>
          <w:color w:val="auto"/>
        </w:rPr>
      </w:pPr>
    </w:p>
    <w:p>
      <w:pPr>
        <w:ind w:right="60" w:firstLine="1018"/>
        <w:spacing w:after="0" w:line="272" w:lineRule="auto"/>
        <w:rPr>
          <w:sz w:val="20"/>
          <w:szCs w:val="20"/>
          <w:color w:val="auto"/>
        </w:rPr>
      </w:pPr>
      <w:r>
        <w:rPr>
          <w:rFonts w:ascii="Arial" w:cs="Arial" w:eastAsia="Arial" w:hAnsi="Arial"/>
          <w:sz w:val="18"/>
          <w:szCs w:val="18"/>
          <w:color w:val="auto"/>
        </w:rPr>
        <w:t>Further, the COVID-19 pandemic may impact patient enrollment in our planned future Phase 1 clinical trials. In particular, some sites may delay enrollment to focus on, and direct resources to, COVID-19, while at other sites, patients may choose not to enroll or continue participating in the clinical trial as a result of the pandemic. Potential patients in our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191" w:lineRule="exact"/>
        <w:rPr>
          <w:sz w:val="20"/>
          <w:szCs w:val="20"/>
          <w:color w:val="auto"/>
        </w:rPr>
      </w:pPr>
    </w:p>
    <w:p>
      <w:pPr>
        <w:ind w:right="220" w:firstLine="1018"/>
        <w:spacing w:after="0" w:line="266" w:lineRule="auto"/>
        <w:rPr>
          <w:sz w:val="20"/>
          <w:szCs w:val="20"/>
          <w:color w:val="auto"/>
        </w:rPr>
      </w:pPr>
      <w:r>
        <w:rPr>
          <w:rFonts w:ascii="Arial" w:cs="Arial" w:eastAsia="Arial" w:hAnsi="Arial"/>
          <w:sz w:val="18"/>
          <w:szCs w:val="18"/>
          <w:color w:val="auto"/>
        </w:rPr>
        <w:t>Additionally, three vaccines for COVID-19 were granted Emergency Use Authorization by the FDA in late 2020 and early 2021, and more are likely to be authorized in the coming months. The resultant demand for vaccines and potential for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ind w:right="80"/>
        <w:spacing w:after="0" w:line="359" w:lineRule="auto"/>
        <w:rPr>
          <w:sz w:val="20"/>
          <w:szCs w:val="20"/>
          <w:color w:val="auto"/>
        </w:rPr>
      </w:pPr>
      <w:r>
        <w:rPr>
          <w:rFonts w:ascii="Arial" w:cs="Arial" w:eastAsia="Arial" w:hAnsi="Arial"/>
          <w:sz w:val="16"/>
          <w:szCs w:val="16"/>
          <w:color w:val="auto"/>
        </w:rPr>
        <w:t>manufacturing facilities and materials to be commandeered under the Defense Production Act of 1950, or equivalent foreign legislation, may make it more difficult to obtain materials or manufacturing slots for the products needed for our planned clinical trials, which could lead to delays in these trials.</w:t>
      </w:r>
    </w:p>
    <w:p>
      <w:pPr>
        <w:spacing w:after="0" w:line="125" w:lineRule="exact"/>
        <w:rPr>
          <w:sz w:val="20"/>
          <w:szCs w:val="20"/>
          <w:color w:val="auto"/>
        </w:rPr>
      </w:pPr>
    </w:p>
    <w:p>
      <w:pPr>
        <w:ind w:right="300" w:firstLine="1018"/>
        <w:spacing w:after="0" w:line="292" w:lineRule="auto"/>
        <w:rPr>
          <w:sz w:val="20"/>
          <w:szCs w:val="20"/>
          <w:color w:val="auto"/>
        </w:rPr>
      </w:pPr>
      <w:r>
        <w:rPr>
          <w:rFonts w:ascii="Arial" w:cs="Arial" w:eastAsia="Arial" w:hAnsi="Arial"/>
          <w:sz w:val="17"/>
          <w:szCs w:val="17"/>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Class A common stock or such sales may be on unfavorable terms.</w:t>
      </w:r>
    </w:p>
    <w:p>
      <w:pPr>
        <w:spacing w:after="0" w:line="174" w:lineRule="exact"/>
        <w:rPr>
          <w:sz w:val="20"/>
          <w:szCs w:val="20"/>
          <w:color w:val="auto"/>
        </w:rPr>
      </w:pPr>
    </w:p>
    <w:p>
      <w:pPr>
        <w:ind w:right="180" w:firstLine="1018"/>
        <w:spacing w:after="0" w:line="275" w:lineRule="auto"/>
        <w:rPr>
          <w:sz w:val="20"/>
          <w:szCs w:val="20"/>
          <w:color w:val="auto"/>
        </w:rPr>
      </w:pPr>
      <w:r>
        <w:rPr>
          <w:rFonts w:ascii="Arial" w:cs="Arial" w:eastAsia="Arial" w:hAnsi="Arial"/>
          <w:sz w:val="18"/>
          <w:szCs w:val="18"/>
          <w:color w:val="auto"/>
        </w:rPr>
        <w:t>While the extent of the impact of the COVID-19 pandemic on our business and financial results is uncertain, a continued and prolonged public health crisis such as the COVID-19 pandemic could have a material negative impact on our business, financial condition, and operating results. To the extent the COVID-19 pandemic adversely affects our business and financial results, it may also have the effect of heightening many of the other risks described in this “Risk Factors” section.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internal computer systems, or those used by our third-party collaborators or other contractors or consultants, may fail or suffer security breaches.</w:t>
      </w:r>
    </w:p>
    <w:p>
      <w:pPr>
        <w:spacing w:after="0" w:line="273"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Despite the implementation of security and back-up measures, our internal computer, server, and other information technology systems as well as those of our third-party collaborators, consultants, contractors, suppliers, and service providers, have and may continue to be vulnerable to damage from physical or electronic break-ins, computer viruses, malware, ransomware, natural disasters, terrorism, war, telecommunication and electrical failure, denial of service, and other cyberattacks or disruptive incidents that could result in unauthorized access to, use or disclosure of, corruption of, or loss of sensitive, and/ or proprietary data, including personal information, including health-related information, and could subject us to significant liabilities and regulatory and enforcement actions, and reputational damage.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If we or our third-party collaborators,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The COVID-19 pandemic has generally increased the risk of cybersecurity intrusions. For example, there has been an increase in phishing and spam emails as well as social engineering attempts from “hackers” hoping to use the recent COVID-19 pandemic to their advantage.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the RaniPill capsule could be delayed.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commercial success may depend in part on our ability to build and maintain our intellectual property portfolio.</w:t>
      </w:r>
    </w:p>
    <w:p>
      <w:pPr>
        <w:spacing w:after="0" w:line="239" w:lineRule="exact"/>
        <w:rPr>
          <w:sz w:val="20"/>
          <w:szCs w:val="20"/>
          <w:color w:val="auto"/>
        </w:rPr>
      </w:pPr>
    </w:p>
    <w:p>
      <w:pPr>
        <w:ind w:right="100" w:firstLine="1018"/>
        <w:spacing w:after="0" w:line="319" w:lineRule="auto"/>
        <w:rPr>
          <w:sz w:val="20"/>
          <w:szCs w:val="20"/>
          <w:color w:val="auto"/>
        </w:rPr>
      </w:pPr>
      <w:r>
        <w:rPr>
          <w:rFonts w:ascii="Arial" w:cs="Arial" w:eastAsia="Arial" w:hAnsi="Arial"/>
          <w:sz w:val="16"/>
          <w:szCs w:val="16"/>
          <w:color w:val="auto"/>
        </w:rPr>
        <w:t>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w:t>
      </w:r>
    </w:p>
    <w:p>
      <w:pPr>
        <w:spacing w:after="0" w:line="156" w:lineRule="exact"/>
        <w:rPr>
          <w:sz w:val="20"/>
          <w:szCs w:val="20"/>
          <w:color w:val="auto"/>
        </w:rPr>
      </w:pPr>
    </w:p>
    <w:p>
      <w:pPr>
        <w:ind w:right="80" w:firstLine="1018"/>
        <w:spacing w:after="0" w:line="329" w:lineRule="auto"/>
        <w:rPr>
          <w:sz w:val="20"/>
          <w:szCs w:val="20"/>
          <w:color w:val="auto"/>
        </w:rPr>
      </w:pPr>
      <w:r>
        <w:rPr>
          <w:rFonts w:ascii="Arial" w:cs="Arial" w:eastAsia="Arial" w:hAnsi="Arial"/>
          <w:sz w:val="16"/>
          <w:szCs w:val="16"/>
          <w:color w:val="auto"/>
        </w:rPr>
        <w:t>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w:t>
      </w:r>
    </w:p>
    <w:p>
      <w:pPr>
        <w:spacing w:after="0" w:line="148" w:lineRule="exact"/>
        <w:rPr>
          <w:sz w:val="20"/>
          <w:szCs w:val="20"/>
          <w:color w:val="auto"/>
        </w:rPr>
      </w:pPr>
    </w:p>
    <w:p>
      <w:pPr>
        <w:ind w:right="660" w:firstLine="1018"/>
        <w:spacing w:after="0" w:line="299" w:lineRule="auto"/>
        <w:rPr>
          <w:sz w:val="20"/>
          <w:szCs w:val="20"/>
          <w:color w:val="auto"/>
        </w:rPr>
      </w:pPr>
      <w:r>
        <w:rPr>
          <w:rFonts w:ascii="Arial" w:cs="Arial" w:eastAsia="Arial" w:hAnsi="Arial"/>
          <w:sz w:val="16"/>
          <w:szCs w:val="16"/>
          <w:color w:val="auto"/>
        </w:rPr>
        <w:t>Where our intellectual property rights are insufficient to prevent or limit commercialization of competitive products in a jurisdiction, potential competitors might be able to enter or expand in a market more easily, which could have a material adverse effect on our business.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1" w:name="page82"/>
    <w:bookmarkEnd w:id="81"/>
    <w:p>
      <w:pPr>
        <w:ind w:right="300" w:firstLine="1018"/>
        <w:spacing w:after="0" w:line="293" w:lineRule="auto"/>
        <w:rPr>
          <w:sz w:val="20"/>
          <w:szCs w:val="20"/>
          <w:color w:val="auto"/>
        </w:rPr>
      </w:pPr>
      <w:r>
        <w:rPr>
          <w:rFonts w:ascii="Arial" w:cs="Arial" w:eastAsia="Arial" w:hAnsi="Arial"/>
          <w:sz w:val="18"/>
          <w:szCs w:val="18"/>
          <w:color w:val="auto"/>
        </w:rPr>
        <w:t>The following ways in which our intellectual property portfolio may be limited represent risks to our capability to reduce competition and thus risks to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sufficient patent coverage.</w:t>
      </w:r>
    </w:p>
    <w:p>
      <w:pPr>
        <w:spacing w:after="0" w:line="239" w:lineRule="exact"/>
        <w:rPr>
          <w:sz w:val="20"/>
          <w:szCs w:val="20"/>
          <w:color w:val="auto"/>
        </w:rPr>
      </w:pPr>
    </w:p>
    <w:p>
      <w:pPr>
        <w:ind w:right="40" w:firstLine="1018"/>
        <w:spacing w:after="0" w:line="314" w:lineRule="auto"/>
        <w:rPr>
          <w:sz w:val="20"/>
          <w:szCs w:val="20"/>
          <w:color w:val="auto"/>
        </w:rPr>
      </w:pPr>
      <w:r>
        <w:rPr>
          <w:rFonts w:ascii="Arial" w:cs="Arial" w:eastAsia="Arial" w:hAnsi="Arial"/>
          <w:sz w:val="16"/>
          <w:szCs w:val="16"/>
          <w:color w:val="auto"/>
        </w:rPr>
        <w:t>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w:t>
      </w:r>
    </w:p>
    <w:p>
      <w:pPr>
        <w:spacing w:after="0" w:line="160" w:lineRule="exact"/>
        <w:rPr>
          <w:sz w:val="20"/>
          <w:szCs w:val="20"/>
          <w:color w:val="auto"/>
        </w:rPr>
      </w:pPr>
    </w:p>
    <w:p>
      <w:pPr>
        <w:ind w:right="100" w:firstLine="1023"/>
        <w:spacing w:after="0" w:line="272" w:lineRule="auto"/>
        <w:rPr>
          <w:sz w:val="20"/>
          <w:szCs w:val="20"/>
          <w:color w:val="auto"/>
        </w:rPr>
      </w:pPr>
      <w:r>
        <w:rPr>
          <w:rFonts w:ascii="Arial" w:cs="Arial" w:eastAsia="Arial" w:hAnsi="Arial"/>
          <w:sz w:val="18"/>
          <w:szCs w:val="18"/>
          <w:color w:val="auto"/>
        </w:rPr>
        <w:t>Additionally, the scope of our patent coverage may not provide desired coverage for all aspects of our product candidates in all jurisdictions, and scope may differ between jurisdictions. For example, examination of 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w:t>
      </w:r>
    </w:p>
    <w:p>
      <w:pPr>
        <w:spacing w:after="0" w:line="191" w:lineRule="exact"/>
        <w:rPr>
          <w:sz w:val="20"/>
          <w:szCs w:val="20"/>
          <w:color w:val="auto"/>
        </w:rPr>
      </w:pPr>
    </w:p>
    <w:p>
      <w:pPr>
        <w:ind w:right="40" w:firstLine="1018"/>
        <w:spacing w:after="0" w:line="285" w:lineRule="auto"/>
        <w:rPr>
          <w:sz w:val="20"/>
          <w:szCs w:val="20"/>
          <w:color w:val="auto"/>
        </w:rPr>
      </w:pPr>
      <w:r>
        <w:rPr>
          <w:rFonts w:ascii="Arial" w:cs="Arial" w:eastAsia="Arial" w:hAnsi="Arial"/>
          <w:sz w:val="17"/>
          <w:szCs w:val="17"/>
          <w:color w:val="auto"/>
        </w:rPr>
        <w:t>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w:t>
      </w:r>
    </w:p>
    <w:p>
      <w:pPr>
        <w:spacing w:after="0" w:line="185" w:lineRule="exact"/>
        <w:rPr>
          <w:sz w:val="20"/>
          <w:szCs w:val="20"/>
          <w:color w:val="auto"/>
        </w:rPr>
      </w:pPr>
    </w:p>
    <w:p>
      <w:pPr>
        <w:ind w:right="40" w:firstLine="1018"/>
        <w:spacing w:after="0" w:line="296" w:lineRule="auto"/>
        <w:rPr>
          <w:sz w:val="20"/>
          <w:szCs w:val="20"/>
          <w:color w:val="auto"/>
        </w:rPr>
      </w:pPr>
      <w:r>
        <w:rPr>
          <w:rFonts w:ascii="Arial" w:cs="Arial" w:eastAsia="Arial" w:hAnsi="Arial"/>
          <w:sz w:val="17"/>
          <w:szCs w:val="17"/>
          <w:color w:val="auto"/>
        </w:rPr>
        <w:t>We may also inadvertently lose patent assets by failing to follow agency procedures. The USPTO and various foreign governmental patent agencies require compliance with a number of procedural, documentary, fee payment and other similar provisions during the patent application process and after a patent issues. Non-compliance with provisions of the various patent agencies can result in the expiration or abandonment of a patent or patent application, resulting in partial or complete loss of associated patent rights in the relevant jurisdiction.</w:t>
      </w:r>
    </w:p>
    <w:p>
      <w:pPr>
        <w:spacing w:after="0" w:line="170" w:lineRule="exact"/>
        <w:rPr>
          <w:sz w:val="20"/>
          <w:szCs w:val="20"/>
          <w:color w:val="auto"/>
        </w:rPr>
      </w:pPr>
    </w:p>
    <w:p>
      <w:pPr>
        <w:ind w:right="100" w:firstLine="1018"/>
        <w:spacing w:after="0" w:line="285" w:lineRule="auto"/>
        <w:rPr>
          <w:sz w:val="20"/>
          <w:szCs w:val="20"/>
          <w:color w:val="auto"/>
        </w:rPr>
      </w:pPr>
      <w:r>
        <w:rPr>
          <w:rFonts w:ascii="Arial" w:cs="Arial" w:eastAsia="Arial" w:hAnsi="Arial"/>
          <w:sz w:val="17"/>
          <w:szCs w:val="17"/>
          <w:color w:val="auto"/>
        </w:rPr>
        <w:t>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w:t>
      </w:r>
    </w:p>
    <w:p>
      <w:pPr>
        <w:spacing w:after="0" w:line="182" w:lineRule="exact"/>
        <w:rPr>
          <w:sz w:val="20"/>
          <w:szCs w:val="20"/>
          <w:color w:val="auto"/>
        </w:rPr>
      </w:pPr>
    </w:p>
    <w:p>
      <w:pPr>
        <w:ind w:right="20" w:firstLine="1018"/>
        <w:spacing w:after="0" w:line="266" w:lineRule="auto"/>
        <w:rPr>
          <w:sz w:val="20"/>
          <w:szCs w:val="20"/>
          <w:color w:val="auto"/>
        </w:rPr>
      </w:pPr>
      <w:r>
        <w:rPr>
          <w:rFonts w:ascii="Arial" w:cs="Arial" w:eastAsia="Arial" w:hAnsi="Arial"/>
          <w:sz w:val="18"/>
          <w:szCs w:val="18"/>
          <w:color w:val="auto"/>
        </w:rPr>
        <w:t>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 patent rights, they may be reduced or eliminated. If there are material defects in the form, preparation, prosecution or enforcement of our patents or patent applications, such patents may be invalid and/or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2" w:name="page83"/>
    <w:bookmarkEnd w:id="82"/>
    <w:p>
      <w:pPr>
        <w:ind w:right="80"/>
        <w:spacing w:after="0" w:line="293" w:lineRule="auto"/>
        <w:rPr>
          <w:sz w:val="20"/>
          <w:szCs w:val="20"/>
          <w:color w:val="auto"/>
        </w:rPr>
      </w:pPr>
      <w:r>
        <w:rPr>
          <w:rFonts w:ascii="Arial" w:cs="Arial" w:eastAsia="Arial" w:hAnsi="Arial"/>
          <w:sz w:val="18"/>
          <w:szCs w:val="18"/>
          <w:color w:val="auto"/>
        </w:rPr>
        <w:t>unenforceable, and such applications may never result in valid, enforceable patents. Any of these outcomes could impair our ability to prevent competition from third parties, which may have an adverse impact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sufficient brand protection.</w:t>
      </w:r>
    </w:p>
    <w:p>
      <w:pPr>
        <w:spacing w:after="0" w:line="239" w:lineRule="exact"/>
        <w:rPr>
          <w:sz w:val="20"/>
          <w:szCs w:val="20"/>
          <w:color w:val="auto"/>
        </w:rPr>
      </w:pPr>
    </w:p>
    <w:p>
      <w:pPr>
        <w:ind w:right="240" w:firstLine="1018"/>
        <w:spacing w:after="0" w:line="275" w:lineRule="auto"/>
        <w:rPr>
          <w:sz w:val="20"/>
          <w:szCs w:val="20"/>
          <w:color w:val="auto"/>
        </w:rPr>
      </w:pPr>
      <w:r>
        <w:rPr>
          <w:rFonts w:ascii="Arial" w:cs="Arial" w:eastAsia="Arial" w:hAnsi="Arial"/>
          <w:sz w:val="18"/>
          <w:szCs w:val="18"/>
          <w:color w:val="auto"/>
        </w:rPr>
        <w:t>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w:t>
      </w:r>
    </w:p>
    <w:p>
      <w:pPr>
        <w:spacing w:after="0" w:line="185" w:lineRule="exact"/>
        <w:rPr>
          <w:sz w:val="20"/>
          <w:szCs w:val="20"/>
          <w:color w:val="auto"/>
        </w:rPr>
      </w:pPr>
    </w:p>
    <w:p>
      <w:pPr>
        <w:ind w:right="40" w:firstLine="1018"/>
        <w:spacing w:after="0" w:line="290" w:lineRule="auto"/>
        <w:rPr>
          <w:sz w:val="20"/>
          <w:szCs w:val="20"/>
          <w:color w:val="auto"/>
        </w:rPr>
      </w:pPr>
      <w:r>
        <w:rPr>
          <w:rFonts w:ascii="Arial" w:cs="Arial" w:eastAsia="Arial" w:hAnsi="Arial"/>
          <w:sz w:val="17"/>
          <w:szCs w:val="17"/>
          <w:color w:val="auto"/>
        </w:rPr>
        <w:t>We have registered or applied to register several trademarks in the United States and many other jurisdictions globally. We cannot ensure that our pending trademark applications will be approved. During trademark registration proceedings, our 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w:t>
      </w:r>
    </w:p>
    <w:p>
      <w:pPr>
        <w:spacing w:after="0" w:line="176" w:lineRule="exact"/>
        <w:rPr>
          <w:sz w:val="20"/>
          <w:szCs w:val="20"/>
          <w:color w:val="auto"/>
        </w:rPr>
      </w:pPr>
    </w:p>
    <w:p>
      <w:pPr>
        <w:ind w:right="20" w:firstLine="1018"/>
        <w:spacing w:after="0" w:line="314" w:lineRule="auto"/>
        <w:rPr>
          <w:sz w:val="20"/>
          <w:szCs w:val="20"/>
          <w:color w:val="auto"/>
        </w:rPr>
      </w:pPr>
      <w:r>
        <w:rPr>
          <w:rFonts w:ascii="Arial" w:cs="Arial" w:eastAsia="Arial" w:hAnsi="Arial"/>
          <w:sz w:val="16"/>
          <w:szCs w:val="16"/>
          <w:color w:val="auto"/>
        </w:rPr>
        <w:t>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w:t>
      </w:r>
    </w:p>
    <w:p>
      <w:pPr>
        <w:spacing w:after="0" w:line="16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addition, our competitors may infringe or otherwise violate our trademarks and we may not have adequate resources to enforce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238" w:lineRule="exact"/>
        <w:rPr>
          <w:sz w:val="20"/>
          <w:szCs w:val="20"/>
          <w:color w:val="auto"/>
        </w:rPr>
      </w:pPr>
    </w:p>
    <w:p>
      <w:pPr>
        <w:ind w:right="40" w:firstLine="1018"/>
        <w:spacing w:after="0" w:line="290" w:lineRule="auto"/>
        <w:rPr>
          <w:sz w:val="20"/>
          <w:szCs w:val="20"/>
          <w:color w:val="auto"/>
        </w:rPr>
      </w:pPr>
      <w:r>
        <w:rPr>
          <w:rFonts w:ascii="Arial" w:cs="Arial" w:eastAsia="Arial" w:hAnsi="Arial"/>
          <w:sz w:val="17"/>
          <w:szCs w:val="17"/>
          <w:color w:val="auto"/>
        </w:rPr>
        <w:t>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w:t>
      </w:r>
    </w:p>
    <w:p>
      <w:pPr>
        <w:spacing w:after="0" w:line="176" w:lineRule="exact"/>
        <w:rPr>
          <w:sz w:val="20"/>
          <w:szCs w:val="20"/>
          <w:color w:val="auto"/>
        </w:rPr>
      </w:pPr>
    </w:p>
    <w:p>
      <w:pPr>
        <w:ind w:right="260" w:firstLine="1018"/>
        <w:spacing w:after="0" w:line="293" w:lineRule="auto"/>
        <w:rPr>
          <w:sz w:val="20"/>
          <w:szCs w:val="20"/>
          <w:color w:val="auto"/>
        </w:rPr>
      </w:pPr>
      <w:r>
        <w:rPr>
          <w:rFonts w:ascii="Arial" w:cs="Arial" w:eastAsia="Arial" w:hAnsi="Arial"/>
          <w:sz w:val="18"/>
          <w:szCs w:val="18"/>
          <w:color w:val="auto"/>
        </w:rPr>
        <w:t>Trademarks and domain names are intended, and in some cases required, to be used by their owners. In the absence of meaningful use, we may be forced to forfeit various ones of our trademarks and domain names.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law and regulation could affect the value of our intellectual property portfolio.</w:t>
      </w:r>
    </w:p>
    <w:p>
      <w:pPr>
        <w:spacing w:after="0" w:line="239" w:lineRule="exact"/>
        <w:rPr>
          <w:sz w:val="20"/>
          <w:szCs w:val="20"/>
          <w:color w:val="auto"/>
        </w:rPr>
      </w:pPr>
    </w:p>
    <w:p>
      <w:pPr>
        <w:ind w:right="80" w:firstLine="1018"/>
        <w:spacing w:after="0" w:line="275" w:lineRule="auto"/>
        <w:rPr>
          <w:sz w:val="20"/>
          <w:szCs w:val="20"/>
          <w:color w:val="auto"/>
        </w:rPr>
      </w:pPr>
      <w:r>
        <w:rPr>
          <w:rFonts w:ascii="Arial" w:cs="Arial" w:eastAsia="Arial" w:hAnsi="Arial"/>
          <w:sz w:val="18"/>
          <w:szCs w:val="18"/>
          <w:color w:val="auto"/>
        </w:rPr>
        <w:t>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w:t>
      </w:r>
    </w:p>
    <w:p>
      <w:pPr>
        <w:spacing w:after="0" w:line="361" w:lineRule="exact"/>
        <w:rPr>
          <w:sz w:val="20"/>
          <w:szCs w:val="20"/>
          <w:color w:val="auto"/>
        </w:rPr>
      </w:pPr>
    </w:p>
    <w:p>
      <w:pPr>
        <w:ind w:right="20" w:firstLine="1018"/>
        <w:spacing w:after="0" w:line="281" w:lineRule="auto"/>
        <w:rPr>
          <w:sz w:val="20"/>
          <w:szCs w:val="20"/>
          <w:color w:val="auto"/>
        </w:rPr>
      </w:pPr>
      <w:r>
        <w:rPr>
          <w:rFonts w:ascii="Arial" w:cs="Arial" w:eastAsia="Arial" w:hAnsi="Arial"/>
          <w:sz w:val="17"/>
          <w:szCs w:val="17"/>
          <w:color w:val="auto"/>
        </w:rPr>
        <w:t>Moreover, changes in laws, or changes in interpretations of laws, may unpredictably weaken our ability to obtain, defend, or enforce our intellectual property rights. A weakened ability to obtain, defend, or enforce 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ind w:right="100" w:firstLine="1018"/>
        <w:spacing w:after="0" w:line="271" w:lineRule="auto"/>
        <w:rPr>
          <w:sz w:val="20"/>
          <w:szCs w:val="20"/>
          <w:color w:val="auto"/>
        </w:rPr>
      </w:pPr>
      <w:r>
        <w:rPr>
          <w:rFonts w:ascii="Arial" w:cs="Arial" w:eastAsia="Arial" w:hAnsi="Arial"/>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w:t>
      </w:r>
    </w:p>
    <w:p>
      <w:pPr>
        <w:spacing w:after="0" w:line="191" w:lineRule="exact"/>
        <w:rPr>
          <w:sz w:val="20"/>
          <w:szCs w:val="20"/>
          <w:color w:val="auto"/>
        </w:rPr>
      </w:pPr>
    </w:p>
    <w:p>
      <w:pPr>
        <w:ind w:right="220" w:firstLine="1018"/>
        <w:spacing w:after="0" w:line="324" w:lineRule="auto"/>
        <w:rPr>
          <w:sz w:val="20"/>
          <w:szCs w:val="20"/>
          <w:color w:val="auto"/>
        </w:rPr>
      </w:pPr>
      <w:r>
        <w:rPr>
          <w:rFonts w:ascii="Arial" w:cs="Arial" w:eastAsia="Arial" w:hAnsi="Arial"/>
          <w:sz w:val="17"/>
          <w:szCs w:val="17"/>
          <w:color w:val="auto"/>
        </w:rPr>
        <w:t>We cannot predict interpretations of existing laws and regulations, future changes to laws or regulations, or changes in the interpretation of laws or regulations. Such changes could increase uncertainty with respect to the value of patents and trademarks once obtained.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provide complete protection for our business activities.</w:t>
      </w:r>
    </w:p>
    <w:p>
      <w:pPr>
        <w:spacing w:after="0" w:line="239" w:lineRule="exact"/>
        <w:rPr>
          <w:sz w:val="20"/>
          <w:szCs w:val="20"/>
          <w:color w:val="auto"/>
        </w:rPr>
      </w:pPr>
    </w:p>
    <w:p>
      <w:pPr>
        <w:ind w:right="480" w:firstLine="1018"/>
        <w:spacing w:after="0" w:line="303" w:lineRule="auto"/>
        <w:rPr>
          <w:sz w:val="20"/>
          <w:szCs w:val="20"/>
          <w:color w:val="auto"/>
        </w:rPr>
      </w:pPr>
      <w:r>
        <w:rPr>
          <w:rFonts w:ascii="Arial" w:cs="Arial" w:eastAsia="Arial" w:hAnsi="Arial"/>
          <w:sz w:val="17"/>
          <w:szCs w:val="17"/>
          <w:color w:val="auto"/>
        </w:rPr>
        <w:t>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commercialize our products prior to patent expiration.</w:t>
      </w:r>
    </w:p>
    <w:p>
      <w:pPr>
        <w:spacing w:after="0" w:line="239" w:lineRule="exact"/>
        <w:rPr>
          <w:sz w:val="20"/>
          <w:szCs w:val="20"/>
          <w:color w:val="auto"/>
        </w:rPr>
      </w:pPr>
    </w:p>
    <w:p>
      <w:pPr>
        <w:ind w:right="220" w:firstLine="1018"/>
        <w:spacing w:after="0" w:line="287"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may not be effective against certain competitive products.</w:t>
      </w:r>
    </w:p>
    <w:p>
      <w:pPr>
        <w:spacing w:after="0" w:line="239" w:lineRule="exact"/>
        <w:rPr>
          <w:sz w:val="20"/>
          <w:szCs w:val="20"/>
          <w:color w:val="auto"/>
        </w:rPr>
      </w:pPr>
    </w:p>
    <w:p>
      <w:pPr>
        <w:ind w:right="100" w:firstLine="1018"/>
        <w:spacing w:after="0" w:line="275" w:lineRule="auto"/>
        <w:rPr>
          <w:sz w:val="20"/>
          <w:szCs w:val="20"/>
          <w:color w:val="auto"/>
        </w:rPr>
      </w:pPr>
      <w:r>
        <w:rPr>
          <w:rFonts w:ascii="Arial" w:cs="Arial" w:eastAsia="Arial" w:hAnsi="Arial"/>
          <w:sz w:val="18"/>
          <w:szCs w:val="18"/>
          <w:color w:val="auto"/>
        </w:rPr>
        <w:t>While we seek to protect our intellectual property rights in our expected significant markets, we cannot ensure that we will be able to initiate or maintain similar efforts in all jurisdictions in which we may wish to 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w:t>
      </w:r>
    </w:p>
    <w:p>
      <w:pPr>
        <w:spacing w:after="0" w:line="185" w:lineRule="exact"/>
        <w:rPr>
          <w:sz w:val="20"/>
          <w:szCs w:val="20"/>
          <w:color w:val="auto"/>
        </w:rPr>
      </w:pPr>
    </w:p>
    <w:p>
      <w:pPr>
        <w:ind w:right="280" w:firstLine="1018"/>
        <w:spacing w:after="0" w:line="279" w:lineRule="auto"/>
        <w:rPr>
          <w:sz w:val="20"/>
          <w:szCs w:val="20"/>
          <w:color w:val="auto"/>
        </w:rPr>
      </w:pPr>
      <w:r>
        <w:rPr>
          <w:rFonts w:ascii="Arial" w:cs="Arial" w:eastAsia="Arial" w:hAnsi="Arial"/>
          <w:sz w:val="18"/>
          <w:szCs w:val="18"/>
          <w:color w:val="auto"/>
        </w:rPr>
        <w:t>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w:t>
      </w:r>
    </w:p>
    <w:p>
      <w:pPr>
        <w:spacing w:after="0" w:line="183" w:lineRule="exact"/>
        <w:rPr>
          <w:sz w:val="20"/>
          <w:szCs w:val="20"/>
          <w:color w:val="auto"/>
        </w:rPr>
      </w:pPr>
    </w:p>
    <w:p>
      <w:pPr>
        <w:ind w:right="40" w:firstLine="1018"/>
        <w:spacing w:after="0" w:line="275"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w:t>
      </w:r>
    </w:p>
    <w:p>
      <w:pPr>
        <w:spacing w:after="0" w:line="185"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hold intellectual property rights that cover our product candidates.</w:t>
      </w:r>
    </w:p>
    <w:p>
      <w:pPr>
        <w:spacing w:after="0" w:line="239" w:lineRule="exact"/>
        <w:rPr>
          <w:sz w:val="20"/>
          <w:szCs w:val="20"/>
          <w:color w:val="auto"/>
        </w:rPr>
      </w:pPr>
    </w:p>
    <w:p>
      <w:pPr>
        <w:ind w:right="40" w:firstLine="1018"/>
        <w:spacing w:after="0" w:line="266" w:lineRule="auto"/>
        <w:rPr>
          <w:sz w:val="20"/>
          <w:szCs w:val="20"/>
          <w:color w:val="auto"/>
        </w:rPr>
      </w:pPr>
      <w:r>
        <w:rPr>
          <w:rFonts w:ascii="Arial" w:cs="Arial" w:eastAsia="Arial" w:hAnsi="Arial"/>
          <w:sz w:val="18"/>
          <w:szCs w:val="18"/>
          <w:color w:val="auto"/>
        </w:rPr>
        <w:t>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ind w:right="80"/>
        <w:spacing w:after="0" w:line="272" w:lineRule="auto"/>
        <w:rPr>
          <w:sz w:val="20"/>
          <w:szCs w:val="20"/>
          <w:color w:val="auto"/>
        </w:rPr>
      </w:pPr>
      <w:r>
        <w:rPr>
          <w:rFonts w:ascii="Arial" w:cs="Arial" w:eastAsia="Arial" w:hAnsi="Arial"/>
          <w:sz w:val="18"/>
          <w:szCs w:val="18"/>
          <w:color w:val="auto"/>
        </w:rPr>
        <w:t>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 intellectual property rights that we may consider important to our business. Some such companies may have a competitive advantage over us due to their size, capital resources, clinical development stage, or commercialization capabilities.</w:t>
      </w:r>
    </w:p>
    <w:p>
      <w:pPr>
        <w:spacing w:after="0" w:line="191" w:lineRule="exact"/>
        <w:rPr>
          <w:sz w:val="20"/>
          <w:szCs w:val="20"/>
          <w:color w:val="auto"/>
        </w:rPr>
      </w:pPr>
    </w:p>
    <w:p>
      <w:pPr>
        <w:ind w:right="160" w:firstLine="1018"/>
        <w:spacing w:after="0" w:line="279" w:lineRule="auto"/>
        <w:rPr>
          <w:sz w:val="20"/>
          <w:szCs w:val="20"/>
          <w:color w:val="auto"/>
        </w:rPr>
      </w:pPr>
      <w:r>
        <w:rPr>
          <w:rFonts w:ascii="Arial" w:cs="Arial" w:eastAsia="Arial" w:hAnsi="Arial"/>
          <w:sz w:val="18"/>
          <w:szCs w:val="18"/>
          <w:color w:val="auto"/>
        </w:rPr>
        <w:t>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w:t>
      </w:r>
    </w:p>
    <w:p>
      <w:pPr>
        <w:spacing w:after="0" w:line="183" w:lineRule="exact"/>
        <w:rPr>
          <w:sz w:val="20"/>
          <w:szCs w:val="20"/>
          <w:color w:val="auto"/>
        </w:rPr>
      </w:pPr>
    </w:p>
    <w:p>
      <w:pPr>
        <w:ind w:right="180" w:firstLine="1018"/>
        <w:spacing w:after="0" w:line="319" w:lineRule="auto"/>
        <w:rPr>
          <w:sz w:val="20"/>
          <w:szCs w:val="20"/>
          <w:color w:val="auto"/>
        </w:rPr>
      </w:pPr>
      <w:r>
        <w:rPr>
          <w:rFonts w:ascii="Arial" w:cs="Arial" w:eastAsia="Arial" w:hAnsi="Arial"/>
          <w:sz w:val="16"/>
          <w:szCs w:val="16"/>
          <w:color w:val="auto"/>
        </w:rPr>
        <w:t>We are presently reliant upon an in-license with ICL to certain of ICL’s patent rights. Additional in-licenses with other third parties may be negotiated in the future.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w:t>
      </w:r>
    </w:p>
    <w:p>
      <w:pPr>
        <w:spacing w:after="0" w:line="331" w:lineRule="exact"/>
        <w:rPr>
          <w:sz w:val="20"/>
          <w:szCs w:val="20"/>
          <w:color w:val="auto"/>
        </w:rPr>
      </w:pPr>
    </w:p>
    <w:p>
      <w:pPr>
        <w:ind w:right="100" w:firstLine="1018"/>
        <w:spacing w:after="0" w:line="272" w:lineRule="auto"/>
        <w:rPr>
          <w:sz w:val="20"/>
          <w:szCs w:val="20"/>
          <w:color w:val="auto"/>
        </w:rPr>
      </w:pPr>
      <w:r>
        <w:rPr>
          <w:rFonts w:ascii="Arial" w:cs="Arial" w:eastAsia="Arial" w:hAnsi="Arial"/>
          <w:sz w:val="18"/>
          <w:szCs w:val="18"/>
          <w:color w:val="auto"/>
        </w:rPr>
        <w:t>Further, we are presently party to a service agreement, which is defined below, with ICL. Pursuant to the service agreement, we may engage ICL to perform development work on behalf of our company. We will wholly own intellectual property resulting from such development work only if it relates to the oral delivery of a biotherapeutic agent or sensor, or the Rani Field, and was developed on our time and with our resources. All other resulting intellectual property will be wholly owned by ICL. ICL has agreed to exclusively license certain intellectual property to us for use solely within the Rani Field, but we may not obtain a license on favorable terms.</w:t>
      </w:r>
    </w:p>
    <w:p>
      <w:pPr>
        <w:spacing w:after="0" w:line="191" w:lineRule="exact"/>
        <w:rPr>
          <w:sz w:val="20"/>
          <w:szCs w:val="20"/>
          <w:color w:val="auto"/>
        </w:rPr>
      </w:pPr>
    </w:p>
    <w:p>
      <w:pPr>
        <w:ind w:right="80" w:firstLine="1018"/>
        <w:spacing w:after="0" w:line="271" w:lineRule="auto"/>
        <w:rPr>
          <w:sz w:val="20"/>
          <w:szCs w:val="20"/>
          <w:color w:val="auto"/>
        </w:rPr>
      </w:pPr>
      <w:r>
        <w:rPr>
          <w:rFonts w:ascii="Arial" w:cs="Arial" w:eastAsia="Arial" w:hAnsi="Arial"/>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w:t>
      </w:r>
    </w:p>
    <w:p>
      <w:pPr>
        <w:spacing w:after="0" w:line="191" w:lineRule="exact"/>
        <w:rPr>
          <w:sz w:val="20"/>
          <w:szCs w:val="20"/>
          <w:color w:val="auto"/>
        </w:rPr>
      </w:pPr>
    </w:p>
    <w:p>
      <w:pPr>
        <w:ind w:right="100" w:firstLine="1018"/>
        <w:spacing w:after="0" w:line="359" w:lineRule="auto"/>
        <w:rPr>
          <w:sz w:val="20"/>
          <w:szCs w:val="20"/>
          <w:color w:val="auto"/>
        </w:rPr>
      </w:pPr>
      <w:r>
        <w:rPr>
          <w:rFonts w:ascii="Arial" w:cs="Arial" w:eastAsia="Arial" w:hAnsi="Arial"/>
          <w:sz w:val="16"/>
          <w:szCs w:val="16"/>
          <w:color w:val="auto"/>
        </w:rPr>
        <w:t>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w:t>
      </w:r>
    </w:p>
    <w:p>
      <w:pPr>
        <w:spacing w:after="0" w:line="125" w:lineRule="exact"/>
        <w:rPr>
          <w:sz w:val="20"/>
          <w:szCs w:val="20"/>
          <w:color w:val="auto"/>
        </w:rPr>
      </w:pPr>
    </w:p>
    <w:p>
      <w:pPr>
        <w:ind w:right="300" w:firstLine="1018"/>
        <w:spacing w:after="0" w:line="279" w:lineRule="auto"/>
        <w:rPr>
          <w:sz w:val="20"/>
          <w:szCs w:val="20"/>
          <w:color w:val="auto"/>
        </w:rPr>
      </w:pPr>
      <w:r>
        <w:rPr>
          <w:rFonts w:ascii="Arial" w:cs="Arial" w:eastAsia="Arial" w:hAnsi="Arial"/>
          <w:sz w:val="18"/>
          <w:szCs w:val="18"/>
          <w:color w:val="auto"/>
        </w:rPr>
        <w:t>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w:t>
      </w:r>
    </w:p>
    <w:p>
      <w:pPr>
        <w:spacing w:after="0" w:line="183"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Legal or administrative proceedings related to intellectual property could materially adversely affect our ability to commercialize our products and could result in significant expenditures of resources.</w:t>
      </w:r>
    </w:p>
    <w:p>
      <w:pPr>
        <w:spacing w:after="0" w:line="170" w:lineRule="exact"/>
        <w:rPr>
          <w:sz w:val="20"/>
          <w:szCs w:val="20"/>
          <w:color w:val="auto"/>
        </w:rPr>
      </w:pPr>
    </w:p>
    <w:p>
      <w:pPr>
        <w:ind w:right="60" w:firstLine="1018"/>
        <w:spacing w:after="0" w:line="275" w:lineRule="auto"/>
        <w:rPr>
          <w:sz w:val="20"/>
          <w:szCs w:val="20"/>
          <w:color w:val="auto"/>
        </w:rPr>
      </w:pPr>
      <w:r>
        <w:rPr>
          <w:rFonts w:ascii="Arial" w:cs="Arial" w:eastAsia="Arial" w:hAnsi="Arial"/>
          <w:sz w:val="18"/>
          <w:szCs w:val="18"/>
          <w:color w:val="auto"/>
        </w:rPr>
        <w:t>There are several types of legal or administrative proceedings in which we may become involved, such as the ones outlined below. Any proceeding, even those asserted against us without merit and even those where we prevail, may cause us to incur substantial costs, could place a significant strain on our financial resources, divert the attention of management from our core business, divert our employees from development activities, delay commercialization activities, and harm our reputation.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 may challenge our intellectual property in administrative proceedings.</w:t>
      </w:r>
    </w:p>
    <w:p>
      <w:pPr>
        <w:spacing w:after="0" w:line="239" w:lineRule="exact"/>
        <w:rPr>
          <w:sz w:val="20"/>
          <w:szCs w:val="20"/>
          <w:color w:val="auto"/>
        </w:rPr>
      </w:pPr>
    </w:p>
    <w:p>
      <w:pPr>
        <w:ind w:right="200" w:firstLine="1018"/>
        <w:spacing w:after="0" w:line="272" w:lineRule="auto"/>
        <w:rPr>
          <w:sz w:val="20"/>
          <w:szCs w:val="20"/>
          <w:color w:val="auto"/>
        </w:rPr>
      </w:pPr>
      <w:r>
        <w:rPr>
          <w:rFonts w:ascii="Arial" w:cs="Arial" w:eastAsia="Arial" w:hAnsi="Arial"/>
          <w:sz w:val="18"/>
          <w:szCs w:val="18"/>
          <w:color w:val="auto"/>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are presently being challenged in Europe.</w:t>
      </w:r>
    </w:p>
    <w:p>
      <w:pPr>
        <w:spacing w:after="0" w:line="239" w:lineRule="exact"/>
        <w:rPr>
          <w:sz w:val="20"/>
          <w:szCs w:val="20"/>
          <w:color w:val="auto"/>
        </w:rPr>
      </w:pPr>
    </w:p>
    <w:p>
      <w:pPr>
        <w:ind w:right="340" w:firstLine="1018"/>
        <w:spacing w:after="0" w:line="266" w:lineRule="auto"/>
        <w:rPr>
          <w:sz w:val="20"/>
          <w:szCs w:val="20"/>
          <w:color w:val="auto"/>
        </w:rPr>
      </w:pPr>
      <w:r>
        <w:rPr>
          <w:rFonts w:ascii="Arial" w:cs="Arial" w:eastAsia="Arial" w:hAnsi="Arial"/>
          <w:sz w:val="18"/>
          <w:szCs w:val="18"/>
          <w:color w:val="auto"/>
        </w:rPr>
        <w:t>The EPO provides for an opposition proceeding that could result in revocation of or amendment to a patent. We are presently involved in several opposition proceedings at the EPO, all of which were asserted against us by Novo Nordisk AS.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ind w:right="40" w:firstLine="1018"/>
        <w:spacing w:after="0" w:line="296" w:lineRule="auto"/>
        <w:rPr>
          <w:sz w:val="20"/>
          <w:szCs w:val="20"/>
          <w:color w:val="auto"/>
        </w:rPr>
      </w:pPr>
      <w:r>
        <w:rPr>
          <w:rFonts w:ascii="Arial" w:cs="Arial" w:eastAsia="Arial" w:hAnsi="Arial"/>
          <w:sz w:val="17"/>
          <w:szCs w:val="17"/>
          <w:color w:val="auto"/>
        </w:rPr>
        <w:t>There is a risk that one or more of our issued European patents will be invalidated, or have its claims amended, through an opposition process. If this were to happen to one of our European patents, the corresponding national patent in each European country in which the European patent was validated would similarly be invalidated or have its claims amended. Invalidation or amendment could have a material adverse impact on our ability to commercialize in Europe and/or a material adverse impact on our ability to deter competition from potential competitors in Europe.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is a risk that we may face additional oppositions in Europe as additional patents grant.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assert challenges against others of infringement of our intellectual property.</w:t>
      </w:r>
    </w:p>
    <w:p>
      <w:pPr>
        <w:spacing w:after="0" w:line="239" w:lineRule="exact"/>
        <w:rPr>
          <w:sz w:val="20"/>
          <w:szCs w:val="20"/>
          <w:color w:val="auto"/>
        </w:rPr>
      </w:pPr>
    </w:p>
    <w:p>
      <w:pPr>
        <w:ind w:right="60" w:firstLine="1018"/>
        <w:spacing w:after="0" w:line="311" w:lineRule="auto"/>
        <w:rPr>
          <w:sz w:val="20"/>
          <w:szCs w:val="20"/>
          <w:color w:val="auto"/>
        </w:rPr>
      </w:pPr>
      <w:r>
        <w:rPr>
          <w:rFonts w:ascii="Arial" w:cs="Arial" w:eastAsia="Arial" w:hAnsi="Arial"/>
          <w:sz w:val="16"/>
          <w:szCs w:val="16"/>
          <w:color w:val="auto"/>
        </w:rPr>
        <w:t>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w:t>
      </w:r>
    </w:p>
    <w:p>
      <w:pPr>
        <w:spacing w:after="0" w:line="163" w:lineRule="exact"/>
        <w:rPr>
          <w:sz w:val="20"/>
          <w:szCs w:val="20"/>
          <w:color w:val="auto"/>
        </w:rPr>
      </w:pPr>
    </w:p>
    <w:p>
      <w:pPr>
        <w:ind w:right="60" w:firstLine="1018"/>
        <w:spacing w:after="0" w:line="304" w:lineRule="auto"/>
        <w:rPr>
          <w:sz w:val="20"/>
          <w:szCs w:val="20"/>
          <w:color w:val="auto"/>
        </w:rPr>
      </w:pPr>
      <w:r>
        <w:rPr>
          <w:rFonts w:ascii="Arial" w:cs="Arial" w:eastAsia="Arial" w:hAnsi="Arial"/>
          <w:sz w:val="16"/>
          <w:szCs w:val="16"/>
          <w:color w:val="auto"/>
        </w:rPr>
        <w:t>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w:t>
      </w:r>
    </w:p>
    <w:p>
      <w:pPr>
        <w:spacing w:after="0" w:line="173" w:lineRule="exact"/>
        <w:rPr>
          <w:sz w:val="20"/>
          <w:szCs w:val="20"/>
          <w:color w:val="auto"/>
        </w:rPr>
      </w:pPr>
    </w:p>
    <w:p>
      <w:pPr>
        <w:ind w:right="120" w:firstLine="1018"/>
        <w:spacing w:after="0" w:line="314" w:lineRule="auto"/>
        <w:rPr>
          <w:sz w:val="20"/>
          <w:szCs w:val="20"/>
          <w:color w:val="auto"/>
        </w:rPr>
      </w:pPr>
      <w:r>
        <w:rPr>
          <w:rFonts w:ascii="Arial" w:cs="Arial" w:eastAsia="Arial" w:hAnsi="Arial"/>
          <w:sz w:val="16"/>
          <w:szCs w:val="16"/>
          <w:color w:val="auto"/>
        </w:rPr>
        <w:t>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w:t>
      </w:r>
    </w:p>
    <w:p>
      <w:pPr>
        <w:spacing w:after="0" w:line="160" w:lineRule="exact"/>
        <w:rPr>
          <w:sz w:val="20"/>
          <w:szCs w:val="20"/>
          <w:color w:val="auto"/>
        </w:rPr>
      </w:pPr>
    </w:p>
    <w:p>
      <w:pPr>
        <w:ind w:right="20" w:firstLine="1018"/>
        <w:spacing w:after="0" w:line="293" w:lineRule="auto"/>
        <w:rPr>
          <w:sz w:val="20"/>
          <w:szCs w:val="20"/>
          <w:color w:val="auto"/>
        </w:rPr>
      </w:pPr>
      <w:r>
        <w:rPr>
          <w:rFonts w:ascii="Arial" w:cs="Arial" w:eastAsia="Arial" w:hAnsi="Arial"/>
          <w:sz w:val="18"/>
          <w:szCs w:val="18"/>
          <w:color w:val="auto"/>
        </w:rPr>
        <w:t>Furthermore, because of the substantial amount of discovery that may be required in connection with intellectual property litigation, there is a risk that some of our proprietary information could be compromised by disclosure during litigation.</w:t>
      </w:r>
    </w:p>
    <w:p>
      <w:pPr>
        <w:spacing w:after="0" w:line="170" w:lineRule="exact"/>
        <w:rPr>
          <w:sz w:val="20"/>
          <w:szCs w:val="20"/>
          <w:color w:val="auto"/>
        </w:rPr>
      </w:pPr>
    </w:p>
    <w:p>
      <w:pPr>
        <w:ind w:right="340" w:firstLine="1018"/>
        <w:spacing w:after="0" w:line="324" w:lineRule="auto"/>
        <w:rPr>
          <w:sz w:val="20"/>
          <w:szCs w:val="20"/>
          <w:color w:val="auto"/>
        </w:rPr>
      </w:pPr>
      <w:r>
        <w:rPr>
          <w:rFonts w:ascii="Arial" w:cs="Arial" w:eastAsia="Arial" w:hAnsi="Arial"/>
          <w:sz w:val="17"/>
          <w:szCs w:val="17"/>
          <w:color w:val="auto"/>
        </w:rPr>
        <w:t>There could also be public announcements of the results of hearings, motions, or other interim proceedings or developments; if securities analysts or investors perceive these results to be negative, it could have a material adverse effect on the price of our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challenges asserting infringement of intellectual property of a third party.</w:t>
      </w:r>
    </w:p>
    <w:p>
      <w:pPr>
        <w:spacing w:after="0" w:line="239" w:lineRule="exact"/>
        <w:rPr>
          <w:sz w:val="20"/>
          <w:szCs w:val="20"/>
          <w:color w:val="auto"/>
        </w:rPr>
      </w:pPr>
    </w:p>
    <w:p>
      <w:pPr>
        <w:ind w:right="380" w:firstLine="1018"/>
        <w:spacing w:after="0" w:line="293"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products and use our proprietary technologies without infringing the intellectual property rights of third parties.</w:t>
      </w:r>
    </w:p>
    <w:p>
      <w:pPr>
        <w:spacing w:after="0" w:line="170" w:lineRule="exact"/>
        <w:rPr>
          <w:sz w:val="20"/>
          <w:szCs w:val="20"/>
          <w:color w:val="auto"/>
        </w:rPr>
      </w:pPr>
    </w:p>
    <w:p>
      <w:pPr>
        <w:ind w:right="100" w:firstLine="1018"/>
        <w:spacing w:after="0" w:line="299" w:lineRule="auto"/>
        <w:rPr>
          <w:sz w:val="20"/>
          <w:szCs w:val="20"/>
          <w:color w:val="auto"/>
        </w:rPr>
      </w:pPr>
      <w:r>
        <w:rPr>
          <w:rFonts w:ascii="Arial" w:cs="Arial" w:eastAsia="Arial" w:hAnsi="Arial"/>
          <w:sz w:val="16"/>
          <w:szCs w:val="16"/>
          <w:color w:val="auto"/>
        </w:rPr>
        <w:t>However, despite our efforts to avoid infringement, we may face infringement challenges by competitors, or from non-practicing entities which purchase intellectual property assets for the purpose of 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ind w:right="100"/>
        <w:spacing w:after="0" w:line="279" w:lineRule="auto"/>
        <w:rPr>
          <w:sz w:val="20"/>
          <w:szCs w:val="20"/>
          <w:color w:val="auto"/>
        </w:rPr>
      </w:pPr>
      <w:r>
        <w:rPr>
          <w:rFonts w:ascii="Arial" w:cs="Arial" w:eastAsia="Arial" w:hAnsi="Arial"/>
          <w:sz w:val="18"/>
          <w:szCs w:val="18"/>
          <w:color w:val="auto"/>
        </w:rPr>
        <w:t>products include components that we purchase from vendors, and may include components that are outside of our direct control. Vendors from whom we purchase components may not indemnify us if our products incorporating their components are accused of infringing a third-party’s patent or trademark or of misappropriating a third-party’s trade secret.</w:t>
      </w:r>
    </w:p>
    <w:p>
      <w:pPr>
        <w:spacing w:after="0" w:line="183" w:lineRule="exact"/>
        <w:rPr>
          <w:sz w:val="20"/>
          <w:szCs w:val="20"/>
          <w:color w:val="auto"/>
        </w:rPr>
      </w:pPr>
    </w:p>
    <w:p>
      <w:pPr>
        <w:ind w:right="60" w:firstLine="1018"/>
        <w:spacing w:after="0" w:line="290" w:lineRule="auto"/>
        <w:rPr>
          <w:sz w:val="20"/>
          <w:szCs w:val="20"/>
          <w:color w:val="auto"/>
        </w:rPr>
      </w:pPr>
      <w:r>
        <w:rPr>
          <w:rFonts w:ascii="Arial" w:cs="Arial" w:eastAsia="Arial" w:hAnsi="Arial"/>
          <w:sz w:val="17"/>
          <w:szCs w:val="17"/>
          <w:color w:val="auto"/>
        </w:rPr>
        <w:t>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76" w:lineRule="exact"/>
        <w:rPr>
          <w:sz w:val="20"/>
          <w:szCs w:val="20"/>
          <w:color w:val="auto"/>
        </w:rPr>
      </w:pPr>
    </w:p>
    <w:p>
      <w:pPr>
        <w:ind w:right="20" w:firstLine="1018"/>
        <w:spacing w:after="0" w:line="272" w:lineRule="auto"/>
        <w:rPr>
          <w:sz w:val="20"/>
          <w:szCs w:val="20"/>
          <w:color w:val="auto"/>
        </w:rPr>
      </w:pPr>
      <w:r>
        <w:rPr>
          <w:rFonts w:ascii="Arial" w:cs="Arial" w:eastAsia="Arial" w:hAnsi="Arial"/>
          <w:sz w:val="18"/>
          <w:szCs w:val="18"/>
          <w:color w:val="auto"/>
        </w:rPr>
        <w:t>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91" w:lineRule="exact"/>
        <w:rPr>
          <w:sz w:val="20"/>
          <w:szCs w:val="20"/>
          <w:color w:val="auto"/>
        </w:rPr>
      </w:pPr>
    </w:p>
    <w:p>
      <w:pPr>
        <w:ind w:right="300" w:firstLine="1018"/>
        <w:spacing w:after="0" w:line="296" w:lineRule="auto"/>
        <w:rPr>
          <w:sz w:val="20"/>
          <w:szCs w:val="20"/>
          <w:color w:val="auto"/>
        </w:rPr>
      </w:pPr>
      <w:r>
        <w:rPr>
          <w:rFonts w:ascii="Arial" w:cs="Arial" w:eastAsia="Arial" w:hAnsi="Arial"/>
          <w:sz w:val="17"/>
          <w:szCs w:val="17"/>
          <w:color w:val="auto"/>
        </w:rPr>
        <w:t>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w:t>
      </w:r>
    </w:p>
    <w:p>
      <w:pPr>
        <w:spacing w:after="0" w:line="170" w:lineRule="exact"/>
        <w:rPr>
          <w:sz w:val="20"/>
          <w:szCs w:val="20"/>
          <w:color w:val="auto"/>
        </w:rPr>
      </w:pPr>
    </w:p>
    <w:p>
      <w:pPr>
        <w:ind w:right="140" w:firstLine="1018"/>
        <w:spacing w:after="0" w:line="279" w:lineRule="auto"/>
        <w:rPr>
          <w:sz w:val="20"/>
          <w:szCs w:val="20"/>
          <w:color w:val="auto"/>
        </w:rPr>
      </w:pPr>
      <w:r>
        <w:rPr>
          <w:rFonts w:ascii="Arial" w:cs="Arial" w:eastAsia="Arial" w:hAnsi="Arial"/>
          <w:sz w:val="18"/>
          <w:szCs w:val="18"/>
          <w:color w:val="auto"/>
        </w:rPr>
        <w:t>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challenges asserting misappropriation of intellectual property of a third party.</w:t>
      </w:r>
    </w:p>
    <w:p>
      <w:pPr>
        <w:spacing w:after="0" w:line="239" w:lineRule="exact"/>
        <w:rPr>
          <w:sz w:val="20"/>
          <w:szCs w:val="20"/>
          <w:color w:val="auto"/>
        </w:rPr>
      </w:pPr>
    </w:p>
    <w:p>
      <w:pPr>
        <w:ind w:right="160" w:firstLine="1018"/>
        <w:spacing w:after="0" w:line="271" w:lineRule="auto"/>
        <w:rPr>
          <w:sz w:val="20"/>
          <w:szCs w:val="20"/>
          <w:color w:val="auto"/>
        </w:rPr>
      </w:pPr>
      <w:r>
        <w:rPr>
          <w:rFonts w:ascii="Arial" w:cs="Arial" w:eastAsia="Arial" w:hAnsi="Arial"/>
          <w:sz w:val="18"/>
          <w:szCs w:val="18"/>
          <w:color w:val="auto"/>
        </w:rPr>
        <w:t>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 Although we strive to ensure proper safeguards, we cannot guarantee strict compliance with such agreements, nor can we be sure that our employees, consultants and advisors do not use proprietary information, materials, or know-how of others in their work for us.</w:t>
      </w:r>
    </w:p>
    <w:p>
      <w:pPr>
        <w:spacing w:after="0" w:line="191" w:lineRule="exact"/>
        <w:rPr>
          <w:sz w:val="20"/>
          <w:szCs w:val="20"/>
          <w:color w:val="auto"/>
        </w:rPr>
      </w:pPr>
    </w:p>
    <w:p>
      <w:pPr>
        <w:ind w:right="20" w:firstLine="1018"/>
        <w:spacing w:after="0" w:line="303" w:lineRule="auto"/>
        <w:rPr>
          <w:sz w:val="20"/>
          <w:szCs w:val="20"/>
          <w:color w:val="auto"/>
        </w:rPr>
      </w:pPr>
      <w:r>
        <w:rPr>
          <w:rFonts w:ascii="Arial" w:cs="Arial" w:eastAsia="Arial" w:hAnsi="Arial"/>
          <w:sz w:val="17"/>
          <w:szCs w:val="17"/>
          <w:color w:val="auto"/>
        </w:rPr>
        <w:t>We may be subject to challenges that we or our employees, consultants, or contractors have inadvertently or otherwise used or disclosed proprietary information of our employees’ former employers or other third parties. There is no guarantee of success in defending such challenges, and if we are not successful, we may be blocked from using the technology that is the subject of the misappropriation challenge.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challenges to the inventorship or ownership of our intellectual property.</w:t>
      </w:r>
    </w:p>
    <w:p>
      <w:pPr>
        <w:spacing w:after="0" w:line="239" w:lineRule="exact"/>
        <w:rPr>
          <w:sz w:val="20"/>
          <w:szCs w:val="20"/>
          <w:color w:val="auto"/>
        </w:rPr>
      </w:pPr>
    </w:p>
    <w:p>
      <w:pPr>
        <w:ind w:right="40" w:firstLine="1018"/>
        <w:spacing w:after="0" w:line="270" w:lineRule="auto"/>
        <w:rPr>
          <w:sz w:val="20"/>
          <w:szCs w:val="20"/>
          <w:color w:val="auto"/>
        </w:rPr>
      </w:pPr>
      <w:r>
        <w:rPr>
          <w:rFonts w:ascii="Arial" w:cs="Arial" w:eastAsia="Arial" w:hAnsi="Arial"/>
          <w:sz w:val="18"/>
          <w:szCs w:val="18"/>
          <w:color w:val="auto"/>
        </w:rPr>
        <w:t>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 fail in defending any such challenges, we may lose valuable intellectual property rights, including the loss of exclusive ownership of, or right to use, such intellectual property.</w:t>
      </w:r>
    </w:p>
    <w:p>
      <w:pPr>
        <w:spacing w:after="0" w:line="193" w:lineRule="exact"/>
        <w:rPr>
          <w:sz w:val="20"/>
          <w:szCs w:val="20"/>
          <w:color w:val="auto"/>
        </w:rPr>
      </w:pPr>
    </w:p>
    <w:p>
      <w:pPr>
        <w:ind w:right="40" w:firstLine="1018"/>
        <w:spacing w:after="0" w:line="266" w:lineRule="auto"/>
        <w:rPr>
          <w:sz w:val="20"/>
          <w:szCs w:val="20"/>
          <w:color w:val="auto"/>
        </w:rPr>
      </w:pPr>
      <w:r>
        <w:rPr>
          <w:rFonts w:ascii="Arial" w:cs="Arial" w:eastAsia="Arial" w:hAnsi="Arial"/>
          <w:sz w:val="18"/>
          <w:szCs w:val="18"/>
          <w:color w:val="auto"/>
        </w:rPr>
        <w:t>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7" w:name="page88"/>
    <w:bookmarkEnd w:id="87"/>
    <w:p>
      <w:pPr>
        <w:ind w:right="100"/>
        <w:spacing w:after="0" w:line="293" w:lineRule="auto"/>
        <w:rPr>
          <w:sz w:val="20"/>
          <w:szCs w:val="20"/>
          <w:color w:val="auto"/>
        </w:rPr>
      </w:pPr>
      <w:r>
        <w:rPr>
          <w:rFonts w:ascii="Arial" w:cs="Arial" w:eastAsia="Arial" w:hAnsi="Arial"/>
          <w:sz w:val="18"/>
          <w:szCs w:val="18"/>
          <w:color w:val="auto"/>
        </w:rPr>
        <w:t>if such technologies or features are found to incorporate or be derived from the proprietary information of the former employer. An inability to incorporate technologies or features that are important or essential to our products may prevent us from selling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obtain our proprietary information, which could harm our business and competitive position.</w:t>
      </w:r>
    </w:p>
    <w:p>
      <w:pPr>
        <w:spacing w:after="0" w:line="239" w:lineRule="exact"/>
        <w:rPr>
          <w:sz w:val="20"/>
          <w:szCs w:val="20"/>
          <w:color w:val="auto"/>
        </w:rPr>
      </w:pPr>
    </w:p>
    <w:p>
      <w:pPr>
        <w:ind w:right="100" w:firstLine="1018"/>
        <w:spacing w:after="0" w:line="279" w:lineRule="auto"/>
        <w:rPr>
          <w:sz w:val="20"/>
          <w:szCs w:val="20"/>
          <w:color w:val="auto"/>
        </w:rPr>
      </w:pPr>
      <w:r>
        <w:rPr>
          <w:rFonts w:ascii="Arial" w:cs="Arial" w:eastAsia="Arial" w:hAnsi="Arial"/>
          <w:sz w:val="18"/>
          <w:szCs w:val="18"/>
          <w:color w:val="auto"/>
        </w:rPr>
        <w:t>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83" w:lineRule="exact"/>
        <w:rPr>
          <w:sz w:val="20"/>
          <w:szCs w:val="20"/>
          <w:color w:val="auto"/>
        </w:rPr>
      </w:pPr>
    </w:p>
    <w:p>
      <w:pPr>
        <w:ind w:right="40" w:firstLine="1018"/>
        <w:spacing w:after="0" w:line="270" w:lineRule="auto"/>
        <w:rPr>
          <w:sz w:val="20"/>
          <w:szCs w:val="20"/>
          <w:color w:val="auto"/>
        </w:rPr>
      </w:pPr>
      <w:r>
        <w:rPr>
          <w:rFonts w:ascii="Arial" w:cs="Arial" w:eastAsia="Arial" w:hAnsi="Arial"/>
          <w:sz w:val="18"/>
          <w:szCs w:val="18"/>
          <w:color w:val="auto"/>
        </w:rPr>
        <w:t>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w:t>
      </w:r>
    </w:p>
    <w:p>
      <w:pPr>
        <w:spacing w:after="0" w:line="193" w:lineRule="exact"/>
        <w:rPr>
          <w:sz w:val="20"/>
          <w:szCs w:val="20"/>
          <w:color w:val="auto"/>
        </w:rPr>
      </w:pPr>
    </w:p>
    <w:p>
      <w:pPr>
        <w:ind w:right="20" w:firstLine="1018"/>
        <w:spacing w:after="0" w:line="279" w:lineRule="auto"/>
        <w:rPr>
          <w:sz w:val="20"/>
          <w:szCs w:val="20"/>
          <w:color w:val="auto"/>
        </w:rPr>
      </w:pPr>
      <w:r>
        <w:rPr>
          <w:rFonts w:ascii="Arial" w:cs="Arial" w:eastAsia="Arial" w:hAnsi="Arial"/>
          <w:sz w:val="18"/>
          <w:szCs w:val="18"/>
          <w:color w:val="auto"/>
        </w:rPr>
        <w:t>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w:t>
      </w:r>
    </w:p>
    <w:p>
      <w:pPr>
        <w:spacing w:after="0" w:line="358" w:lineRule="exact"/>
        <w:rPr>
          <w:sz w:val="20"/>
          <w:szCs w:val="20"/>
          <w:color w:val="auto"/>
        </w:rPr>
      </w:pPr>
    </w:p>
    <w:p>
      <w:pPr>
        <w:ind w:right="200" w:firstLine="1018"/>
        <w:spacing w:after="0" w:line="303" w:lineRule="auto"/>
        <w:rPr>
          <w:sz w:val="20"/>
          <w:szCs w:val="20"/>
          <w:color w:val="auto"/>
        </w:rPr>
      </w:pPr>
      <w:r>
        <w:rPr>
          <w:rFonts w:ascii="Arial" w:cs="Arial" w:eastAsia="Arial" w:hAnsi="Arial"/>
          <w:sz w:val="17"/>
          <w:szCs w:val="17"/>
          <w:color w:val="auto"/>
        </w:rPr>
        <w:t>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43"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We are a holding company and our principal asset is our interest in Rani. Accordingly, we will depend on distributions from Rani to pay our taxes, expenses (including payments under the Tax Receivable Agreement) and dividends. Rani’s ability to make such distributions may be subject to various limitations and restrictions.</w:t>
      </w:r>
    </w:p>
    <w:p>
      <w:pPr>
        <w:spacing w:after="0" w:line="183" w:lineRule="exact"/>
        <w:rPr>
          <w:sz w:val="20"/>
          <w:szCs w:val="20"/>
          <w:color w:val="auto"/>
        </w:rPr>
      </w:pPr>
    </w:p>
    <w:p>
      <w:pPr>
        <w:ind w:right="120" w:firstLine="1018"/>
        <w:spacing w:after="0" w:line="272" w:lineRule="auto"/>
        <w:rPr>
          <w:sz w:val="20"/>
          <w:szCs w:val="20"/>
          <w:color w:val="auto"/>
        </w:rPr>
      </w:pPr>
      <w:r>
        <w:rPr>
          <w:rFonts w:ascii="Arial" w:cs="Arial" w:eastAsia="Arial" w:hAnsi="Arial"/>
          <w:sz w:val="18"/>
          <w:szCs w:val="18"/>
          <w:color w:val="auto"/>
        </w:rPr>
        <w:t>We are a holding company and have no material assets other than our ownership of LLC Interests of Rani. As such, we have no independent means of generating net sales or cash flow, and our ability to pay our taxes and operating expenses or declare and pay dividends in the future, if any, is dependent upon the financial results and cash flows of Rani and its subsidiary and distributions we receive from Rani. Rani and its subsidiary may not generate sufficient cash flow to distribute funds to us and applicable state law and contractual restrictions, including negative covenants in our debt instruments, may not permit such distributions.</w:t>
      </w:r>
    </w:p>
    <w:p>
      <w:pPr>
        <w:spacing w:after="0" w:line="191" w:lineRule="exact"/>
        <w:rPr>
          <w:sz w:val="20"/>
          <w:szCs w:val="20"/>
          <w:color w:val="auto"/>
        </w:rPr>
      </w:pPr>
    </w:p>
    <w:p>
      <w:pPr>
        <w:ind w:firstLine="1018"/>
        <w:spacing w:after="0" w:line="292" w:lineRule="auto"/>
        <w:rPr>
          <w:sz w:val="20"/>
          <w:szCs w:val="20"/>
          <w:color w:val="auto"/>
        </w:rPr>
      </w:pPr>
      <w:r>
        <w:rPr>
          <w:rFonts w:ascii="Arial" w:cs="Arial" w:eastAsia="Arial" w:hAnsi="Arial"/>
          <w:sz w:val="17"/>
          <w:szCs w:val="17"/>
          <w:color w:val="auto"/>
        </w:rPr>
        <w:t>We anticipate that Rani will continue to be treated as a partnership for U.S. federal income tax purposes and, as such, generally will not be subject to any entity-level U.S. federal income tax. Instead, taxable income will be allocated to holders of LLC Interests. Accordingly, we will incur income taxes on our allocable share of any net taxable income of Rani and will also incur expenses related to our operations, including payments under the Tax Receivable Agreement, which we expect could be significant. Furthermore, our allocable share of Rani’s net taxable income will increase over time as the Continuing LLC Owners redeem or exchange their LLC Interests for shares of our Class A common stock.</w:t>
      </w:r>
    </w:p>
    <w:p>
      <w:pPr>
        <w:spacing w:after="0" w:line="174" w:lineRule="exact"/>
        <w:rPr>
          <w:sz w:val="20"/>
          <w:szCs w:val="20"/>
          <w:color w:val="auto"/>
        </w:rPr>
      </w:pPr>
    </w:p>
    <w:p>
      <w:pPr>
        <w:ind w:right="100" w:firstLine="1018"/>
        <w:spacing w:after="0" w:line="287" w:lineRule="auto"/>
        <w:rPr>
          <w:sz w:val="20"/>
          <w:szCs w:val="20"/>
          <w:color w:val="auto"/>
        </w:rPr>
      </w:pPr>
      <w:r>
        <w:rPr>
          <w:rFonts w:ascii="Arial" w:cs="Arial" w:eastAsia="Arial" w:hAnsi="Arial"/>
          <w:sz w:val="17"/>
          <w:szCs w:val="17"/>
          <w:color w:val="auto"/>
        </w:rPr>
        <w:t>We intend, as its managing member, to cause Rani to make cash distributions to the owners of LLC Interests, including us, in an amount sufficient to (i) fund their or our tax obligations in respect of allocations of taxable income from Rani and (ii) cover our operating expenses, including payments under the Tax Receivable Agreement. However, Rani’s ability to make such distributions may be subject to various limitations and restrictions, such as restrictions on distributions that would either violate any contract or agreement to which Rani is then a party, including debt agreements, or any applicable law, or that would have the effect of rendering Rani insolvent. In addition, for taxable years beginning after December 31, 2017, liability for adjustments to a partnership’s tax return can be imposed on the partnership itself in certain circumstances, absent an election to the contrary. Rani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82" w:lineRule="exact"/>
        <w:rPr>
          <w:sz w:val="20"/>
          <w:szCs w:val="20"/>
          <w:color w:val="auto"/>
        </w:rPr>
      </w:pPr>
    </w:p>
    <w:p>
      <w:pPr>
        <w:ind w:right="80" w:firstLine="1018"/>
        <w:spacing w:after="0" w:line="266" w:lineRule="auto"/>
        <w:rPr>
          <w:sz w:val="20"/>
          <w:szCs w:val="20"/>
          <w:color w:val="auto"/>
        </w:rPr>
      </w:pPr>
      <w:r>
        <w:rPr>
          <w:rFonts w:ascii="Arial" w:cs="Arial" w:eastAsia="Arial" w:hAnsi="Arial"/>
          <w:sz w:val="18"/>
          <w:szCs w:val="18"/>
          <w:color w:val="auto"/>
        </w:rPr>
        <w:t>If we do not have sufficient funds to pay taxes or other liabilities or to fund our operations, we may have to borrow funds, which could adversely affect our liquidity and financial condition and subject us to various restrictions imposed by any such lenders. To the extent that we are unable to make payments under the Tax Receivable Agreement for any reason, such payments generally will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ind w:right="160"/>
        <w:spacing w:after="0" w:line="303" w:lineRule="auto"/>
        <w:rPr>
          <w:sz w:val="20"/>
          <w:szCs w:val="20"/>
          <w:color w:val="auto"/>
        </w:rPr>
      </w:pPr>
      <w:r>
        <w:rPr>
          <w:rFonts w:ascii="Arial" w:cs="Arial" w:eastAsia="Arial" w:hAnsi="Arial"/>
          <w:sz w:val="17"/>
          <w:szCs w:val="17"/>
          <w:color w:val="auto"/>
        </w:rPr>
        <w:t>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Rani does not have sufficient funds to make distributions, our ability to declare and pay cash dividends will also be restricted or impaired.</w:t>
      </w:r>
    </w:p>
    <w:p>
      <w:pPr>
        <w:spacing w:after="0" w:line="3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Rani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170" w:lineRule="exact"/>
        <w:rPr>
          <w:sz w:val="20"/>
          <w:szCs w:val="20"/>
          <w:color w:val="auto"/>
        </w:rPr>
      </w:pPr>
    </w:p>
    <w:p>
      <w:pPr>
        <w:ind w:right="40" w:firstLine="1018"/>
        <w:spacing w:after="0" w:line="286" w:lineRule="auto"/>
        <w:rPr>
          <w:sz w:val="20"/>
          <w:szCs w:val="20"/>
          <w:color w:val="auto"/>
        </w:rPr>
      </w:pPr>
      <w:r>
        <w:rPr>
          <w:rFonts w:ascii="Arial" w:cs="Arial" w:eastAsia="Arial" w:hAnsi="Arial"/>
          <w:sz w:val="17"/>
          <w:szCs w:val="17"/>
          <w:color w:val="auto"/>
        </w:rPr>
        <w:t>We will receive a portion of any distributions made by Rani. Any cash received from such distributions will first be used by us to satisfy any tax liability and then to make any payments required under the Tax Receivable Agreement. Subject to having available cash and subject to limitations imposed by applicable law and contractual restrictions (including pursuant to our debt instruments), the Rani Agreement requires Rani to make certain distributions to us and the Continuing LLC Owners, pro rata, to facilitate the payment of taxes with respect to the income of Rani that is allocated to us and them. These distributions are based on an assumed tax rate, and to the extent the distributions we receive exceed the amounts we actually require to pay taxes, Tax Receivable Agreement payments,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w:t>
      </w:r>
    </w:p>
    <w:p>
      <w:pPr>
        <w:spacing w:after="0" w:line="182" w:lineRule="exact"/>
        <w:rPr>
          <w:sz w:val="20"/>
          <w:szCs w:val="20"/>
          <w:color w:val="auto"/>
        </w:rPr>
      </w:pPr>
    </w:p>
    <w:p>
      <w:pPr>
        <w:ind w:right="80" w:firstLine="1018"/>
        <w:spacing w:after="0" w:line="270" w:lineRule="auto"/>
        <w:rPr>
          <w:sz w:val="20"/>
          <w:szCs w:val="20"/>
          <w:color w:val="auto"/>
        </w:rPr>
      </w:pPr>
      <w:r>
        <w:rPr>
          <w:rFonts w:ascii="Arial" w:cs="Arial" w:eastAsia="Arial" w:hAnsi="Arial"/>
          <w:sz w:val="18"/>
          <w:szCs w:val="18"/>
          <w:color w:val="auto"/>
        </w:rPr>
        <w:t>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or from holders of LLC Interests) at a price based on the market price of our Class A common stock at the time.</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83" w:lineRule="exact"/>
        <w:rPr>
          <w:sz w:val="20"/>
          <w:szCs w:val="20"/>
          <w:color w:val="auto"/>
        </w:rPr>
      </w:pPr>
    </w:p>
    <w:p>
      <w:pPr>
        <w:ind w:right="20" w:firstLine="1018"/>
        <w:spacing w:after="0" w:line="305" w:lineRule="auto"/>
        <w:rPr>
          <w:sz w:val="20"/>
          <w:szCs w:val="20"/>
          <w:color w:val="auto"/>
        </w:rPr>
      </w:pPr>
      <w:r>
        <w:rPr>
          <w:rFonts w:ascii="Arial" w:cs="Arial" w:eastAsia="Arial" w:hAnsi="Arial"/>
          <w:sz w:val="16"/>
          <w:szCs w:val="16"/>
          <w:color w:val="auto"/>
        </w:rPr>
        <w:t>We are a party to the Tax Receivable Agreement with certain of the Continuing LLC Owners. Under the Tax Receivable Agreement, we will be required to make cash payments to certain of the Continuing LLC Owners equal to 85% of the tax benefits, if any, that we are deemed to realize (calculated using certain assumptions) as a result of (i) increases in the tax basis of assets of Rani resulting from (a) any future redemptions or exchanges of LLC Interests and (b) payments under the Tax Receivable Agreement and (ii) certain other tax benefits arising from payments under the Tax Receivable Agreement. While the actual amount and timing of any payments under the Tax Receivable Agreement, will vary depending upon a number of factors, including the timing of exchanges, the price of shares of our Class A common stock at the time of the redemption or exchange, the extent to which such redemptions or exchanges are taxable, future tax rates, and the amount and timing of our taxable income (prior to taking into account the tax depreciation or amortization deductions arising from the basis adjustments), we expect that, as a result of the size of the increases in the tax basis of the tangible and intangible assets of Rani attributable to our interests in Rani, during the expected term of the Tax Receivable Agreement, the payments that we may make to certain of the Continuing LLC Owners could be significant. See the section titled “Management’s Discussion and Analysis of Financial Condition and Results of Operations—Liquidity and Capital Resources—Source of Liquidity” for further information.</w:t>
      </w:r>
    </w:p>
    <w:p>
      <w:pPr>
        <w:spacing w:after="0" w:line="169" w:lineRule="exact"/>
        <w:rPr>
          <w:sz w:val="20"/>
          <w:szCs w:val="20"/>
          <w:color w:val="auto"/>
        </w:rPr>
      </w:pPr>
    </w:p>
    <w:p>
      <w:pPr>
        <w:ind w:right="100" w:firstLine="1018"/>
        <w:spacing w:after="0" w:line="281"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Internal Revenue Service (the “IRS”), or another tax authority may challenge all or part of the tax basis increases, as well as other related tax positions we take, and a court could sustain such challenge. The Continuing LLC Owners who are parties to the Tax Receivable Agreement will not reimburse us for any payments previously made under the Tax Receivable Agreement if such basis increases or other benefits are subsequently disallowed, except that any excess payments made by us to the Continuing LLC Owners under the Tax Receivable Agreement will be netted against future payments that we might otherwise be required to make to the Continuing LLC Owners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sufficient future cash payments against which the prior payments can be fully netted. The applicable U.S. federal income tax rules are complex and factual in nature, and there can be no assurance that the IRS</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9" w:name="page90"/>
    <w:bookmarkEnd w:id="89"/>
    <w:p>
      <w:pPr>
        <w:ind w:right="160"/>
        <w:spacing w:after="0" w:line="359" w:lineRule="auto"/>
        <w:rPr>
          <w:sz w:val="20"/>
          <w:szCs w:val="20"/>
          <w:color w:val="auto"/>
        </w:rPr>
      </w:pPr>
      <w:r>
        <w:rPr>
          <w:rFonts w:ascii="Arial" w:cs="Arial" w:eastAsia="Arial" w:hAnsi="Arial"/>
          <w:sz w:val="16"/>
          <w:szCs w:val="16"/>
          <w:color w:val="auto"/>
        </w:rPr>
        <w:t>or a court will not disagree with our tax reporting positions. Therefore, payments could be made under the Tax Receivable Agreement in excess of the tax savings that we realize in respect of the tax attributes with respect to the Continuing LLC Owners that are the subject of the Tax Receivable Agreement.</w:t>
      </w:r>
    </w:p>
    <w:p>
      <w:pPr>
        <w:spacing w:after="0" w:line="125"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Receivable Agreement payments. Our accelerated payment obligations and/or assumptions adopted under the Tax Receivable Agreement in the case of a change of control may impair our ability to consummate a change of control transaction or negatively impact the value received by owners of our Class A common stock in a change of control transaction.</w:t>
      </w:r>
    </w:p>
    <w:p>
      <w:pPr>
        <w:spacing w:after="0" w:line="181" w:lineRule="exact"/>
        <w:rPr>
          <w:sz w:val="20"/>
          <w:szCs w:val="20"/>
          <w:color w:val="auto"/>
        </w:rPr>
      </w:pPr>
    </w:p>
    <w:p>
      <w:pPr>
        <w:ind w:right="420"/>
        <w:spacing w:after="0" w:line="399" w:lineRule="auto"/>
        <w:rPr>
          <w:sz w:val="20"/>
          <w:szCs w:val="20"/>
          <w:color w:val="auto"/>
        </w:rPr>
      </w:pPr>
      <w:r>
        <w:rPr>
          <w:rFonts w:ascii="Arial" w:cs="Arial" w:eastAsia="Arial" w:hAnsi="Arial"/>
          <w:sz w:val="15"/>
          <w:szCs w:val="15"/>
          <w:b w:val="1"/>
          <w:bCs w:val="1"/>
          <w:i w:val="1"/>
          <w:iCs w:val="1"/>
          <w:color w:val="auto"/>
        </w:rPr>
        <w:t>If we were deemed to be an investment company under the 1940 Act as a result of our ownership of Rani, applicable restrictions could make it impractical for us to continue our business as contemplated and could adversely affect our business, results of operations and financial condition.</w:t>
      </w:r>
    </w:p>
    <w:p>
      <w:pPr>
        <w:spacing w:after="0" w:line="101" w:lineRule="exact"/>
        <w:rPr>
          <w:sz w:val="20"/>
          <w:szCs w:val="20"/>
          <w:color w:val="auto"/>
        </w:rPr>
      </w:pPr>
    </w:p>
    <w:p>
      <w:pPr>
        <w:ind w:firstLine="1018"/>
        <w:spacing w:after="0" w:line="314"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60" w:lineRule="exact"/>
        <w:rPr>
          <w:sz w:val="20"/>
          <w:szCs w:val="20"/>
          <w:color w:val="auto"/>
        </w:rPr>
      </w:pPr>
    </w:p>
    <w:p>
      <w:pPr>
        <w:ind w:firstLine="1018"/>
        <w:spacing w:after="0" w:line="279" w:lineRule="auto"/>
        <w:rPr>
          <w:sz w:val="20"/>
          <w:szCs w:val="20"/>
          <w:color w:val="auto"/>
        </w:rPr>
      </w:pPr>
      <w:r>
        <w:rPr>
          <w:rFonts w:ascii="Arial" w:cs="Arial" w:eastAsia="Arial" w:hAnsi="Arial"/>
          <w:sz w:val="18"/>
          <w:szCs w:val="18"/>
          <w:color w:val="auto"/>
        </w:rPr>
        <w:t>As the sole managing member of Rani, we will control and operate Rani. On that basis, we believe that our interest in Rani is not an “investment security” as that term is used in the 1940 Act. However, if we were to cease participation in the management of Rani, our interest in Rani could be deemed an “investment security” for purposes of the 1940 Act.</w:t>
      </w:r>
    </w:p>
    <w:p>
      <w:pPr>
        <w:spacing w:after="0" w:line="358" w:lineRule="exact"/>
        <w:rPr>
          <w:sz w:val="20"/>
          <w:szCs w:val="20"/>
          <w:color w:val="auto"/>
        </w:rPr>
      </w:pPr>
    </w:p>
    <w:p>
      <w:pPr>
        <w:ind w:right="160" w:firstLine="1018"/>
        <w:spacing w:after="0" w:line="329" w:lineRule="auto"/>
        <w:rPr>
          <w:sz w:val="20"/>
          <w:szCs w:val="20"/>
          <w:color w:val="auto"/>
        </w:rPr>
      </w:pPr>
      <w:r>
        <w:rPr>
          <w:rFonts w:ascii="Arial" w:cs="Arial" w:eastAsia="Arial" w:hAnsi="Arial"/>
          <w:sz w:val="16"/>
          <w:szCs w:val="16"/>
          <w:color w:val="auto"/>
        </w:rPr>
        <w:t>We and Rani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w:t>
      </w:r>
    </w:p>
    <w:p>
      <w:pPr>
        <w:spacing w:after="0" w:line="148"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ICL currently performs or supports many of our general and administrative corporate functions and will continue to do in the near future pursuant to a service agreement, and if we are unable to replicate or replace these functions if the service agreement is terminated, our operations could be adversely affected.</w:t>
      </w:r>
    </w:p>
    <w:p>
      <w:pPr>
        <w:spacing w:after="0" w:line="183" w:lineRule="exact"/>
        <w:rPr>
          <w:sz w:val="20"/>
          <w:szCs w:val="20"/>
          <w:color w:val="auto"/>
        </w:rPr>
      </w:pPr>
    </w:p>
    <w:p>
      <w:pPr>
        <w:ind w:right="100" w:firstLine="1018"/>
        <w:spacing w:after="0" w:line="290" w:lineRule="auto"/>
        <w:rPr>
          <w:sz w:val="20"/>
          <w:szCs w:val="20"/>
          <w:color w:val="auto"/>
        </w:rPr>
      </w:pPr>
      <w:r>
        <w:rPr>
          <w:rFonts w:ascii="Arial" w:cs="Arial" w:eastAsia="Arial" w:hAnsi="Arial"/>
          <w:sz w:val="17"/>
          <w:szCs w:val="17"/>
          <w:color w:val="auto"/>
        </w:rPr>
        <w:t>ICL currently performs or supports a few of the general and administrative corporate functions for our company. For example, ICL provides certain general management, intellectual property, office and information technology services. Our consolidated financial statements reflect charges for these services pursuant to our service agreement with ICL, or the service agreement, which is being renewed on an annual basis. Pursuant to the service agreement, ICL will provide us certain administrative and development support services. For example, we anticipate receiving from ICL certain general management, intellectual property, office and information technology services. In addition, pursuant to the service agreement, we will continue to sublease from ICL office and laboratory space encompassing approximately 23,000 square feet.</w:t>
      </w:r>
    </w:p>
    <w:p>
      <w:pPr>
        <w:spacing w:after="0" w:line="176" w:lineRule="exact"/>
        <w:rPr>
          <w:sz w:val="20"/>
          <w:szCs w:val="20"/>
          <w:color w:val="auto"/>
        </w:rPr>
      </w:pPr>
    </w:p>
    <w:p>
      <w:pPr>
        <w:jc w:val="both"/>
        <w:ind w:right="180" w:firstLine="1018"/>
        <w:spacing w:after="0" w:line="279" w:lineRule="auto"/>
        <w:rPr>
          <w:sz w:val="20"/>
          <w:szCs w:val="20"/>
          <w:color w:val="auto"/>
        </w:rPr>
      </w:pPr>
      <w:r>
        <w:rPr>
          <w:rFonts w:ascii="Arial" w:cs="Arial" w:eastAsia="Arial" w:hAnsi="Arial"/>
          <w:sz w:val="18"/>
          <w:szCs w:val="18"/>
          <w:color w:val="auto"/>
        </w:rPr>
        <w:t>Pursuant to the service agreement, we will wholly own intellectual property resulting from ICL’s development work only if it relates to the Rani Field and was developed by our team and using our resources. ICL has agreed to exclusively license certain intellectual property to us for use solely within the Rani Field, but we may not obtain a license on favorable terms.</w:t>
      </w:r>
    </w:p>
    <w:p>
      <w:pPr>
        <w:spacing w:after="0" w:line="183" w:lineRule="exact"/>
        <w:rPr>
          <w:sz w:val="20"/>
          <w:szCs w:val="20"/>
          <w:color w:val="auto"/>
        </w:rPr>
      </w:pPr>
    </w:p>
    <w:p>
      <w:pPr>
        <w:ind w:right="200" w:firstLine="1018"/>
        <w:spacing w:after="0" w:line="359" w:lineRule="auto"/>
        <w:rPr>
          <w:sz w:val="20"/>
          <w:szCs w:val="20"/>
          <w:color w:val="auto"/>
        </w:rPr>
      </w:pPr>
      <w:r>
        <w:rPr>
          <w:rFonts w:ascii="Arial" w:cs="Arial" w:eastAsia="Arial" w:hAnsi="Arial"/>
          <w:sz w:val="16"/>
          <w:szCs w:val="16"/>
          <w:color w:val="auto"/>
        </w:rPr>
        <w:t>The fees to be charged for any service rendered pursuant to the service agreement will be based upon the hours incurred by ICL employees working on behalf of Rani as well as allocations of expenses based upon Rani’s utilization of ICL’s facilities and equipment for the relevant period.</w:t>
      </w:r>
    </w:p>
    <w:p>
      <w:pPr>
        <w:spacing w:after="0" w:line="125" w:lineRule="exact"/>
        <w:rPr>
          <w:sz w:val="20"/>
          <w:szCs w:val="20"/>
          <w:color w:val="auto"/>
        </w:rPr>
      </w:pPr>
    </w:p>
    <w:p>
      <w:pPr>
        <w:ind w:right="120" w:firstLine="1018"/>
        <w:spacing w:after="0" w:line="299" w:lineRule="auto"/>
        <w:rPr>
          <w:sz w:val="20"/>
          <w:szCs w:val="20"/>
          <w:color w:val="auto"/>
        </w:rPr>
      </w:pPr>
      <w:r>
        <w:rPr>
          <w:rFonts w:ascii="Arial" w:cs="Arial" w:eastAsia="Arial" w:hAnsi="Arial"/>
          <w:sz w:val="16"/>
          <w:szCs w:val="16"/>
          <w:color w:val="auto"/>
        </w:rPr>
        <w:t>The service agreement will renew for successive one-year terms unless sooner terminated by either party. Termination of individual services requires 60 days’ notice, and termination of the service agreement requires six months’ notice. In the event the service agreement is terminated by us or ICL, we will need to replicate or replace certain functions, systems and infrastructure to which we will no longer have the same access. We may also need to make investments or hire additional employees to operate without the same access to ICL’s existing operational and administrative infrastructure. These initiatives may be costly to implement. Due to the scope and complexity of the underlying projects relative to these efforts, the amount of total costs could be materially higher than our estimate, and the timing of the incurrence of these costs is subject to change.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0" w:name="page91"/>
    <w:bookmarkEnd w:id="90"/>
    <w:p>
      <w:pPr>
        <w:ind w:right="140" w:firstLine="1018"/>
        <w:spacing w:after="0" w:line="275" w:lineRule="auto"/>
        <w:rPr>
          <w:sz w:val="20"/>
          <w:szCs w:val="20"/>
          <w:color w:val="auto"/>
        </w:rPr>
      </w:pPr>
      <w:r>
        <w:rPr>
          <w:rFonts w:ascii="Arial" w:cs="Arial" w:eastAsia="Arial" w:hAnsi="Arial"/>
          <w:sz w:val="18"/>
          <w:szCs w:val="18"/>
          <w:color w:val="auto"/>
        </w:rPr>
        <w:t>In addition, we may not be able to replace these services or enter into appropriate third-party agreements on terms and conditions, including cost, comparable to those that we will receive from ICL under the service agreement. When we begin to operate these functions separately, if we do not have our own adequate systems and business functions in place, or are unable to obtain them from other providers, we may not be able to operate our business effectively or at comparable costs, and our profitability may decline.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is controlled by certain of the Continuing LLC Owners, whose interests may differ from those of our public stockholders.</w:t>
      </w:r>
    </w:p>
    <w:p>
      <w:pPr>
        <w:spacing w:after="0" w:line="239" w:lineRule="exact"/>
        <w:rPr>
          <w:sz w:val="20"/>
          <w:szCs w:val="20"/>
          <w:color w:val="auto"/>
        </w:rPr>
      </w:pPr>
    </w:p>
    <w:p>
      <w:pPr>
        <w:ind w:right="20" w:firstLine="1018"/>
        <w:spacing w:after="0" w:line="304" w:lineRule="auto"/>
        <w:rPr>
          <w:sz w:val="20"/>
          <w:szCs w:val="20"/>
          <w:color w:val="auto"/>
        </w:rPr>
      </w:pPr>
      <w:r>
        <w:rPr>
          <w:rFonts w:ascii="Arial" w:cs="Arial" w:eastAsia="Arial" w:hAnsi="Arial"/>
          <w:sz w:val="16"/>
          <w:szCs w:val="16"/>
          <w:color w:val="auto"/>
        </w:rPr>
        <w:t>Certain of the Continuing LLC Owners control approximately 94% of the combined voting power of our common stock through their ownership of both Class A common stock and Class B common stock. These Continuing LLC Owners will, for the foreseeable future, have the ability to substantially influence us through their ownership position over corporate management and affairs, and will be able to control virtually all matters requiring stockholder approval. These Continuing LLC Owners are able to, subject to applicable law,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these Continuing LLC Owners may in some circumstances conflict with our interests and the interests of our other stockholders, including you. For example, these Continuing LLC Owners may have different tax positions from us, especially in light of the Tax Receivable Agreement, that could influence our decisions regarding whether and when to dispose of assets, whether and when to incur new or refinance existing indebtedness, and whether and when Rani should terminate the Tax Receivable Agreement and accelerate its obligations thereunder. In addition, the determination of future tax reporting positions and the structuring of future transactions may take into consideration these Continuing LLC Owners’ tax or other considerations, which may differ from the considerations of us or our other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multi-class structure of our common stock may adversely affect the trading price or liquidity of our Class A common stock.</w:t>
      </w:r>
    </w:p>
    <w:p>
      <w:pPr>
        <w:spacing w:after="0" w:line="239" w:lineRule="exact"/>
        <w:rPr>
          <w:sz w:val="20"/>
          <w:szCs w:val="20"/>
          <w:color w:val="auto"/>
        </w:rPr>
      </w:pPr>
    </w:p>
    <w:p>
      <w:pPr>
        <w:ind w:right="40" w:firstLine="1018"/>
        <w:spacing w:after="0" w:line="287" w:lineRule="auto"/>
        <w:rPr>
          <w:sz w:val="20"/>
          <w:szCs w:val="20"/>
          <w:color w:val="auto"/>
        </w:rPr>
      </w:pPr>
      <w:r>
        <w:rPr>
          <w:rFonts w:ascii="Arial" w:cs="Arial" w:eastAsia="Arial" w:hAnsi="Arial"/>
          <w:sz w:val="17"/>
          <w:szCs w:val="17"/>
          <w:color w:val="auto"/>
        </w:rPr>
        <w:t>The existence of three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multi-class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82"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which will limit your ability to influence the outcome of important transactions, including a change in control.</w:t>
      </w:r>
    </w:p>
    <w:p>
      <w:pPr>
        <w:spacing w:after="0" w:line="170"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Our Class B common stock has 10 votes per share, our Class A common stock has one vote per share and Class C common stock has no voting rights, except as required by law. Holders of our outstanding Class A common stock collectively hold approximately 6% of the voting power of our outstanding capital stock, holders of our outstanding Class B common stock collectively hold approximately 94% of the voting power of our outstanding capital stock. Because of the 10-to-one voting ratio between our Class B common stock and Class A common stock, the holders of our Class B common stock collectively control a majority of the combined voting power of our capital stock and therefore are able to control all matters submitted to our stockholders for approval so long as the shares of our Class B common stock represent at least 9.1% of all outstanding shares of our Class A common stock and Class B common stock. These holders of our Class B common stock may also have interests that differ from other stockholders and may vote in a way which may be adverse to other stockholder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357" w:lineRule="exact"/>
        <w:rPr>
          <w:sz w:val="20"/>
          <w:szCs w:val="20"/>
          <w:color w:val="auto"/>
        </w:rPr>
      </w:pPr>
    </w:p>
    <w:p>
      <w:pPr>
        <w:ind w:right="120" w:firstLine="1018"/>
        <w:spacing w:after="0" w:line="266" w:lineRule="auto"/>
        <w:rPr>
          <w:sz w:val="20"/>
          <w:szCs w:val="20"/>
          <w:color w:val="auto"/>
        </w:rPr>
      </w:pPr>
      <w:r>
        <w:rPr>
          <w:rFonts w:ascii="Arial" w:cs="Arial" w:eastAsia="Arial" w:hAnsi="Arial"/>
          <w:sz w:val="18"/>
          <w:szCs w:val="18"/>
          <w:color w:val="auto"/>
        </w:rPr>
        <w:t>The exchange of Class A units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w:t>
      </w:r>
    </w:p>
    <w:p>
      <w:pPr>
        <w:spacing w:after="0" w:line="239" w:lineRule="exact"/>
        <w:rPr>
          <w:sz w:val="20"/>
          <w:szCs w:val="20"/>
          <w:color w:val="auto"/>
        </w:rPr>
      </w:pPr>
    </w:p>
    <w:p>
      <w:pPr>
        <w:ind w:firstLine="1018"/>
        <w:spacing w:after="0" w:line="269" w:lineRule="auto"/>
        <w:rPr>
          <w:sz w:val="20"/>
          <w:szCs w:val="20"/>
          <w:color w:val="auto"/>
        </w:rPr>
      </w:pPr>
      <w:r>
        <w:rPr>
          <w:rFonts w:ascii="Arial" w:cs="Arial" w:eastAsia="Arial" w:hAnsi="Arial"/>
          <w:sz w:val="18"/>
          <w:szCs w:val="18"/>
          <w:color w:val="auto"/>
        </w:rPr>
        <w:t>We only recently completed our IPO, so there is limited history regarding the trading of our Class A common stock. An active trading market for our Class A common stock may not develop or be sustained. The lack of an active market may impair stockholders’ ability to sell their shares at the time or price they wish to sell them. In addition, as described further in these “Risk Factors,” a substantial percentage of our Class A common stock will continue to be held by our executive officers and pre-IPO investors, who will be subject to lock-up agreements expiring 180 days from July 30, 2021, subject to standard exemptions. As a result of these and other factors, stockholders may be unable to resell their shares of our Class A common stock at or above the initial public offering price. Further,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39" w:lineRule="exact"/>
        <w:rPr>
          <w:sz w:val="20"/>
          <w:szCs w:val="20"/>
          <w:color w:val="auto"/>
        </w:rPr>
      </w:pPr>
    </w:p>
    <w:p>
      <w:pPr>
        <w:ind w:right="260" w:firstLine="1018"/>
        <w:spacing w:after="0" w:line="279"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Quarterly Report on Form 10-Q, these factors including:</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ability to obtain and maintain regulatory approvals for our current or any of our future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in laws or regulations applicable to our current or any of our future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adverse developments concerning any of our third-party collaborators and suppliers;</w:t>
      </w:r>
    </w:p>
    <w:p>
      <w:pPr>
        <w:spacing w:after="0" w:line="239" w:lineRule="exact"/>
        <w:rPr>
          <w:sz w:val="20"/>
          <w:szCs w:val="20"/>
          <w:color w:val="auto"/>
        </w:rPr>
      </w:pPr>
    </w:p>
    <w:p>
      <w:pPr>
        <w:ind w:left="1360" w:right="20"/>
        <w:spacing w:after="0" w:line="279" w:lineRule="auto"/>
        <w:rPr>
          <w:sz w:val="20"/>
          <w:szCs w:val="20"/>
          <w:color w:val="auto"/>
        </w:rPr>
      </w:pPr>
      <w:r>
        <w:rPr>
          <w:rFonts w:ascii="Arial" w:cs="Arial" w:eastAsia="Arial" w:hAnsi="Arial"/>
          <w:sz w:val="18"/>
          <w:szCs w:val="18"/>
          <w:color w:val="auto"/>
        </w:rPr>
        <w:t>our inability to obtain adequate product supply for our current or any of our future product candidates or our inability to do so at acceptable prices; our ability to scale, optimize and expand automation of our manufacturing processes for our product candidates for the conduct of preclinical studies and clinical trials and, if approved, for successful commercialization;</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degree and rate of physician and market adoption of our current or any of our future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announcements by us or our competitors of significant business developments, diagnostic technologies, acquisitions, or new offerings;</w:t>
      </w:r>
    </w:p>
    <w:p>
      <w:pPr>
        <w:spacing w:after="0" w:line="26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negative publicity associated with issues related to our technology or our product candidates;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our inability to establish collaborations, if needed;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future sales of our Class A common stock or other securities, by us or our stockholders, as well as the anticipation of lock-up releases;</w:t>
      </w:r>
    </w:p>
    <w:p>
      <w:pPr>
        <w:spacing w:after="0" w:line="26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in senior management or key personnel;</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trading volume of our Class A common stock;</w:t>
      </w:r>
    </w:p>
    <w:p>
      <w:pPr>
        <w:spacing w:after="0" w:line="239" w:lineRule="exact"/>
        <w:rPr>
          <w:sz w:val="20"/>
          <w:szCs w:val="20"/>
          <w:color w:val="auto"/>
        </w:rPr>
      </w:pPr>
    </w:p>
    <w:p>
      <w:pPr>
        <w:ind w:left="1360" w:right="140"/>
        <w:spacing w:after="0" w:line="359" w:lineRule="auto"/>
        <w:rPr>
          <w:sz w:val="20"/>
          <w:szCs w:val="20"/>
          <w:color w:val="auto"/>
        </w:rPr>
      </w:pPr>
      <w:r>
        <w:rPr>
          <w:rFonts w:ascii="Arial" w:cs="Arial" w:eastAsia="Arial" w:hAnsi="Arial"/>
          <w:sz w:val="16"/>
          <w:szCs w:val="16"/>
          <w:color w:val="auto"/>
        </w:rPr>
        <w:t>performance or news releases by other companies in our industry including about adverse developments related to safety, effectiveness, accuracy and usability of their products, reputational concerns, reimbursement coverage, regulatory compliance, and product recalls;</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general economic, regulatory and market conditions, including economic recessions or slowdowns;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in the structure of healthcare payment systems;</w:t>
      </w:r>
    </w:p>
    <w:p>
      <w:pPr>
        <w:spacing w:after="0" w:line="239" w:lineRule="exact"/>
        <w:rPr>
          <w:sz w:val="20"/>
          <w:szCs w:val="20"/>
          <w:color w:val="auto"/>
        </w:rPr>
      </w:pPr>
    </w:p>
    <w:p>
      <w:pPr>
        <w:ind w:left="1360" w:right="80"/>
        <w:spacing w:after="0" w:line="266" w:lineRule="auto"/>
        <w:rPr>
          <w:sz w:val="20"/>
          <w:szCs w:val="20"/>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ind w:left="1360"/>
        <w:spacing w:after="0"/>
        <w:rPr>
          <w:sz w:val="20"/>
          <w:szCs w:val="20"/>
          <w:color w:val="auto"/>
        </w:rPr>
      </w:pPr>
      <w:r>
        <w:rPr>
          <w:rFonts w:ascii="Arial" w:cs="Arial" w:eastAsia="Arial" w:hAnsi="Arial"/>
          <w:sz w:val="18"/>
          <w:szCs w:val="18"/>
          <w:color w:val="auto"/>
        </w:rPr>
        <w:t>variance in our financial performance from expectations of securities analysts or investors;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in our projected operating and financial results;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developments or disputes concerning our intellectual property or other proprietary rights;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significant lawsuits, including patent or stockholder litigation;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general political and economic conditions, including the COVID-19 pandemic; and</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other events or factors, many of which are beyond our control.</w:t>
      </w:r>
    </w:p>
    <w:p>
      <w:pPr>
        <w:spacing w:after="0" w:line="239" w:lineRule="exact"/>
        <w:rPr>
          <w:sz w:val="20"/>
          <w:szCs w:val="20"/>
          <w:color w:val="auto"/>
        </w:rPr>
      </w:pPr>
    </w:p>
    <w:p>
      <w:pPr>
        <w:ind w:right="100" w:firstLine="1018"/>
        <w:spacing w:after="0" w:line="290"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Class A common stock. In addition, given the relatively small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76" w:lineRule="exact"/>
        <w:rPr>
          <w:sz w:val="20"/>
          <w:szCs w:val="20"/>
          <w:color w:val="auto"/>
        </w:rPr>
      </w:pPr>
    </w:p>
    <w:p>
      <w:pPr>
        <w:ind w:right="500"/>
        <w:spacing w:after="0" w:line="279"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p>
    <w:p>
      <w:pPr>
        <w:spacing w:after="0" w:line="183" w:lineRule="exact"/>
        <w:rPr>
          <w:sz w:val="20"/>
          <w:szCs w:val="20"/>
          <w:color w:val="auto"/>
        </w:rPr>
      </w:pPr>
    </w:p>
    <w:p>
      <w:pPr>
        <w:ind w:right="20" w:firstLine="1018"/>
        <w:spacing w:after="0" w:line="272" w:lineRule="auto"/>
        <w:rPr>
          <w:sz w:val="20"/>
          <w:szCs w:val="20"/>
          <w:color w:val="auto"/>
        </w:rPr>
      </w:pPr>
      <w:r>
        <w:rPr>
          <w:rFonts w:ascii="Arial" w:cs="Arial" w:eastAsia="Arial" w:hAnsi="Arial"/>
          <w:sz w:val="18"/>
          <w:szCs w:val="18"/>
          <w:color w:val="auto"/>
        </w:rPr>
        <w:t>Following our IPO, our executive Chairman, Mir Imran beneficially owns approximately 80% of the combined voting power of our Class A and Class B common stock.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9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board that is composed of a majority of “independent directors,” as defined under the Nasdaq rules;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compensation committee that is composed entirely of independent directors; and</w:t>
      </w:r>
    </w:p>
    <w:p>
      <w:pPr>
        <w:spacing w:after="0" w:line="239" w:lineRule="exact"/>
        <w:rPr>
          <w:sz w:val="20"/>
          <w:szCs w:val="20"/>
          <w:color w:val="auto"/>
        </w:rPr>
      </w:pPr>
    </w:p>
    <w:p>
      <w:pPr>
        <w:ind w:left="1360" w:right="1700"/>
        <w:spacing w:after="0" w:line="324" w:lineRule="auto"/>
        <w:rPr>
          <w:sz w:val="20"/>
          <w:szCs w:val="20"/>
          <w:color w:val="auto"/>
        </w:rPr>
      </w:pPr>
      <w:r>
        <w:rPr>
          <w:rFonts w:ascii="Arial" w:cs="Arial" w:eastAsia="Arial" w:hAnsi="Arial"/>
          <w:sz w:val="17"/>
          <w:szCs w:val="17"/>
          <w:color w:val="auto"/>
        </w:rPr>
        <w:t>director nominations be made, or recommended to the full board of directors, by its independent directors, or by a nominations/governance committee that is composed entirely of independent directors.</w:t>
      </w:r>
    </w:p>
    <w:p>
      <w:pPr>
        <w:spacing w:after="0" w:line="147" w:lineRule="exact"/>
        <w:rPr>
          <w:sz w:val="20"/>
          <w:szCs w:val="20"/>
          <w:color w:val="auto"/>
        </w:rPr>
      </w:pPr>
    </w:p>
    <w:p>
      <w:pPr>
        <w:ind w:right="80" w:firstLine="1018"/>
        <w:spacing w:after="0" w:line="292" w:lineRule="auto"/>
        <w:rPr>
          <w:sz w:val="20"/>
          <w:szCs w:val="20"/>
          <w:color w:val="auto"/>
        </w:rPr>
      </w:pPr>
      <w:r>
        <w:rPr>
          <w:rFonts w:ascii="Arial" w:cs="Arial" w:eastAsia="Arial" w:hAnsi="Arial"/>
          <w:sz w:val="17"/>
          <w:szCs w:val="17"/>
          <w:color w:val="auto"/>
        </w:rPr>
        <w:t>While we do not intend to rely on the exemptions relating to being a “controlled company” within the meaning of the Nasdaq rules, we may utilize these exemptions for as long as we continue to qualify as a “controlled company.” Accordingly, our stockholders may not have the same protections afforded to stockholders of companies that are subject to all of the corporate governance requirements of the Nasdaq. 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350" w:lineRule="exact"/>
        <w:rPr>
          <w:sz w:val="20"/>
          <w:szCs w:val="20"/>
          <w:color w:val="auto"/>
        </w:rPr>
      </w:pPr>
    </w:p>
    <w:p>
      <w:pPr>
        <w:ind w:right="680"/>
        <w:spacing w:after="0" w:line="324" w:lineRule="auto"/>
        <w:rPr>
          <w:sz w:val="20"/>
          <w:szCs w:val="20"/>
          <w:color w:val="auto"/>
        </w:rPr>
      </w:pPr>
      <w:r>
        <w:rPr>
          <w:rFonts w:ascii="Arial" w:cs="Arial" w:eastAsia="Arial" w:hAnsi="Arial"/>
          <w:sz w:val="17"/>
          <w:szCs w:val="17"/>
          <w:b w:val="1"/>
          <w:bCs w:val="1"/>
          <w:i w:val="1"/>
          <w:iCs w:val="1"/>
          <w:color w:val="auto"/>
        </w:rPr>
        <w:t>We may in the future engage in acquisitions, collaborations, or strategic partnerships, which may increase our capital requirements, dilute our stockholders, cause us to incur debt or assume contingent liabilities, and subject us to other risks.</w:t>
      </w:r>
    </w:p>
    <w:p>
      <w:pPr>
        <w:spacing w:after="0" w:line="147" w:lineRule="exact"/>
        <w:rPr>
          <w:sz w:val="20"/>
          <w:szCs w:val="20"/>
          <w:color w:val="auto"/>
        </w:rPr>
      </w:pPr>
    </w:p>
    <w:p>
      <w:pPr>
        <w:ind w:right="580" w:firstLine="1018"/>
        <w:spacing w:after="0" w:line="279" w:lineRule="auto"/>
        <w:rPr>
          <w:sz w:val="20"/>
          <w:szCs w:val="20"/>
          <w:color w:val="auto"/>
        </w:rPr>
      </w:pPr>
      <w:r>
        <w:rPr>
          <w:rFonts w:ascii="Arial" w:cs="Arial" w:eastAsia="Arial" w:hAnsi="Arial"/>
          <w:sz w:val="18"/>
          <w:szCs w:val="18"/>
          <w:color w:val="auto"/>
        </w:rPr>
        <w:t>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increased operating expenses and cash requirements;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volatility with respect to the financial reporting related to such arrangements;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assumption of indebtedness or contingent liabilities;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issuance of our equity securities which would result in dilution to our stockholders;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3" w:name="page94"/>
    <w:bookmarkEnd w:id="93"/>
    <w:p>
      <w:pPr>
        <w:ind w:left="1360" w:right="680"/>
        <w:spacing w:after="0" w:line="293" w:lineRule="auto"/>
        <w:rPr>
          <w:sz w:val="20"/>
          <w:szCs w:val="20"/>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70" w:lineRule="exact"/>
        <w:rPr>
          <w:sz w:val="20"/>
          <w:szCs w:val="20"/>
          <w:color w:val="auto"/>
        </w:rPr>
      </w:pPr>
    </w:p>
    <w:p>
      <w:pPr>
        <w:ind w:left="1360" w:right="180"/>
        <w:spacing w:after="0" w:line="293" w:lineRule="auto"/>
        <w:rPr>
          <w:sz w:val="20"/>
          <w:szCs w:val="20"/>
          <w:color w:val="auto"/>
        </w:rPr>
      </w:pPr>
      <w:r>
        <w:rPr>
          <w:rFonts w:ascii="Arial" w:cs="Arial" w:eastAsia="Arial" w:hAnsi="Arial"/>
          <w:sz w:val="18"/>
          <w:szCs w:val="18"/>
          <w:color w:val="auto"/>
        </w:rPr>
        <w:t>diversion of our management’s attention from our existing product programs and initiatives in pursuing such an acquisition or strategic partnership;</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39" w:lineRule="exact"/>
        <w:rPr>
          <w:sz w:val="20"/>
          <w:szCs w:val="20"/>
          <w:color w:val="auto"/>
        </w:rPr>
      </w:pPr>
    </w:p>
    <w:p>
      <w:pPr>
        <w:ind w:left="1360" w:right="540"/>
        <w:spacing w:after="0" w:line="293" w:lineRule="auto"/>
        <w:rPr>
          <w:sz w:val="20"/>
          <w:szCs w:val="20"/>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70" w:lineRule="exact"/>
        <w:rPr>
          <w:sz w:val="20"/>
          <w:szCs w:val="20"/>
          <w:color w:val="auto"/>
        </w:rPr>
      </w:pPr>
    </w:p>
    <w:p>
      <w:pPr>
        <w:ind w:left="1360" w:right="360"/>
        <w:spacing w:after="0" w:line="293" w:lineRule="auto"/>
        <w:rPr>
          <w:sz w:val="20"/>
          <w:szCs w:val="20"/>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0" w:lineRule="exact"/>
        <w:rPr>
          <w:sz w:val="20"/>
          <w:szCs w:val="20"/>
          <w:color w:val="auto"/>
        </w:rPr>
      </w:pPr>
    </w:p>
    <w:p>
      <w:pPr>
        <w:ind w:right="540" w:firstLine="1018"/>
        <w:spacing w:after="0" w:line="293" w:lineRule="auto"/>
        <w:rPr>
          <w:sz w:val="20"/>
          <w:szCs w:val="20"/>
          <w:color w:val="auto"/>
        </w:rPr>
      </w:pPr>
      <w:r>
        <w:rPr>
          <w:rFonts w:ascii="Arial" w:cs="Arial" w:eastAsia="Arial" w:hAnsi="Arial"/>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and issuances of our Class A common stock in the public market could cause the market price of our Class A common stock to decline.</w:t>
      </w:r>
    </w:p>
    <w:p>
      <w:pPr>
        <w:spacing w:after="0" w:line="273" w:lineRule="exact"/>
        <w:rPr>
          <w:sz w:val="20"/>
          <w:szCs w:val="20"/>
          <w:color w:val="auto"/>
        </w:rPr>
      </w:pPr>
    </w:p>
    <w:p>
      <w:pPr>
        <w:ind w:right="100" w:firstLine="1018"/>
        <w:spacing w:after="0" w:line="329" w:lineRule="auto"/>
        <w:rPr>
          <w:sz w:val="20"/>
          <w:szCs w:val="20"/>
          <w:color w:val="auto"/>
        </w:rPr>
      </w:pPr>
      <w:r>
        <w:rPr>
          <w:rFonts w:ascii="Arial" w:cs="Arial" w:eastAsia="Arial" w:hAnsi="Arial"/>
          <w:sz w:val="16"/>
          <w:szCs w:val="16"/>
          <w:color w:val="auto"/>
        </w:rPr>
        <w:t>Sales and issuances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w:t>
      </w:r>
    </w:p>
    <w:p>
      <w:pPr>
        <w:spacing w:after="0" w:line="148" w:lineRule="exact"/>
        <w:rPr>
          <w:sz w:val="20"/>
          <w:szCs w:val="20"/>
          <w:color w:val="auto"/>
        </w:rPr>
      </w:pPr>
    </w:p>
    <w:p>
      <w:pPr>
        <w:ind w:right="20" w:firstLine="1018"/>
        <w:spacing w:after="0" w:line="293" w:lineRule="auto"/>
        <w:rPr>
          <w:sz w:val="20"/>
          <w:szCs w:val="20"/>
          <w:color w:val="auto"/>
        </w:rPr>
      </w:pPr>
      <w:r>
        <w:rPr>
          <w:rFonts w:ascii="Arial" w:cs="Arial" w:eastAsia="Arial" w:hAnsi="Arial"/>
          <w:sz w:val="18"/>
          <w:szCs w:val="18"/>
          <w:color w:val="auto"/>
        </w:rPr>
        <w:t>As of September 10, 2021, we have 19,714,592 outstanding shares of Class A common stock. Of these shares, only 7,666,667 shares of Class A common stock are freely tradable.</w:t>
      </w:r>
    </w:p>
    <w:p>
      <w:pPr>
        <w:spacing w:after="0" w:line="170" w:lineRule="exact"/>
        <w:rPr>
          <w:sz w:val="20"/>
          <w:szCs w:val="20"/>
          <w:color w:val="auto"/>
        </w:rPr>
      </w:pPr>
    </w:p>
    <w:p>
      <w:pPr>
        <w:ind w:right="60" w:firstLine="1018"/>
        <w:spacing w:after="0" w:line="271" w:lineRule="auto"/>
        <w:rPr>
          <w:sz w:val="20"/>
          <w:szCs w:val="20"/>
          <w:color w:val="auto"/>
        </w:rPr>
      </w:pPr>
      <w:r>
        <w:rPr>
          <w:rFonts w:ascii="Arial" w:cs="Arial" w:eastAsia="Arial" w:hAnsi="Arial"/>
          <w:sz w:val="18"/>
          <w:szCs w:val="18"/>
          <w:color w:val="auto"/>
        </w:rPr>
        <w:t>In addition, all of our executive officers and directors and the holders of substantially all of our equity securities are subject to lock-up agreements that restrict their ability to transfer shares of our Class A common stock, stock options and other securities convertible into, exchangeable for, or exercisable for our Class A common stock during the period ending on, and including, the 180th day after July 30, 2021, subject to specified exceptions. BofA Securities, Inc. and Stifel, Nicolaus &amp; Company, Incorporated may, in their discretion, permit our stockholders who are subject to these lock-up agreements to sell shares prior to the expiration of the lock-up agreements. Upon the expiration of the lock-up period, all of such shares will be eligible for sale.</w:t>
      </w:r>
    </w:p>
    <w:p>
      <w:pPr>
        <w:spacing w:after="0" w:line="191" w:lineRule="exact"/>
        <w:rPr>
          <w:sz w:val="20"/>
          <w:szCs w:val="20"/>
          <w:color w:val="auto"/>
        </w:rPr>
      </w:pPr>
    </w:p>
    <w:p>
      <w:pPr>
        <w:ind w:right="80" w:firstLine="1018"/>
        <w:spacing w:after="0" w:line="292" w:lineRule="auto"/>
        <w:rPr>
          <w:sz w:val="20"/>
          <w:szCs w:val="20"/>
          <w:color w:val="auto"/>
        </w:rPr>
      </w:pPr>
      <w:r>
        <w:rPr>
          <w:rFonts w:ascii="Arial" w:cs="Arial" w:eastAsia="Arial" w:hAnsi="Arial"/>
          <w:sz w:val="17"/>
          <w:szCs w:val="17"/>
          <w:color w:val="auto"/>
        </w:rPr>
        <w:t>We intend to register all of the shares of Class A common stock issuable upon exercise of outstanding stock options, and upon exercise or settlement of any options or other equity incentives we may grant in the future, for public resale under the Securities Act. Accordingly, these shares will be able to be freely sold in the public market upon issuance as permitted by any applicable vesting requirements, subject to the lock-up agreements described above. These shares of common will become eligible for sale in the public market to the extent such stock options are exercised, subject to the lock-up agreements described above and compliance with applicable securities laws.</w:t>
      </w:r>
    </w:p>
    <w:p>
      <w:pPr>
        <w:spacing w:after="0" w:line="174" w:lineRule="exact"/>
        <w:rPr>
          <w:sz w:val="20"/>
          <w:szCs w:val="20"/>
          <w:color w:val="auto"/>
        </w:rPr>
      </w:pPr>
    </w:p>
    <w:p>
      <w:pPr>
        <w:ind w:right="160" w:firstLine="1018"/>
        <w:spacing w:after="0" w:line="296" w:lineRule="auto"/>
        <w:rPr>
          <w:sz w:val="20"/>
          <w:szCs w:val="20"/>
          <w:color w:val="auto"/>
        </w:rPr>
      </w:pPr>
      <w:r>
        <w:rPr>
          <w:rFonts w:ascii="Arial" w:cs="Arial" w:eastAsia="Arial" w:hAnsi="Arial"/>
          <w:sz w:val="17"/>
          <w:szCs w:val="17"/>
          <w:color w:val="auto"/>
        </w:rPr>
        <w:t>Continuing LLC Owners are entitled to rights with respect to the registration of their shares under the Securities Act,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Class A common stock.</w:t>
      </w:r>
    </w:p>
    <w:p>
      <w:pPr>
        <w:spacing w:after="0" w:line="170" w:lineRule="exact"/>
        <w:rPr>
          <w:sz w:val="20"/>
          <w:szCs w:val="20"/>
          <w:color w:val="auto"/>
        </w:rPr>
      </w:pPr>
    </w:p>
    <w:p>
      <w:pPr>
        <w:ind w:right="120"/>
        <w:spacing w:after="0" w:line="324"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147" w:lineRule="exact"/>
        <w:rPr>
          <w:sz w:val="20"/>
          <w:szCs w:val="20"/>
          <w:color w:val="auto"/>
        </w:rPr>
      </w:pPr>
    </w:p>
    <w:p>
      <w:pPr>
        <w:ind w:right="160" w:firstLine="1018"/>
        <w:spacing w:after="0" w:line="299" w:lineRule="auto"/>
        <w:rPr>
          <w:sz w:val="20"/>
          <w:szCs w:val="20"/>
          <w:color w:val="auto"/>
        </w:rPr>
      </w:pPr>
      <w:r>
        <w:rPr>
          <w:rFonts w:ascii="Arial" w:cs="Arial" w:eastAsia="Arial" w:hAnsi="Arial"/>
          <w:sz w:val="16"/>
          <w:szCs w:val="16"/>
          <w:color w:val="auto"/>
        </w:rPr>
        <w:t>As of September 10, 2021, our named executive officers, directors, holders of 5% or more of our capital stock and their respective affiliates beneficially hold approximately 64% of our outstanding stock, representing approximately 83% of our voting power. Therefore, these stockholders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4" w:name="page95"/>
    <w:bookmarkEnd w:id="94"/>
    <w:p>
      <w:pPr>
        <w:jc w:val="both"/>
        <w:ind w:right="180" w:firstLine="1018"/>
        <w:spacing w:after="0" w:line="279" w:lineRule="auto"/>
        <w:rPr>
          <w:sz w:val="20"/>
          <w:szCs w:val="20"/>
          <w:color w:val="auto"/>
        </w:rPr>
      </w:pPr>
      <w:r>
        <w:rPr>
          <w:rFonts w:ascii="Arial" w:cs="Arial" w:eastAsia="Arial" w:hAnsi="Arial"/>
          <w:sz w:val="18"/>
          <w:szCs w:val="18"/>
          <w:color w:val="auto"/>
        </w:rPr>
        <w:t>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83" w:lineRule="exact"/>
        <w:rPr>
          <w:sz w:val="20"/>
          <w:szCs w:val="20"/>
          <w:color w:val="auto"/>
        </w:rPr>
      </w:pPr>
    </w:p>
    <w:p>
      <w:pPr>
        <w:ind w:right="680"/>
        <w:spacing w:after="0" w:line="293"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70" w:lineRule="exact"/>
        <w:rPr>
          <w:sz w:val="20"/>
          <w:szCs w:val="20"/>
          <w:color w:val="auto"/>
        </w:rPr>
      </w:pPr>
    </w:p>
    <w:p>
      <w:pPr>
        <w:jc w:val="both"/>
        <w:ind w:right="160" w:firstLine="1018"/>
        <w:spacing w:after="0" w:line="275"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stockholders must rely on sales of their Class A common stock after price appreciation, which may never occur, as the only way to realize any future gains on their investments.</w:t>
      </w:r>
    </w:p>
    <w:p>
      <w:pPr>
        <w:spacing w:after="0" w:line="185"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70" w:lineRule="exact"/>
        <w:rPr>
          <w:sz w:val="20"/>
          <w:szCs w:val="20"/>
          <w:color w:val="auto"/>
        </w:rPr>
      </w:pPr>
    </w:p>
    <w:p>
      <w:pPr>
        <w:ind w:right="180" w:firstLine="1018"/>
        <w:spacing w:after="0" w:line="305"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devotes a substantial amount of time to ensure that we comply with all of these requirements, and we will likely need to hire additional accounting and financial staff with appropriate public company reporting experience and technical accounting knowledge. Moreover, the reporting requirements, rules and regulations will increase our legal and financial compliance costs and will make some activities more time consuming and costly. Any changes we make to comply with these obligations may not be sufficient to allow us to continue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9" w:lineRule="exact"/>
        <w:rPr>
          <w:sz w:val="20"/>
          <w:szCs w:val="20"/>
          <w:color w:val="auto"/>
        </w:rPr>
      </w:pPr>
    </w:p>
    <w:p>
      <w:pPr>
        <w:jc w:val="both"/>
        <w:ind w:right="60" w:firstLine="1018"/>
        <w:spacing w:after="0" w:line="299"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w:t>
      </w:r>
    </w:p>
    <w:p>
      <w:pPr>
        <w:spacing w:after="0" w:line="2"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Furthermore, the senior members of our management team do not have significant experience with operating a public company. As a result,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 profitable, we may not sustain profitability.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Class A common stock to decline.</w:t>
      </w:r>
    </w:p>
    <w:p>
      <w:pPr>
        <w:spacing w:after="0" w:line="163"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Provisions under Delaware law and California law could make an acquisition of our company more difficult, limit attempts by our stockholders to replace or remove our current management and limit the market price of our common stock.</w:t>
      </w:r>
    </w:p>
    <w:p>
      <w:pPr>
        <w:spacing w:after="0" w:line="170" w:lineRule="exact"/>
        <w:rPr>
          <w:sz w:val="20"/>
          <w:szCs w:val="20"/>
          <w:color w:val="auto"/>
        </w:rPr>
      </w:pPr>
    </w:p>
    <w:p>
      <w:pPr>
        <w:ind w:right="320" w:firstLine="1018"/>
        <w:spacing w:after="0" w:line="272" w:lineRule="auto"/>
        <w:rPr>
          <w:sz w:val="20"/>
          <w:szCs w:val="20"/>
          <w:color w:val="auto"/>
        </w:rPr>
      </w:pPr>
      <w:r>
        <w:rPr>
          <w:rFonts w:ascii="Arial" w:cs="Arial" w:eastAsia="Arial" w:hAnsi="Arial"/>
          <w:sz w:val="18"/>
          <w:szCs w:val="18"/>
          <w:color w:val="auto"/>
        </w:rPr>
        <w:t>Under our amended and restated certificate of incorporation, we have elected not to be governed by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acquired at least 15% of our common stock. Because our principal executive offices are located in California, the anti-takeover provisions of the California Corporations Code may apply to us under certain circumstances now or in the future.</w:t>
      </w:r>
    </w:p>
    <w:p>
      <w:pPr>
        <w:spacing w:after="0" w:line="191" w:lineRule="exact"/>
        <w:rPr>
          <w:sz w:val="20"/>
          <w:szCs w:val="20"/>
          <w:color w:val="auto"/>
        </w:rPr>
      </w:pPr>
    </w:p>
    <w:p>
      <w:pPr>
        <w:ind w:right="280"/>
        <w:spacing w:after="0" w:line="399"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p>
    <w:p>
      <w:pPr>
        <w:spacing w:after="0" w:line="101" w:lineRule="exact"/>
        <w:rPr>
          <w:sz w:val="20"/>
          <w:szCs w:val="20"/>
          <w:color w:val="auto"/>
        </w:rPr>
      </w:pPr>
    </w:p>
    <w:p>
      <w:pPr>
        <w:ind w:right="20" w:firstLine="1018"/>
        <w:spacing w:after="0" w:line="266" w:lineRule="auto"/>
        <w:rPr>
          <w:sz w:val="20"/>
          <w:szCs w:val="20"/>
          <w:color w:val="auto"/>
        </w:rPr>
      </w:pPr>
      <w:r>
        <w:rPr>
          <w:rFonts w:ascii="Arial" w:cs="Arial" w:eastAsia="Arial" w:hAnsi="Arial"/>
          <w:sz w:val="18"/>
          <w:szCs w:val="18"/>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ind w:right="660"/>
        <w:spacing w:after="0" w:line="293" w:lineRule="auto"/>
        <w:rPr>
          <w:sz w:val="20"/>
          <w:szCs w:val="20"/>
          <w:color w:val="auto"/>
        </w:rPr>
      </w:pPr>
      <w:r>
        <w:rPr>
          <w:rFonts w:ascii="Arial" w:cs="Arial" w:eastAsia="Arial" w:hAnsi="Arial"/>
          <w:sz w:val="18"/>
          <w:szCs w:val="18"/>
          <w:color w:val="auto"/>
        </w:rPr>
        <w:t>on executive compensation and stockholder approval of any golden parachute payments not previously approved and extended adoption period for accounting pronouncements.</w:t>
      </w:r>
    </w:p>
    <w:p>
      <w:pPr>
        <w:spacing w:after="0" w:line="170" w:lineRule="exact"/>
        <w:rPr>
          <w:sz w:val="20"/>
          <w:szCs w:val="20"/>
          <w:color w:val="auto"/>
        </w:rPr>
      </w:pPr>
    </w:p>
    <w:p>
      <w:pPr>
        <w:ind w:right="40" w:firstLine="1018"/>
        <w:spacing w:after="0" w:line="271"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91" w:lineRule="exact"/>
        <w:rPr>
          <w:sz w:val="20"/>
          <w:szCs w:val="20"/>
          <w:color w:val="auto"/>
        </w:rPr>
      </w:pPr>
    </w:p>
    <w:p>
      <w:pPr>
        <w:ind w:right="80" w:firstLine="1018"/>
        <w:spacing w:after="0" w:line="279" w:lineRule="auto"/>
        <w:rPr>
          <w:sz w:val="20"/>
          <w:szCs w:val="20"/>
          <w:color w:val="auto"/>
        </w:rPr>
      </w:pPr>
      <w:r>
        <w:rPr>
          <w:rFonts w:ascii="Arial" w:cs="Arial" w:eastAsia="Arial" w:hAnsi="Arial"/>
          <w:sz w:val="18"/>
          <w:szCs w:val="18"/>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83" w:lineRule="exact"/>
        <w:rPr>
          <w:sz w:val="20"/>
          <w:szCs w:val="20"/>
          <w:color w:val="auto"/>
        </w:rPr>
      </w:pPr>
    </w:p>
    <w:p>
      <w:pPr>
        <w:ind w:right="40"/>
        <w:spacing w:after="0" w:line="359"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p>
    <w:p>
      <w:pPr>
        <w:spacing w:after="0" w:line="125" w:lineRule="exact"/>
        <w:rPr>
          <w:sz w:val="20"/>
          <w:szCs w:val="20"/>
          <w:color w:val="auto"/>
        </w:rPr>
      </w:pPr>
    </w:p>
    <w:p>
      <w:pPr>
        <w:ind w:right="240" w:firstLine="1018"/>
        <w:spacing w:after="0" w:line="359"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25" w:lineRule="exact"/>
        <w:rPr>
          <w:sz w:val="20"/>
          <w:szCs w:val="20"/>
          <w:color w:val="auto"/>
        </w:rPr>
      </w:pPr>
    </w:p>
    <w:p>
      <w:pPr>
        <w:ind w:left="1360" w:right="40"/>
        <w:spacing w:after="0" w:line="279" w:lineRule="auto"/>
        <w:rPr>
          <w:sz w:val="20"/>
          <w:szCs w:val="20"/>
          <w:color w:val="auto"/>
        </w:rPr>
      </w:pPr>
      <w:r>
        <w:rPr>
          <w:rFonts w:ascii="Arial" w:cs="Arial" w:eastAsia="Arial" w:hAnsi="Arial"/>
          <w:sz w:val="18"/>
          <w:szCs w:val="18"/>
          <w:color w:val="auto"/>
        </w:rPr>
        <w:t>a requirement that special meetings of stockholders be called only by holders of at least 25% of the voting power of our Class A common stock and Class B common stock, voting together as a single class, the chairperson of the board of directors, the chief executive officer, or by a majority of the board of directors;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239" w:lineRule="exact"/>
        <w:rPr>
          <w:sz w:val="20"/>
          <w:szCs w:val="20"/>
          <w:color w:val="auto"/>
        </w:rPr>
      </w:pPr>
    </w:p>
    <w:p>
      <w:pPr>
        <w:ind w:left="1360"/>
        <w:spacing w:after="0" w:line="279" w:lineRule="auto"/>
        <w:rPr>
          <w:sz w:val="20"/>
          <w:szCs w:val="20"/>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83" w:lineRule="exact"/>
        <w:rPr>
          <w:sz w:val="20"/>
          <w:szCs w:val="20"/>
          <w:color w:val="auto"/>
        </w:rPr>
      </w:pPr>
    </w:p>
    <w:p>
      <w:pPr>
        <w:ind w:left="1360" w:right="300"/>
        <w:spacing w:after="0" w:line="279" w:lineRule="auto"/>
        <w:rPr>
          <w:sz w:val="20"/>
          <w:szCs w:val="20"/>
          <w:color w:val="auto"/>
        </w:rPr>
      </w:pPr>
      <w:r>
        <w:rPr>
          <w:rFonts w:ascii="Arial" w:cs="Arial" w:eastAsia="Arial" w:hAnsi="Arial"/>
          <w:sz w:val="18"/>
          <w:szCs w:val="18"/>
          <w:color w:val="auto"/>
        </w:rPr>
        <w:t>a requirement of approval of a majority of all outstanding shares of our voting stock to amend any bylaws by stockholder action or to amend specific provisions of our certificate of incorporation, with protective provisions in our certificate of incorporation requiring approval of a majority of the voting power of the Class B common stock then outstanding;</w:t>
      </w:r>
    </w:p>
    <w:p>
      <w:pPr>
        <w:spacing w:after="0" w:line="183" w:lineRule="exact"/>
        <w:rPr>
          <w:sz w:val="20"/>
          <w:szCs w:val="20"/>
          <w:color w:val="auto"/>
        </w:rPr>
      </w:pPr>
    </w:p>
    <w:p>
      <w:pPr>
        <w:ind w:left="1360" w:right="660"/>
        <w:spacing w:after="0" w:line="359" w:lineRule="auto"/>
        <w:rPr>
          <w:sz w:val="20"/>
          <w:szCs w:val="20"/>
          <w:color w:val="auto"/>
        </w:rPr>
      </w:pPr>
      <w:r>
        <w:rPr>
          <w:rFonts w:ascii="Arial" w:cs="Arial" w:eastAsia="Arial" w:hAnsi="Arial"/>
          <w:sz w:val="16"/>
          <w:szCs w:val="16"/>
          <w:color w:val="auto"/>
        </w:rPr>
        <w:t>the authority of the board of directors to issue preferred stock on terms determined by the board of directors without stockholder approval and which preferred stock may include rights superior to the rights of the holders of Class A common stock; and</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authorization of three classes of common stock as described above.</w:t>
      </w:r>
    </w:p>
    <w:p>
      <w:pPr>
        <w:spacing w:after="0" w:line="239" w:lineRule="exact"/>
        <w:rPr>
          <w:sz w:val="20"/>
          <w:szCs w:val="20"/>
          <w:color w:val="auto"/>
        </w:rPr>
      </w:pPr>
    </w:p>
    <w:p>
      <w:pPr>
        <w:ind w:right="60" w:firstLine="1018"/>
        <w:spacing w:after="0" w:line="288" w:lineRule="auto"/>
        <w:rPr>
          <w:sz w:val="20"/>
          <w:szCs w:val="20"/>
          <w:color w:val="auto"/>
        </w:rPr>
      </w:pPr>
      <w:r>
        <w:rPr>
          <w:rFonts w:ascii="Arial" w:cs="Arial" w:eastAsia="Arial" w:hAnsi="Arial"/>
          <w:sz w:val="17"/>
          <w:szCs w:val="17"/>
          <w:color w:val="auto"/>
        </w:rPr>
        <w:t>Under our amended and restated certificate of incorporation, we have elected not to be governed by the provisions of Section 203 of the Delaware General Corporate Law, which may prohibit certain business antitakeover provisions.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w:t>
      </w:r>
    </w:p>
    <w:p>
      <w:pPr>
        <w:spacing w:after="0" w:line="181" w:lineRule="exact"/>
        <w:rPr>
          <w:sz w:val="20"/>
          <w:szCs w:val="20"/>
          <w:color w:val="auto"/>
        </w:rPr>
      </w:pPr>
    </w:p>
    <w:p>
      <w:pPr>
        <w:ind w:right="260"/>
        <w:spacing w:after="0" w:line="329"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8" w:lineRule="exact"/>
        <w:rPr>
          <w:sz w:val="20"/>
          <w:szCs w:val="20"/>
          <w:color w:val="auto"/>
        </w:rPr>
      </w:pPr>
    </w:p>
    <w:p>
      <w:pPr>
        <w:ind w:right="500" w:firstLine="1018"/>
        <w:spacing w:after="0" w:line="26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(1) any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6" w:name="page97"/>
    <w:bookmarkEnd w:id="96"/>
    <w:p>
      <w:pPr>
        <w:ind w:right="180"/>
        <w:spacing w:after="0" w:line="287" w:lineRule="auto"/>
        <w:rPr>
          <w:sz w:val="20"/>
          <w:szCs w:val="20"/>
          <w:color w:val="auto"/>
        </w:rPr>
      </w:pPr>
      <w:r>
        <w:rPr>
          <w:rFonts w:ascii="Arial" w:cs="Arial" w:eastAsia="Arial" w:hAnsi="Arial"/>
          <w:sz w:val="17"/>
          <w:szCs w:val="17"/>
          <w:color w:val="auto"/>
        </w:rPr>
        <w:t>derivative action or proceeding brought on our behalf, (2) any action or proceeding asserting a claim of breach of a fiduciary duty owed by any of our current or former directors, officers, or other employees to us or our stockholders, (3)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(4) any action or proceeding to interpret, apply, enforce, or determine the validity of our amended and restated certificate of incorporation or our amended and restated bylaws, (5) any action or proceeding as to which the Delaware General Corporation Law confers jurisdiction to the Court of Chancery of the State of Delaware, and (6)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82" w:lineRule="exact"/>
        <w:rPr>
          <w:sz w:val="20"/>
          <w:szCs w:val="20"/>
          <w:color w:val="auto"/>
        </w:rPr>
      </w:pPr>
    </w:p>
    <w:p>
      <w:pPr>
        <w:ind w:right="120" w:firstLine="1018"/>
        <w:spacing w:after="0" w:line="285"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the federal district courts of the United States of America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w:t>
      </w:r>
    </w:p>
    <w:p>
      <w:pPr>
        <w:spacing w:after="0" w:line="357"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43"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83" w:lineRule="exact"/>
        <w:rPr>
          <w:sz w:val="20"/>
          <w:szCs w:val="20"/>
          <w:color w:val="auto"/>
        </w:rPr>
      </w:pPr>
    </w:p>
    <w:p>
      <w:pPr>
        <w:ind w:right="100" w:firstLine="1018"/>
        <w:spacing w:after="0" w:line="290" w:lineRule="auto"/>
        <w:rPr>
          <w:sz w:val="20"/>
          <w:szCs w:val="20"/>
          <w:color w:val="auto"/>
        </w:rPr>
      </w:pPr>
      <w:r>
        <w:rPr>
          <w:rFonts w:ascii="Arial" w:cs="Arial" w:eastAsia="Arial" w:hAnsi="Arial"/>
          <w:sz w:val="17"/>
          <w:szCs w:val="17"/>
          <w:color w:val="auto"/>
        </w:rPr>
        <w:t>We are required, pursuant to Section 404 of the Sarbanes-Oxley Act of 2002, to furnish a report by management on, among other things, the effectiveness of our internal control over financial reporting for the year ending December 31, 2022, which is the year covered by the second annual report following the completion of our initial public offering. This assessment needs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are not a non-accelerated filer at such time.</w:t>
      </w:r>
    </w:p>
    <w:p>
      <w:pPr>
        <w:spacing w:after="0" w:line="176" w:lineRule="exact"/>
        <w:rPr>
          <w:sz w:val="20"/>
          <w:szCs w:val="20"/>
          <w:color w:val="auto"/>
        </w:rPr>
      </w:pPr>
    </w:p>
    <w:p>
      <w:pPr>
        <w:ind w:right="140" w:firstLine="1018"/>
        <w:spacing w:after="0" w:line="266"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7" w:name="page98"/>
    <w:bookmarkEnd w:id="97"/>
    <w:p>
      <w:pPr>
        <w:jc w:val="both"/>
        <w:ind w:right="140"/>
        <w:spacing w:after="0" w:line="279"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83" w:lineRule="exact"/>
        <w:rPr>
          <w:sz w:val="20"/>
          <w:szCs w:val="20"/>
          <w:color w:val="auto"/>
        </w:rPr>
      </w:pPr>
    </w:p>
    <w:p>
      <w:pPr>
        <w:ind w:right="40" w:firstLine="1018"/>
        <w:spacing w:after="0" w:line="288" w:lineRule="auto"/>
        <w:rPr>
          <w:sz w:val="20"/>
          <w:szCs w:val="20"/>
          <w:color w:val="auto"/>
        </w:rPr>
      </w:pPr>
      <w:r>
        <w:rPr>
          <w:rFonts w:ascii="Arial" w:cs="Arial" w:eastAsia="Arial" w:hAnsi="Arial"/>
          <w:sz w:val="17"/>
          <w:szCs w:val="17"/>
          <w:color w:val="auto"/>
        </w:rPr>
        <w:t>The preparation of our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356"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70" w:lineRule="exact"/>
        <w:rPr>
          <w:sz w:val="20"/>
          <w:szCs w:val="20"/>
          <w:color w:val="auto"/>
        </w:rPr>
      </w:pPr>
    </w:p>
    <w:p>
      <w:pPr>
        <w:jc w:val="both"/>
        <w:ind w:right="320" w:firstLine="1018"/>
        <w:spacing w:after="0" w:line="279" w:lineRule="auto"/>
        <w:rPr>
          <w:sz w:val="20"/>
          <w:szCs w:val="20"/>
          <w:color w:val="auto"/>
        </w:rPr>
      </w:pPr>
      <w:r>
        <w:rPr>
          <w:rFonts w:ascii="Arial" w:cs="Arial" w:eastAsia="Arial" w:hAnsi="Arial"/>
          <w:sz w:val="18"/>
          <w:szCs w:val="18"/>
          <w:color w:val="auto"/>
        </w:rPr>
        <w:t>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in the valuation of our deferred tax assets and liabilities;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expected timing and amount of the release of any tax valuation allowances;</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tax effects of equity-based compensation;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changes in tax laws, regulations or interpretations thereof; or</w:t>
      </w:r>
    </w:p>
    <w:p>
      <w:pPr>
        <w:spacing w:after="0" w:line="239" w:lineRule="exact"/>
        <w:rPr>
          <w:sz w:val="20"/>
          <w:szCs w:val="20"/>
          <w:color w:val="auto"/>
        </w:rPr>
      </w:pPr>
    </w:p>
    <w:p>
      <w:pPr>
        <w:ind w:left="1360" w:right="80"/>
        <w:spacing w:after="0" w:line="293" w:lineRule="auto"/>
        <w:rPr>
          <w:sz w:val="20"/>
          <w:szCs w:val="20"/>
          <w:color w:val="auto"/>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170" w:lineRule="exact"/>
        <w:rPr>
          <w:sz w:val="20"/>
          <w:szCs w:val="20"/>
          <w:color w:val="auto"/>
        </w:rPr>
      </w:pPr>
    </w:p>
    <w:p>
      <w:pPr>
        <w:ind w:right="520" w:firstLine="1018"/>
        <w:spacing w:after="0" w:line="324" w:lineRule="auto"/>
        <w:rPr>
          <w:sz w:val="20"/>
          <w:szCs w:val="20"/>
          <w:color w:val="auto"/>
        </w:rPr>
      </w:pPr>
      <w:r>
        <w:rPr>
          <w:rFonts w:ascii="Arial" w:cs="Arial" w:eastAsia="Arial" w:hAnsi="Arial"/>
          <w:sz w:val="17"/>
          <w:szCs w:val="17"/>
          <w:color w:val="auto"/>
        </w:rPr>
        <w:t>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Class A common stock.</w:t>
      </w:r>
    </w:p>
    <w:p>
      <w:pPr>
        <w:spacing w:after="0" w:line="239" w:lineRule="exact"/>
        <w:rPr>
          <w:sz w:val="20"/>
          <w:szCs w:val="20"/>
          <w:color w:val="auto"/>
        </w:rPr>
      </w:pPr>
    </w:p>
    <w:p>
      <w:pPr>
        <w:ind w:right="60" w:firstLine="1018"/>
        <w:spacing w:after="0" w:line="311" w:lineRule="auto"/>
        <w:rPr>
          <w:sz w:val="20"/>
          <w:szCs w:val="20"/>
          <w:color w:val="auto"/>
        </w:rPr>
      </w:pPr>
      <w:r>
        <w:rPr>
          <w:rFonts w:ascii="Arial" w:cs="Arial" w:eastAsia="Arial" w:hAnsi="Arial"/>
          <w:sz w:val="16"/>
          <w:szCs w:val="16"/>
          <w:color w:val="auto"/>
        </w:rPr>
        <w:t>If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a stockholder's ability to sell or purchase our Class A common stock when they wish to do so. In the event of a delisting, we can provide no assurance that any action taken by us to restore compliance with listing requirements would allow our Class A common stock to become listed again, stabilize the market price or improve the liquidity of our Class A common stock, prevent our Class A common stock from dropping below the Nasdaq minimum bid price requirement or prevent future non-compliance with the listing requirements of Nasdaq.</w:t>
      </w:r>
    </w:p>
    <w:p>
      <w:pPr>
        <w:spacing w:after="0" w:line="163"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83" w:lineRule="exact"/>
        <w:rPr>
          <w:sz w:val="20"/>
          <w:szCs w:val="20"/>
          <w:color w:val="auto"/>
        </w:rPr>
      </w:pPr>
    </w:p>
    <w:p>
      <w:pPr>
        <w:ind w:right="20" w:firstLine="1018"/>
        <w:spacing w:after="0" w:line="281"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recipients in the public or private sector. We may engage third parties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8" w:name="page99"/>
    <w:bookmarkEnd w:id="98"/>
    <w:p>
      <w:pPr>
        <w:jc w:val="both"/>
        <w:ind w:right="180"/>
        <w:spacing w:after="0" w:line="329" w:lineRule="auto"/>
        <w:rPr>
          <w:sz w:val="20"/>
          <w:szCs w:val="20"/>
          <w:color w:val="auto"/>
        </w:rPr>
      </w:pPr>
      <w:r>
        <w:rPr>
          <w:rFonts w:ascii="Arial" w:cs="Arial" w:eastAsia="Arial" w:hAnsi="Arial"/>
          <w:sz w:val="16"/>
          <w:szCs w:val="16"/>
          <w:color w:val="auto"/>
        </w:rPr>
        <w:t>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8"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We are subject to numerous laws and regulations related to anti-bribery and anti-corruption laws, such as the FCPA, in which violations of these laws could result in substantial penalties and prosecution.</w:t>
      </w:r>
    </w:p>
    <w:p>
      <w:pPr>
        <w:spacing w:after="0" w:line="170" w:lineRule="exact"/>
        <w:rPr>
          <w:sz w:val="20"/>
          <w:szCs w:val="20"/>
          <w:color w:val="auto"/>
        </w:rPr>
      </w:pPr>
    </w:p>
    <w:p>
      <w:pPr>
        <w:ind w:right="80" w:firstLine="1018"/>
        <w:spacing w:after="0" w:line="308" w:lineRule="auto"/>
        <w:rPr>
          <w:sz w:val="20"/>
          <w:szCs w:val="20"/>
          <w:color w:val="auto"/>
        </w:rPr>
      </w:pPr>
      <w:r>
        <w:rPr>
          <w:rFonts w:ascii="Arial" w:cs="Arial" w:eastAsia="Arial" w:hAnsi="Arial"/>
          <w:sz w:val="16"/>
          <w:szCs w:val="16"/>
          <w:color w:val="auto"/>
        </w:rPr>
        <w:t>For any operations outside the United States, we are similarly subject to various heavily-enforced anti-bribery and anti-corruption laws, such as the FCPA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w:t>
      </w:r>
    </w:p>
    <w:p>
      <w:pPr>
        <w:spacing w:after="0" w:line="163" w:lineRule="exact"/>
        <w:rPr>
          <w:sz w:val="20"/>
          <w:szCs w:val="20"/>
          <w:color w:val="auto"/>
        </w:rPr>
      </w:pPr>
    </w:p>
    <w:p>
      <w:pPr>
        <w:ind w:right="120" w:firstLine="1018"/>
        <w:spacing w:after="0" w:line="272" w:lineRule="auto"/>
        <w:rPr>
          <w:sz w:val="20"/>
          <w:szCs w:val="20"/>
          <w:color w:val="auto"/>
        </w:rPr>
      </w:pPr>
      <w:r>
        <w:rPr>
          <w:rFonts w:ascii="Arial" w:cs="Arial" w:eastAsia="Arial" w:hAnsi="Arial"/>
          <w:sz w:val="18"/>
          <w:szCs w:val="18"/>
          <w:color w:val="auto"/>
        </w:rPr>
        <w:t>Responding to any enforcement action or related investigation may result in a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harm our business, financial condition and results of operations.</w:t>
      </w:r>
    </w:p>
    <w:p>
      <w:pPr>
        <w:spacing w:after="0" w:line="191"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Class A common stock price and trading volume could decline.</w:t>
      </w:r>
    </w:p>
    <w:p>
      <w:pPr>
        <w:spacing w:after="0" w:line="170" w:lineRule="exact"/>
        <w:rPr>
          <w:sz w:val="20"/>
          <w:szCs w:val="20"/>
          <w:color w:val="auto"/>
        </w:rPr>
      </w:pPr>
    </w:p>
    <w:p>
      <w:pPr>
        <w:ind w:right="60" w:firstLine="1018"/>
        <w:spacing w:after="0" w:line="303" w:lineRule="auto"/>
        <w:rPr>
          <w:sz w:val="20"/>
          <w:szCs w:val="20"/>
          <w:color w:val="auto"/>
        </w:rPr>
      </w:pPr>
      <w:r>
        <w:rPr>
          <w:rFonts w:ascii="Arial" w:cs="Arial" w:eastAsia="Arial" w:hAnsi="Arial"/>
          <w:sz w:val="17"/>
          <w:szCs w:val="17"/>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64" w:lineRule="exact"/>
        <w:rPr>
          <w:sz w:val="20"/>
          <w:szCs w:val="20"/>
          <w:color w:val="auto"/>
        </w:rPr>
      </w:pPr>
    </w:p>
    <w:p>
      <w:pPr>
        <w:ind w:right="40" w:firstLine="1018"/>
        <w:spacing w:after="0" w:line="271"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91" w:lineRule="exact"/>
        <w:rPr>
          <w:sz w:val="20"/>
          <w:szCs w:val="20"/>
          <w:color w:val="auto"/>
        </w:rPr>
      </w:pPr>
    </w:p>
    <w:p>
      <w:pPr>
        <w:ind w:right="40" w:firstLine="1018"/>
        <w:spacing w:after="0" w:line="329" w:lineRule="auto"/>
        <w:rPr>
          <w:sz w:val="20"/>
          <w:szCs w:val="20"/>
          <w:color w:val="auto"/>
        </w:rPr>
      </w:pPr>
      <w:r>
        <w:rPr>
          <w:rFonts w:ascii="Arial" w:cs="Arial" w:eastAsia="Arial" w:hAnsi="Arial"/>
          <w:sz w:val="16"/>
          <w:szCs w:val="16"/>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During the three months ended June 30, 2021, we issued and sold the following unregistered securities:</w:t>
      </w:r>
    </w:p>
    <w:p>
      <w:pPr>
        <w:spacing w:after="0" w:line="131" w:lineRule="exact"/>
        <w:rPr>
          <w:sz w:val="20"/>
          <w:szCs w:val="20"/>
          <w:color w:val="auto"/>
        </w:rPr>
      </w:pPr>
    </w:p>
    <w:p>
      <w:pPr>
        <w:ind w:left="1220" w:right="100" w:hanging="328"/>
        <w:spacing w:after="0" w:line="293"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April 19, 2021, we issued 1,000 shares of common stock at a purchase price of $0.01 per share for aggregate gross proceeds of $10.00 to Rani.</w:t>
      </w:r>
    </w:p>
    <w:p>
      <w:pPr>
        <w:spacing w:after="0" w:line="61" w:lineRule="exact"/>
        <w:rPr>
          <w:rFonts w:ascii="Arial" w:cs="Arial" w:eastAsia="Arial" w:hAnsi="Arial"/>
          <w:sz w:val="18"/>
          <w:szCs w:val="18"/>
          <w:color w:val="auto"/>
        </w:rPr>
      </w:pPr>
    </w:p>
    <w:p>
      <w:pPr>
        <w:ind w:left="1220" w:right="520" w:hanging="328"/>
        <w:spacing w:after="0" w:line="293"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June 17, 2021, Rani granted certain of its employees, consultants, directors and executive officers options to purchase 2,292,309 common units with an exercise price of $4.99 per share.</w:t>
      </w:r>
    </w:p>
    <w:p>
      <w:pPr>
        <w:spacing w:after="0" w:line="170" w:lineRule="exact"/>
        <w:rPr>
          <w:sz w:val="20"/>
          <w:szCs w:val="20"/>
          <w:color w:val="auto"/>
        </w:rPr>
      </w:pPr>
    </w:p>
    <w:p>
      <w:pPr>
        <w:ind w:right="80" w:firstLine="1018"/>
        <w:spacing w:after="0" w:line="266"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9" w:name="page100"/>
    <w:bookmarkEnd w:id="99"/>
    <w:p>
      <w:pPr>
        <w:spacing w:after="0" w:line="293" w:lineRule="auto"/>
        <w:rPr>
          <w:sz w:val="20"/>
          <w:szCs w:val="20"/>
          <w:color w:val="auto"/>
        </w:rPr>
      </w:pPr>
      <w:r>
        <w:rPr>
          <w:rFonts w:ascii="Arial" w:cs="Arial" w:eastAsia="Arial" w:hAnsi="Arial"/>
          <w:sz w:val="18"/>
          <w:szCs w:val="18"/>
          <w:color w:val="auto"/>
        </w:rPr>
        <w:t>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43" w:lineRule="exact"/>
        <w:rPr>
          <w:sz w:val="20"/>
          <w:szCs w:val="20"/>
          <w:color w:val="auto"/>
        </w:rPr>
      </w:pPr>
    </w:p>
    <w:p>
      <w:pPr>
        <w:ind w:right="80" w:firstLine="1018"/>
        <w:spacing w:after="0" w:line="287" w:lineRule="auto"/>
        <w:rPr>
          <w:sz w:val="20"/>
          <w:szCs w:val="20"/>
          <w:color w:val="auto"/>
        </w:rPr>
      </w:pPr>
      <w:r>
        <w:rPr>
          <w:rFonts w:ascii="Arial" w:cs="Arial" w:eastAsia="Arial" w:hAnsi="Arial"/>
          <w:sz w:val="17"/>
          <w:szCs w:val="17"/>
          <w:color w:val="auto"/>
        </w:rPr>
        <w:t>On July 29, 2021, the SEC declared effective our Registration Statement on Form S-1 (File No. 333-257809), as amended, filed in connection with our IPO. In connection with the IPO, we issued and sold 7,666,667 shares of our Class A common stock, which included 1,000,000 shares sold pursuant to the full exercise by the underwriters of their option to purchase additional shares, at the initial public offering price to the public of $11.00 per share. The initial closing of the IPO occurred on August 3, 2021. The closing of the underwriters’ partial exercise of 500,000 shares of our Class A common stock occurred on August 11, 2021, and the closing of the underwriters’ exercise of their remaining option of 500,000 shares of our Class A common stock occurred on August 13, 2021. We received aggregate gross proceeds from the IPO of approximately $84.3 million, before deducting underwriting discounts and commissions of approximately $5.9 million and other expenses of approximately $4.7 million. BofA Securities, Inc., Stifel, Nicolaus &amp; Company, Incorporated, Cantor Fitzgerald &amp; Co. and Canaccord Genuity LLC acted as joint book-running managers for the offering. BTIG LLC acted as lead manager for the offering.</w:t>
      </w:r>
    </w:p>
    <w:p>
      <w:pPr>
        <w:spacing w:after="0" w:line="178" w:lineRule="exact"/>
        <w:rPr>
          <w:sz w:val="20"/>
          <w:szCs w:val="20"/>
          <w:color w:val="auto"/>
        </w:rPr>
      </w:pPr>
    </w:p>
    <w:p>
      <w:pPr>
        <w:ind w:right="220" w:firstLine="1018"/>
        <w:spacing w:after="0" w:line="293" w:lineRule="auto"/>
        <w:rPr>
          <w:sz w:val="20"/>
          <w:szCs w:val="20"/>
          <w:color w:val="auto"/>
        </w:rPr>
      </w:pPr>
      <w:r>
        <w:rPr>
          <w:rFonts w:ascii="Arial" w:cs="Arial" w:eastAsia="Arial" w:hAnsi="Arial"/>
          <w:sz w:val="18"/>
          <w:szCs w:val="18"/>
          <w:color w:val="auto"/>
        </w:rPr>
        <w:t>None of the expenses associated with the IPO were paid or are payable, directly or indirectly, to directors, officers, persons owning 10% or more of any class of equity securities, or to their associates.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has been no material change in the planned use of proceeds from our IPO as described in the Prospectus.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3"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340" w:type="dxa"/>
            <w:vAlign w:val="bottom"/>
            <w:gridSpan w:val="43"/>
          </w:tcPr>
          <w:p>
            <w:pPr>
              <w:jc w:val="right"/>
              <w:ind w:right="4780"/>
              <w:spacing w:after="0"/>
              <w:rPr>
                <w:sz w:val="20"/>
                <w:szCs w:val="20"/>
                <w:color w:val="auto"/>
              </w:rPr>
            </w:pPr>
            <w:r>
              <w:rPr>
                <w:rFonts w:ascii="Arial" w:cs="Arial" w:eastAsia="Arial" w:hAnsi="Arial"/>
                <w:sz w:val="18"/>
                <w:szCs w:val="18"/>
                <w:color w:val="auto"/>
                <w:w w:val="94"/>
              </w:rPr>
              <w:t>The following is a list of all exhibits filed or furnished as part of this report:</w:t>
            </w:r>
          </w:p>
        </w:tc>
      </w:tr>
      <w:tr>
        <w:trPr>
          <w:trHeight w:val="436"/>
        </w:trPr>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640" w:type="dxa"/>
            <w:vAlign w:val="bottom"/>
            <w:gridSpan w:val="39"/>
          </w:tcPr>
          <w:p>
            <w:pPr>
              <w:jc w:val="right"/>
              <w:ind w:right="472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9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5"/>
                <w:szCs w:val="15"/>
                <w:color w:val="auto"/>
              </w:rPr>
            </w:pPr>
          </w:p>
        </w:tc>
        <w:tc>
          <w:tcPr>
            <w:tcW w:w="9940" w:type="dxa"/>
            <w:vAlign w:val="bottom"/>
            <w:tcBorders>
              <w:top w:val="single" w:sz="8" w:color="auto"/>
              <w:bottom w:val="single" w:sz="8" w:color="0000FF"/>
            </w:tcBorders>
            <w:gridSpan w:val="37"/>
          </w:tcPr>
          <w:p>
            <w:pPr>
              <w:spacing w:after="0" w:line="182" w:lineRule="exact"/>
              <w:rPr>
                <w:rFonts w:ascii="Arial" w:cs="Arial" w:eastAsia="Arial" w:hAnsi="Arial"/>
                <w:sz w:val="18"/>
                <w:szCs w:val="18"/>
                <w:color w:val="0000FF"/>
                <w:w w:val="91"/>
              </w:rPr>
            </w:pPr>
            <w:hyperlink r:id="rId290">
              <w:r>
                <w:rPr>
                  <w:rFonts w:ascii="Arial" w:cs="Arial" w:eastAsia="Arial" w:hAnsi="Arial"/>
                  <w:sz w:val="18"/>
                  <w:szCs w:val="18"/>
                  <w:color w:val="0000FF"/>
                  <w:w w:val="91"/>
                </w:rPr>
                <w:t>Amended and Restated Certificate of Incorporation of the Registrant as currently in effect (incorporated by reference to Exhibit 3.1 to the</w:t>
              </w:r>
            </w:hyperlink>
          </w:p>
        </w:tc>
        <w:tc>
          <w:tcPr>
            <w:tcW w:w="140" w:type="dxa"/>
            <w:vAlign w:val="bottom"/>
            <w:tcBorders>
              <w:top w:val="single" w:sz="8" w:color="auto"/>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Borders>
              <w:bottom w:val="single" w:sz="8" w:color="0000FF"/>
            </w:tcBorders>
            <w:gridSpan w:val="12"/>
          </w:tcPr>
          <w:p>
            <w:pPr>
              <w:spacing w:after="0"/>
              <w:rPr>
                <w:rFonts w:ascii="Arial" w:cs="Arial" w:eastAsia="Arial" w:hAnsi="Arial"/>
                <w:sz w:val="18"/>
                <w:szCs w:val="18"/>
                <w:color w:val="0000FF"/>
                <w:w w:val="90"/>
              </w:rPr>
            </w:pPr>
            <w:hyperlink r:id="rId290">
              <w:r>
                <w:rPr>
                  <w:rFonts w:ascii="Arial" w:cs="Arial" w:eastAsia="Arial" w:hAnsi="Arial"/>
                  <w:sz w:val="18"/>
                  <w:szCs w:val="18"/>
                  <w:color w:val="0000FF"/>
                  <w:w w:val="90"/>
                </w:rPr>
                <w:t>Registrant’s Registration Statement on Form S-1, as amended, filed with the SEC on July 9, 2021).</w:t>
              </w:r>
            </w:hyperlink>
          </w:p>
        </w:tc>
        <w:tc>
          <w:tcPr>
            <w:tcW w:w="20" w:type="dxa"/>
            <w:vAlign w:val="bottom"/>
            <w:tcBorders>
              <w:bottom w:val="single" w:sz="8" w:color="0000EE"/>
            </w:tcBorders>
          </w:tcPr>
          <w:p>
            <w:pPr>
              <w:spacing w:after="0"/>
              <w:rPr>
                <w:sz w:val="18"/>
                <w:szCs w:val="18"/>
                <w:color w:val="auto"/>
              </w:rPr>
            </w:pPr>
          </w:p>
        </w:tc>
        <w:tc>
          <w:tcPr>
            <w:tcW w:w="2960" w:type="dxa"/>
            <w:vAlign w:val="bottom"/>
            <w:gridSpan w:val="29"/>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9400" w:type="dxa"/>
            <w:vAlign w:val="bottom"/>
            <w:tcBorders>
              <w:bottom w:val="single" w:sz="8" w:color="0000FF"/>
            </w:tcBorders>
            <w:gridSpan w:val="23"/>
          </w:tcPr>
          <w:p>
            <w:pPr>
              <w:spacing w:after="0"/>
              <w:rPr>
                <w:rFonts w:ascii="Arial" w:cs="Arial" w:eastAsia="Arial" w:hAnsi="Arial"/>
                <w:sz w:val="18"/>
                <w:szCs w:val="18"/>
                <w:color w:val="0000FF"/>
                <w:w w:val="91"/>
              </w:rPr>
            </w:pPr>
            <w:hyperlink r:id="rId291">
              <w:r>
                <w:rPr>
                  <w:rFonts w:ascii="Arial" w:cs="Arial" w:eastAsia="Arial" w:hAnsi="Arial"/>
                  <w:sz w:val="18"/>
                  <w:szCs w:val="18"/>
                  <w:color w:val="0000FF"/>
                  <w:w w:val="91"/>
                </w:rPr>
                <w:t>Amended and Restated Bylaws of the Registrant as currently in effect (incorporated by reference to Exhibit 3.4 to the Registrant’s</w:t>
              </w:r>
            </w:hyperlink>
          </w:p>
        </w:tc>
        <w:tc>
          <w:tcPr>
            <w:tcW w:w="700" w:type="dxa"/>
            <w:vAlign w:val="bottom"/>
            <w:gridSpan w:val="19"/>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20" w:type="dxa"/>
            <w:vAlign w:val="bottom"/>
            <w:tcBorders>
              <w:bottom w:val="single" w:sz="8" w:color="0000FF"/>
            </w:tcBorders>
            <w:gridSpan w:val="9"/>
          </w:tcPr>
          <w:p>
            <w:pPr>
              <w:spacing w:after="0"/>
              <w:rPr>
                <w:rFonts w:ascii="Arial" w:cs="Arial" w:eastAsia="Arial" w:hAnsi="Arial"/>
                <w:sz w:val="18"/>
                <w:szCs w:val="18"/>
                <w:color w:val="0000FF"/>
                <w:w w:val="90"/>
              </w:rPr>
            </w:pPr>
            <w:hyperlink r:id="rId291">
              <w:r>
                <w:rPr>
                  <w:rFonts w:ascii="Arial" w:cs="Arial" w:eastAsia="Arial" w:hAnsi="Arial"/>
                  <w:sz w:val="18"/>
                  <w:szCs w:val="18"/>
                  <w:color w:val="0000FF"/>
                  <w:w w:val="90"/>
                </w:rPr>
                <w:t>Registration Statement on Form S-1, as amended, filed with the SEC on July 9, 2021).</w:t>
              </w:r>
            </w:hyperlink>
          </w:p>
        </w:tc>
        <w:tc>
          <w:tcPr>
            <w:tcW w:w="20" w:type="dxa"/>
            <w:vAlign w:val="bottom"/>
            <w:tcBorders>
              <w:bottom w:val="single" w:sz="8" w:color="0000EE"/>
            </w:tcBorders>
          </w:tcPr>
          <w:p>
            <w:pPr>
              <w:spacing w:after="0"/>
              <w:rPr>
                <w:sz w:val="18"/>
                <w:szCs w:val="18"/>
                <w:color w:val="auto"/>
              </w:rPr>
            </w:pPr>
          </w:p>
        </w:tc>
        <w:tc>
          <w:tcPr>
            <w:tcW w:w="3860" w:type="dxa"/>
            <w:vAlign w:val="bottom"/>
            <w:gridSpan w:val="32"/>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9720" w:type="dxa"/>
            <w:vAlign w:val="bottom"/>
            <w:tcBorders>
              <w:bottom w:val="single" w:sz="8" w:color="0000FF"/>
            </w:tcBorders>
            <w:gridSpan w:val="30"/>
          </w:tcPr>
          <w:p>
            <w:pPr>
              <w:spacing w:after="0"/>
              <w:rPr>
                <w:rFonts w:ascii="Arial" w:cs="Arial" w:eastAsia="Arial" w:hAnsi="Arial"/>
                <w:sz w:val="18"/>
                <w:szCs w:val="18"/>
                <w:color w:val="0000FF"/>
                <w:w w:val="91"/>
              </w:rPr>
            </w:pPr>
            <w:hyperlink r:id="rId292">
              <w:r>
                <w:rPr>
                  <w:rFonts w:ascii="Arial" w:cs="Arial" w:eastAsia="Arial" w:hAnsi="Arial"/>
                  <w:sz w:val="18"/>
                  <w:szCs w:val="18"/>
                  <w:color w:val="0000FF"/>
                  <w:w w:val="91"/>
                </w:rPr>
                <w:t>Specimen Class A common stock certificate of the Registrant (incorporated by reference to Exhibit 4.1 to the Registrant’s Registration</w:t>
              </w:r>
            </w:hyperlink>
          </w:p>
        </w:tc>
        <w:tc>
          <w:tcPr>
            <w:tcW w:w="380" w:type="dxa"/>
            <w:vAlign w:val="bottom"/>
            <w:gridSpan w:val="12"/>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tcBorders>
              <w:bottom w:val="single" w:sz="8" w:color="0000FF"/>
            </w:tcBorders>
            <w:gridSpan w:val="7"/>
          </w:tcPr>
          <w:p>
            <w:pPr>
              <w:spacing w:after="0"/>
              <w:rPr>
                <w:rFonts w:ascii="Arial" w:cs="Arial" w:eastAsia="Arial" w:hAnsi="Arial"/>
                <w:sz w:val="18"/>
                <w:szCs w:val="18"/>
                <w:color w:val="0000FF"/>
                <w:w w:val="89"/>
              </w:rPr>
            </w:pPr>
            <w:hyperlink r:id="rId292">
              <w:r>
                <w:rPr>
                  <w:rFonts w:ascii="Arial" w:cs="Arial" w:eastAsia="Arial" w:hAnsi="Arial"/>
                  <w:sz w:val="18"/>
                  <w:szCs w:val="18"/>
                  <w:color w:val="0000FF"/>
                  <w:w w:val="89"/>
                </w:rPr>
                <w:t>Statement on Form S-1, as amended, filed with the SEC on July 26, 2021).</w:t>
              </w:r>
            </w:hyperlink>
          </w:p>
        </w:tc>
        <w:tc>
          <w:tcPr>
            <w:tcW w:w="20" w:type="dxa"/>
            <w:vAlign w:val="bottom"/>
            <w:tcBorders>
              <w:bottom w:val="single" w:sz="8" w:color="0000EE"/>
            </w:tcBorders>
          </w:tcPr>
          <w:p>
            <w:pPr>
              <w:spacing w:after="0"/>
              <w:rPr>
                <w:sz w:val="18"/>
                <w:szCs w:val="18"/>
                <w:color w:val="auto"/>
              </w:rPr>
            </w:pPr>
          </w:p>
        </w:tc>
        <w:tc>
          <w:tcPr>
            <w:tcW w:w="4700" w:type="dxa"/>
            <w:vAlign w:val="bottom"/>
            <w:gridSpan w:val="34"/>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9600" w:type="dxa"/>
            <w:vAlign w:val="bottom"/>
            <w:tcBorders>
              <w:bottom w:val="single" w:sz="8" w:color="0000FF"/>
            </w:tcBorders>
            <w:gridSpan w:val="26"/>
          </w:tcPr>
          <w:p>
            <w:pPr>
              <w:spacing w:after="0"/>
              <w:rPr>
                <w:rFonts w:ascii="Arial" w:cs="Arial" w:eastAsia="Arial" w:hAnsi="Arial"/>
                <w:sz w:val="18"/>
                <w:szCs w:val="18"/>
                <w:color w:val="0000FF"/>
                <w:w w:val="91"/>
              </w:rPr>
            </w:pPr>
            <w:hyperlink r:id="rId293">
              <w:r>
                <w:rPr>
                  <w:rFonts w:ascii="Arial" w:cs="Arial" w:eastAsia="Arial" w:hAnsi="Arial"/>
                  <w:sz w:val="18"/>
                  <w:szCs w:val="18"/>
                  <w:color w:val="0000FF"/>
                  <w:w w:val="91"/>
                </w:rPr>
                <w:t>Tax Receivable Agreement, effective as of August 3, 2021 (incorporated by reference to Exhibit 10.1 to the Registrant’s Registration</w:t>
              </w:r>
            </w:hyperlink>
          </w:p>
        </w:tc>
        <w:tc>
          <w:tcPr>
            <w:tcW w:w="500" w:type="dxa"/>
            <w:vAlign w:val="bottom"/>
            <w:gridSpan w:val="16"/>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tcBorders>
              <w:bottom w:val="single" w:sz="8" w:color="0000FF"/>
            </w:tcBorders>
            <w:gridSpan w:val="7"/>
          </w:tcPr>
          <w:p>
            <w:pPr>
              <w:spacing w:after="0"/>
              <w:rPr>
                <w:rFonts w:ascii="Arial" w:cs="Arial" w:eastAsia="Arial" w:hAnsi="Arial"/>
                <w:sz w:val="18"/>
                <w:szCs w:val="18"/>
                <w:color w:val="0000FF"/>
                <w:w w:val="89"/>
              </w:rPr>
            </w:pPr>
            <w:hyperlink r:id="rId293">
              <w:r>
                <w:rPr>
                  <w:rFonts w:ascii="Arial" w:cs="Arial" w:eastAsia="Arial" w:hAnsi="Arial"/>
                  <w:sz w:val="18"/>
                  <w:szCs w:val="18"/>
                  <w:color w:val="0000FF"/>
                  <w:w w:val="89"/>
                </w:rPr>
                <w:t>Statement on Form S-1, as amended, filed with the SEC on July 16, 2021).</w:t>
              </w:r>
            </w:hyperlink>
          </w:p>
        </w:tc>
        <w:tc>
          <w:tcPr>
            <w:tcW w:w="20" w:type="dxa"/>
            <w:vAlign w:val="bottom"/>
            <w:tcBorders>
              <w:bottom w:val="single" w:sz="8" w:color="0000EE"/>
            </w:tcBorders>
          </w:tcPr>
          <w:p>
            <w:pPr>
              <w:spacing w:after="0"/>
              <w:rPr>
                <w:sz w:val="18"/>
                <w:szCs w:val="18"/>
                <w:color w:val="auto"/>
              </w:rPr>
            </w:pPr>
          </w:p>
        </w:tc>
        <w:tc>
          <w:tcPr>
            <w:tcW w:w="4700" w:type="dxa"/>
            <w:vAlign w:val="bottom"/>
            <w:gridSpan w:val="34"/>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9240" w:type="dxa"/>
            <w:vAlign w:val="bottom"/>
            <w:tcBorders>
              <w:bottom w:val="single" w:sz="8" w:color="0000FF"/>
            </w:tcBorders>
            <w:gridSpan w:val="22"/>
          </w:tcPr>
          <w:p>
            <w:pPr>
              <w:spacing w:after="0"/>
              <w:rPr>
                <w:rFonts w:ascii="Arial" w:cs="Arial" w:eastAsia="Arial" w:hAnsi="Arial"/>
                <w:sz w:val="18"/>
                <w:szCs w:val="18"/>
                <w:color w:val="0000FF"/>
                <w:w w:val="91"/>
              </w:rPr>
            </w:pPr>
            <w:hyperlink r:id="rId294">
              <w:r>
                <w:rPr>
                  <w:rFonts w:ascii="Arial" w:cs="Arial" w:eastAsia="Arial" w:hAnsi="Arial"/>
                  <w:sz w:val="18"/>
                  <w:szCs w:val="18"/>
                  <w:color w:val="0000FF"/>
                  <w:w w:val="91"/>
                </w:rPr>
                <w:t>Class B Unit Exchange Agreement, effective as of August 3, 2021 (incorporated by reference to Exhibit 10.2 to the Registrant’s</w:t>
              </w:r>
            </w:hyperlink>
          </w:p>
        </w:tc>
        <w:tc>
          <w:tcPr>
            <w:tcW w:w="860" w:type="dxa"/>
            <w:vAlign w:val="bottom"/>
            <w:gridSpan w:val="20"/>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gridSpan w:val="42"/>
          </w:tcPr>
          <w:p>
            <w:pPr>
              <w:spacing w:after="0"/>
              <w:rPr>
                <w:rFonts w:ascii="Arial" w:cs="Arial" w:eastAsia="Arial" w:hAnsi="Arial"/>
                <w:sz w:val="18"/>
                <w:szCs w:val="18"/>
                <w:color w:val="0000FF"/>
              </w:rPr>
            </w:pPr>
            <w:hyperlink r:id="rId294">
              <w:r>
                <w:rPr>
                  <w:rFonts w:ascii="Arial" w:cs="Arial" w:eastAsia="Arial" w:hAnsi="Arial"/>
                  <w:sz w:val="18"/>
                  <w:szCs w:val="18"/>
                  <w:color w:val="0000FF"/>
                </w:rPr>
                <w:t>Registration Statement on Form S-1, as amended, filed with the SEC on July 16, 2021).</w:t>
              </w:r>
            </w:hyperlink>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5"/>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9880" w:type="dxa"/>
            <w:vAlign w:val="bottom"/>
            <w:tcBorders>
              <w:bottom w:val="single" w:sz="8" w:color="0000FF"/>
            </w:tcBorders>
            <w:gridSpan w:val="36"/>
          </w:tcPr>
          <w:p>
            <w:pPr>
              <w:spacing w:after="0"/>
              <w:rPr>
                <w:rFonts w:ascii="Arial" w:cs="Arial" w:eastAsia="Arial" w:hAnsi="Arial"/>
                <w:sz w:val="18"/>
                <w:szCs w:val="18"/>
                <w:color w:val="0000FF"/>
                <w:w w:val="91"/>
              </w:rPr>
            </w:pPr>
            <w:hyperlink r:id="rId295">
              <w:r>
                <w:rPr>
                  <w:rFonts w:ascii="Arial" w:cs="Arial" w:eastAsia="Arial" w:hAnsi="Arial"/>
                  <w:sz w:val="18"/>
                  <w:szCs w:val="18"/>
                  <w:color w:val="0000FF"/>
                  <w:w w:val="91"/>
                </w:rPr>
                <w:t>Registration Rights Agreement, effective as of August 3, 2021 (incorporated by reference to Exhibit 10.3 to the Registrant’s Registration</w:t>
              </w:r>
            </w:hyperlink>
          </w:p>
        </w:tc>
        <w:tc>
          <w:tcPr>
            <w:tcW w:w="220" w:type="dxa"/>
            <w:vAlign w:val="bottom"/>
            <w:gridSpan w:val="6"/>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tcBorders>
              <w:bottom w:val="single" w:sz="8" w:color="0000FF"/>
            </w:tcBorders>
            <w:gridSpan w:val="7"/>
          </w:tcPr>
          <w:p>
            <w:pPr>
              <w:spacing w:after="0"/>
              <w:rPr>
                <w:rFonts w:ascii="Arial" w:cs="Arial" w:eastAsia="Arial" w:hAnsi="Arial"/>
                <w:sz w:val="18"/>
                <w:szCs w:val="18"/>
                <w:color w:val="0000FF"/>
                <w:w w:val="89"/>
              </w:rPr>
            </w:pPr>
            <w:hyperlink r:id="rId295">
              <w:r>
                <w:rPr>
                  <w:rFonts w:ascii="Arial" w:cs="Arial" w:eastAsia="Arial" w:hAnsi="Arial"/>
                  <w:sz w:val="18"/>
                  <w:szCs w:val="18"/>
                  <w:color w:val="0000FF"/>
                  <w:w w:val="89"/>
                </w:rPr>
                <w:t>Statement on Form S-1, as amended, filed with the SEC on July 16, 2021).</w:t>
              </w:r>
            </w:hyperlink>
          </w:p>
        </w:tc>
        <w:tc>
          <w:tcPr>
            <w:tcW w:w="20" w:type="dxa"/>
            <w:vAlign w:val="bottom"/>
            <w:tcBorders>
              <w:bottom w:val="single" w:sz="8" w:color="0000EE"/>
            </w:tcBorders>
          </w:tcPr>
          <w:p>
            <w:pPr>
              <w:spacing w:after="0"/>
              <w:rPr>
                <w:sz w:val="18"/>
                <w:szCs w:val="18"/>
                <w:color w:val="auto"/>
              </w:rPr>
            </w:pPr>
          </w:p>
        </w:tc>
        <w:tc>
          <w:tcPr>
            <w:tcW w:w="4700" w:type="dxa"/>
            <w:vAlign w:val="bottom"/>
            <w:gridSpan w:val="34"/>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9220" w:type="dxa"/>
            <w:vAlign w:val="bottom"/>
            <w:tcBorders>
              <w:bottom w:val="single" w:sz="8" w:color="0000FF"/>
            </w:tcBorders>
            <w:gridSpan w:val="21"/>
          </w:tcPr>
          <w:p>
            <w:pPr>
              <w:spacing w:after="0"/>
              <w:rPr>
                <w:rFonts w:ascii="Arial" w:cs="Arial" w:eastAsia="Arial" w:hAnsi="Arial"/>
                <w:sz w:val="18"/>
                <w:szCs w:val="18"/>
                <w:color w:val="0000FF"/>
                <w:w w:val="92"/>
              </w:rPr>
            </w:pPr>
            <w:hyperlink r:id="rId296">
              <w:r>
                <w:rPr>
                  <w:rFonts w:ascii="Arial" w:cs="Arial" w:eastAsia="Arial" w:hAnsi="Arial"/>
                  <w:sz w:val="18"/>
                  <w:szCs w:val="18"/>
                  <w:color w:val="0000FF"/>
                  <w:w w:val="92"/>
                </w:rPr>
                <w:t>Fifth Amended and Restated Limited Liability Company Agreement of Rani Therapeutics, LLC, effective as of August 3, 2021</w:t>
              </w:r>
            </w:hyperlink>
          </w:p>
        </w:tc>
        <w:tc>
          <w:tcPr>
            <w:tcW w:w="880" w:type="dxa"/>
            <w:vAlign w:val="bottom"/>
            <w:gridSpan w:val="21"/>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0" w:type="dxa"/>
            <w:vAlign w:val="bottom"/>
            <w:tcBorders>
              <w:bottom w:val="single" w:sz="8" w:color="0000FF"/>
            </w:tcBorders>
            <w:gridSpan w:val="38"/>
          </w:tcPr>
          <w:p>
            <w:pPr>
              <w:spacing w:after="0"/>
              <w:rPr>
                <w:rFonts w:ascii="Arial" w:cs="Arial" w:eastAsia="Arial" w:hAnsi="Arial"/>
                <w:sz w:val="18"/>
                <w:szCs w:val="18"/>
                <w:color w:val="0000FF"/>
                <w:w w:val="91"/>
              </w:rPr>
            </w:pPr>
            <w:hyperlink r:id="rId296">
              <w:r>
                <w:rPr>
                  <w:rFonts w:ascii="Arial" w:cs="Arial" w:eastAsia="Arial" w:hAnsi="Arial"/>
                  <w:sz w:val="18"/>
                  <w:szCs w:val="18"/>
                  <w:color w:val="0000FF"/>
                  <w:w w:val="91"/>
                </w:rPr>
                <w:t>(incorporated by reference to Exhibit 10.4 to the Registrant’s Registration Statement on Form S-1, as amended, filed with the SEC on July</w:t>
              </w:r>
            </w:hyperlink>
          </w:p>
        </w:tc>
        <w:tc>
          <w:tcPr>
            <w:tcW w:w="100" w:type="dxa"/>
            <w:vAlign w:val="bottom"/>
            <w:gridSpan w:val="4"/>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spacing w:after="0"/>
              <w:rPr>
                <w:rFonts w:ascii="Arial" w:cs="Arial" w:eastAsia="Arial" w:hAnsi="Arial"/>
                <w:sz w:val="18"/>
                <w:szCs w:val="18"/>
                <w:color w:val="0000FF"/>
                <w:w w:val="86"/>
              </w:rPr>
            </w:pPr>
            <w:hyperlink r:id="rId296">
              <w:r>
                <w:rPr>
                  <w:rFonts w:ascii="Arial" w:cs="Arial" w:eastAsia="Arial" w:hAnsi="Arial"/>
                  <w:sz w:val="18"/>
                  <w:szCs w:val="18"/>
                  <w:color w:val="0000FF"/>
                  <w:w w:val="86"/>
                </w:rPr>
                <w:t>16, 2021).</w:t>
              </w:r>
            </w:hyperlink>
          </w:p>
        </w:tc>
        <w:tc>
          <w:tcPr>
            <w:tcW w:w="2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9"/>
                <w:szCs w:val="19"/>
                <w:color w:val="auto"/>
              </w:rPr>
            </w:pPr>
          </w:p>
        </w:tc>
        <w:tc>
          <w:tcPr>
            <w:tcW w:w="9880" w:type="dxa"/>
            <w:vAlign w:val="bottom"/>
            <w:tcBorders>
              <w:bottom w:val="single" w:sz="8" w:color="0000FF"/>
            </w:tcBorders>
            <w:gridSpan w:val="36"/>
          </w:tcPr>
          <w:p>
            <w:pPr>
              <w:spacing w:after="0"/>
              <w:rPr>
                <w:rFonts w:ascii="Arial" w:cs="Arial" w:eastAsia="Arial" w:hAnsi="Arial"/>
                <w:sz w:val="18"/>
                <w:szCs w:val="18"/>
                <w:color w:val="0000FF"/>
                <w:w w:val="91"/>
              </w:rPr>
            </w:pPr>
            <w:hyperlink r:id="rId297">
              <w:r>
                <w:rPr>
                  <w:rFonts w:ascii="Arial" w:cs="Arial" w:eastAsia="Arial" w:hAnsi="Arial"/>
                  <w:sz w:val="18"/>
                  <w:szCs w:val="18"/>
                  <w:color w:val="0000FF"/>
                  <w:w w:val="91"/>
                </w:rPr>
                <w:t>Form of Indemnification Agreement between the Registrant and each of its directors and executive officers (incorporated by reference to</w:t>
              </w:r>
            </w:hyperlink>
          </w:p>
        </w:tc>
        <w:tc>
          <w:tcPr>
            <w:tcW w:w="220" w:type="dxa"/>
            <w:vAlign w:val="bottom"/>
            <w:gridSpan w:val="6"/>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gridSpan w:val="42"/>
          </w:tcPr>
          <w:p>
            <w:pPr>
              <w:spacing w:after="0"/>
              <w:rPr>
                <w:rFonts w:ascii="Arial" w:cs="Arial" w:eastAsia="Arial" w:hAnsi="Arial"/>
                <w:sz w:val="18"/>
                <w:szCs w:val="18"/>
                <w:color w:val="0000FF"/>
              </w:rPr>
            </w:pPr>
            <w:hyperlink r:id="rId297">
              <w:r>
                <w:rPr>
                  <w:rFonts w:ascii="Arial" w:cs="Arial" w:eastAsia="Arial" w:hAnsi="Arial"/>
                  <w:sz w:val="18"/>
                  <w:szCs w:val="18"/>
                  <w:color w:val="0000FF"/>
                </w:rPr>
                <w:t>Exhibit 10.4 to the Registrant’s Registration Statement on Form S-1, filed with the SEC on July 9, 2021).</w:t>
              </w:r>
            </w:hyperlink>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8"/>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10060" w:type="dxa"/>
            <w:vAlign w:val="bottom"/>
            <w:tcBorders>
              <w:bottom w:val="single" w:sz="8" w:color="0000FF"/>
            </w:tcBorders>
            <w:gridSpan w:val="40"/>
          </w:tcPr>
          <w:p>
            <w:pPr>
              <w:spacing w:after="0"/>
              <w:rPr>
                <w:rFonts w:ascii="Arial" w:cs="Arial" w:eastAsia="Arial" w:hAnsi="Arial"/>
                <w:sz w:val="18"/>
                <w:szCs w:val="18"/>
                <w:color w:val="0000FF"/>
                <w:w w:val="91"/>
              </w:rPr>
            </w:pPr>
            <w:hyperlink r:id="rId298">
              <w:r>
                <w:rPr>
                  <w:rFonts w:ascii="Arial" w:cs="Arial" w:eastAsia="Arial" w:hAnsi="Arial"/>
                  <w:sz w:val="18"/>
                  <w:szCs w:val="18"/>
                  <w:color w:val="0000FF"/>
                  <w:w w:val="91"/>
                </w:rPr>
                <w:t>Rani Therapeutics Holdings, Inc. 2021 Equity Incentive Plan and forms of agreement thereunder (incorporated by reference to Exhibit 10.7</w:t>
              </w:r>
            </w:hyperlink>
          </w:p>
        </w:tc>
        <w:tc>
          <w:tcPr>
            <w:tcW w:w="40" w:type="dxa"/>
            <w:vAlign w:val="bottom"/>
            <w:gridSpan w:val="2"/>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60" w:type="dxa"/>
            <w:vAlign w:val="bottom"/>
            <w:tcBorders>
              <w:bottom w:val="single" w:sz="8" w:color="0000FF"/>
            </w:tcBorders>
            <w:gridSpan w:val="16"/>
          </w:tcPr>
          <w:p>
            <w:pPr>
              <w:spacing w:after="0"/>
              <w:rPr>
                <w:rFonts w:ascii="Arial" w:cs="Arial" w:eastAsia="Arial" w:hAnsi="Arial"/>
                <w:sz w:val="18"/>
                <w:szCs w:val="18"/>
                <w:color w:val="0000FF"/>
                <w:w w:val="90"/>
              </w:rPr>
            </w:pPr>
            <w:hyperlink r:id="rId298">
              <w:r>
                <w:rPr>
                  <w:rFonts w:ascii="Arial" w:cs="Arial" w:eastAsia="Arial" w:hAnsi="Arial"/>
                  <w:sz w:val="18"/>
                  <w:szCs w:val="18"/>
                  <w:color w:val="0000FF"/>
                  <w:w w:val="90"/>
                </w:rPr>
                <w:t>to the Registrant’s Registration Statement on Form S-1, as amended, filed with the SEC on July 26, 2021).</w:t>
              </w:r>
            </w:hyperlink>
          </w:p>
        </w:tc>
        <w:tc>
          <w:tcPr>
            <w:tcW w:w="20" w:type="dxa"/>
            <w:vAlign w:val="bottom"/>
            <w:tcBorders>
              <w:bottom w:val="single" w:sz="8" w:color="0000EE"/>
            </w:tcBorders>
          </w:tcPr>
          <w:p>
            <w:pPr>
              <w:spacing w:after="0"/>
              <w:rPr>
                <w:sz w:val="18"/>
                <w:szCs w:val="18"/>
                <w:color w:val="auto"/>
              </w:rPr>
            </w:pPr>
          </w:p>
        </w:tc>
        <w:tc>
          <w:tcPr>
            <w:tcW w:w="2420" w:type="dxa"/>
            <w:vAlign w:val="bottom"/>
            <w:gridSpan w:val="25"/>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9540" w:type="dxa"/>
            <w:vAlign w:val="bottom"/>
            <w:tcBorders>
              <w:bottom w:val="single" w:sz="8" w:color="0000FF"/>
            </w:tcBorders>
            <w:gridSpan w:val="25"/>
          </w:tcPr>
          <w:p>
            <w:pPr>
              <w:spacing w:after="0"/>
              <w:rPr>
                <w:rFonts w:ascii="Arial" w:cs="Arial" w:eastAsia="Arial" w:hAnsi="Arial"/>
                <w:sz w:val="18"/>
                <w:szCs w:val="18"/>
                <w:color w:val="0000FF"/>
                <w:w w:val="90"/>
              </w:rPr>
            </w:pPr>
            <w:hyperlink r:id="rId299">
              <w:r>
                <w:rPr>
                  <w:rFonts w:ascii="Arial" w:cs="Arial" w:eastAsia="Arial" w:hAnsi="Arial"/>
                  <w:sz w:val="18"/>
                  <w:szCs w:val="18"/>
                  <w:color w:val="0000FF"/>
                  <w:w w:val="90"/>
                </w:rPr>
                <w:t>Rani Therapeutics Holdings, Inc. 2021 Employee Stock Purchase Plan (incorporated by reference to Exhibit 10.8 to the Registrant’s</w:t>
              </w:r>
            </w:hyperlink>
          </w:p>
        </w:tc>
        <w:tc>
          <w:tcPr>
            <w:tcW w:w="560" w:type="dxa"/>
            <w:vAlign w:val="bottom"/>
            <w:gridSpan w:val="17"/>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gridSpan w:val="42"/>
          </w:tcPr>
          <w:p>
            <w:pPr>
              <w:spacing w:after="0"/>
              <w:rPr>
                <w:rFonts w:ascii="Arial" w:cs="Arial" w:eastAsia="Arial" w:hAnsi="Arial"/>
                <w:sz w:val="18"/>
                <w:szCs w:val="18"/>
                <w:color w:val="0000FF"/>
              </w:rPr>
            </w:pPr>
            <w:hyperlink r:id="rId299">
              <w:r>
                <w:rPr>
                  <w:rFonts w:ascii="Arial" w:cs="Arial" w:eastAsia="Arial" w:hAnsi="Arial"/>
                  <w:sz w:val="18"/>
                  <w:szCs w:val="18"/>
                  <w:color w:val="0000FF"/>
                </w:rPr>
                <w:t>Registration Statement on Form S-1, as amended, filed with the SEC on July 26, 2021).</w:t>
              </w:r>
            </w:hyperlink>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5"/>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9680" w:type="dxa"/>
            <w:vAlign w:val="bottom"/>
            <w:tcBorders>
              <w:bottom w:val="single" w:sz="8" w:color="0000FF"/>
            </w:tcBorders>
            <w:gridSpan w:val="29"/>
          </w:tcPr>
          <w:p>
            <w:pPr>
              <w:spacing w:after="0"/>
              <w:rPr>
                <w:rFonts w:ascii="Arial" w:cs="Arial" w:eastAsia="Arial" w:hAnsi="Arial"/>
                <w:sz w:val="18"/>
                <w:szCs w:val="18"/>
                <w:color w:val="0000FF"/>
                <w:w w:val="90"/>
              </w:rPr>
            </w:pPr>
            <w:hyperlink r:id="rId300">
              <w:r>
                <w:rPr>
                  <w:rFonts w:ascii="Arial" w:cs="Arial" w:eastAsia="Arial" w:hAnsi="Arial"/>
                  <w:sz w:val="18"/>
                  <w:szCs w:val="18"/>
                  <w:color w:val="0000FF"/>
                  <w:w w:val="90"/>
                </w:rPr>
                <w:t>Rani Therapeutics Holdings, Inc. Severance and Change in Control Plan (incorporated by reference to Exhibit 10.8 to the Registrant’s</w:t>
              </w:r>
            </w:hyperlink>
          </w:p>
        </w:tc>
        <w:tc>
          <w:tcPr>
            <w:tcW w:w="420" w:type="dxa"/>
            <w:vAlign w:val="bottom"/>
            <w:gridSpan w:val="13"/>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80" w:type="dxa"/>
            <w:vAlign w:val="bottom"/>
            <w:tcBorders>
              <w:bottom w:val="single" w:sz="8" w:color="0000FF"/>
            </w:tcBorders>
            <w:gridSpan w:val="5"/>
          </w:tcPr>
          <w:p>
            <w:pPr>
              <w:spacing w:after="0"/>
              <w:rPr>
                <w:rFonts w:ascii="Arial" w:cs="Arial" w:eastAsia="Arial" w:hAnsi="Arial"/>
                <w:sz w:val="18"/>
                <w:szCs w:val="18"/>
                <w:color w:val="0000FF"/>
                <w:w w:val="90"/>
              </w:rPr>
            </w:pPr>
            <w:hyperlink r:id="rId300">
              <w:r>
                <w:rPr>
                  <w:rFonts w:ascii="Arial" w:cs="Arial" w:eastAsia="Arial" w:hAnsi="Arial"/>
                  <w:sz w:val="18"/>
                  <w:szCs w:val="18"/>
                  <w:color w:val="0000FF"/>
                  <w:w w:val="90"/>
                </w:rPr>
                <w:t>Registration Statement on Form S-1, filed with the SEC on July 9, 2021).</w:t>
              </w:r>
            </w:hyperlink>
          </w:p>
        </w:tc>
        <w:tc>
          <w:tcPr>
            <w:tcW w:w="20" w:type="dxa"/>
            <w:vAlign w:val="bottom"/>
            <w:tcBorders>
              <w:bottom w:val="single" w:sz="8" w:color="0000EE"/>
            </w:tcBorders>
          </w:tcPr>
          <w:p>
            <w:pPr>
              <w:spacing w:after="0"/>
              <w:rPr>
                <w:sz w:val="18"/>
                <w:szCs w:val="18"/>
                <w:color w:val="auto"/>
              </w:rPr>
            </w:pPr>
          </w:p>
        </w:tc>
        <w:tc>
          <w:tcPr>
            <w:tcW w:w="4800" w:type="dxa"/>
            <w:vAlign w:val="bottom"/>
            <w:gridSpan w:val="36"/>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9640" w:type="dxa"/>
            <w:vAlign w:val="bottom"/>
            <w:tcBorders>
              <w:bottom w:val="single" w:sz="8" w:color="0000FF"/>
            </w:tcBorders>
            <w:gridSpan w:val="27"/>
          </w:tcPr>
          <w:p>
            <w:pPr>
              <w:spacing w:after="0"/>
              <w:rPr>
                <w:rFonts w:ascii="Arial" w:cs="Arial" w:eastAsia="Arial" w:hAnsi="Arial"/>
                <w:sz w:val="18"/>
                <w:szCs w:val="18"/>
                <w:color w:val="0000FF"/>
                <w:w w:val="90"/>
              </w:rPr>
            </w:pPr>
            <w:hyperlink r:id="rId301">
              <w:r>
                <w:rPr>
                  <w:rFonts w:ascii="Arial" w:cs="Arial" w:eastAsia="Arial" w:hAnsi="Arial"/>
                  <w:sz w:val="18"/>
                  <w:szCs w:val="18"/>
                  <w:color w:val="0000FF"/>
                  <w:w w:val="90"/>
                </w:rPr>
                <w:t>Form of Participation Agreement under the Rani Therapeutics Holdings, Inc. Severance and Change in Control Plan (incorporated by</w:t>
              </w:r>
            </w:hyperlink>
          </w:p>
        </w:tc>
        <w:tc>
          <w:tcPr>
            <w:tcW w:w="460" w:type="dxa"/>
            <w:vAlign w:val="bottom"/>
            <w:gridSpan w:val="15"/>
          </w:tcPr>
          <w:p>
            <w:pPr>
              <w:spacing w:after="0"/>
              <w:rPr>
                <w:sz w:val="19"/>
                <w:szCs w:val="19"/>
                <w:color w:val="auto"/>
              </w:rPr>
            </w:pPr>
          </w:p>
        </w:tc>
      </w:t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gridSpan w:val="42"/>
          </w:tcPr>
          <w:p>
            <w:pPr>
              <w:spacing w:after="0"/>
              <w:rPr>
                <w:rFonts w:ascii="Arial" w:cs="Arial" w:eastAsia="Arial" w:hAnsi="Arial"/>
                <w:sz w:val="18"/>
                <w:szCs w:val="18"/>
                <w:color w:val="0000FF"/>
              </w:rPr>
            </w:pPr>
            <w:hyperlink r:id="rId301">
              <w:r>
                <w:rPr>
                  <w:rFonts w:ascii="Arial" w:cs="Arial" w:eastAsia="Arial" w:hAnsi="Arial"/>
                  <w:sz w:val="18"/>
                  <w:szCs w:val="18"/>
                  <w:color w:val="0000FF"/>
                </w:rPr>
                <w:t>reference to Exhibit 10.9 to the Registrant’s Registration Statement on Form S-1, filed with the SEC on July 9, 2021).</w:t>
              </w:r>
            </w:hyperlink>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20" w:type="dxa"/>
            <w:vAlign w:val="bottom"/>
            <w:gridSpan w:val="10"/>
            <w:shd w:val="clear" w:color="auto" w:fill="0000FF"/>
          </w:tcPr>
          <w:p>
            <w:pPr>
              <w:spacing w:after="0" w:line="20" w:lineRule="exact"/>
              <w:rPr>
                <w:sz w:val="1"/>
                <w:szCs w:val="1"/>
                <w:color w:val="auto"/>
              </w:rPr>
            </w:pPr>
          </w:p>
        </w:tc>
        <w:tc>
          <w:tcPr>
            <w:tcW w:w="128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682"/>
        </w:trPr>
        <w:tc>
          <w:tcPr>
            <w:tcW w:w="920" w:type="dxa"/>
            <w:vAlign w:val="bottom"/>
          </w:tcPr>
          <w:p>
            <w:pPr>
              <w:ind w:left="2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9400" w:type="dxa"/>
            <w:vAlign w:val="bottom"/>
            <w:tcBorders>
              <w:bottom w:val="single" w:sz="8" w:color="0000FF"/>
            </w:tcBorders>
            <w:gridSpan w:val="23"/>
          </w:tcPr>
          <w:p>
            <w:pPr>
              <w:spacing w:after="0"/>
              <w:rPr>
                <w:rFonts w:ascii="Arial" w:cs="Arial" w:eastAsia="Arial" w:hAnsi="Arial"/>
                <w:sz w:val="18"/>
                <w:szCs w:val="18"/>
                <w:color w:val="0000FF"/>
                <w:w w:val="91"/>
              </w:rPr>
            </w:pPr>
            <w:hyperlink r:id="rId302">
              <w:r>
                <w:rPr>
                  <w:rFonts w:ascii="Arial" w:cs="Arial" w:eastAsia="Arial" w:hAnsi="Arial"/>
                  <w:sz w:val="18"/>
                  <w:szCs w:val="18"/>
                  <w:color w:val="0000FF"/>
                  <w:w w:val="91"/>
                </w:rPr>
                <w:t>Rani Therapeutics Holdings, Inc. Non-Employee Director Compensation Policy (incorporated by reference to Exhibit 10.11 to the</w:t>
              </w:r>
            </w:hyperlink>
          </w:p>
        </w:tc>
        <w:tc>
          <w:tcPr>
            <w:tcW w:w="700" w:type="dxa"/>
            <w:vAlign w:val="bottom"/>
            <w:gridSpan w:val="19"/>
          </w:tcPr>
          <w:p>
            <w:pPr>
              <w:spacing w:after="0"/>
              <w:rPr>
                <w:sz w:val="24"/>
                <w:szCs w:val="24"/>
                <w:color w:val="auto"/>
              </w:rPr>
            </w:pPr>
          </w:p>
        </w:tc>
      </w:t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gridSpan w:val="42"/>
          </w:tcPr>
          <w:p>
            <w:pPr>
              <w:spacing w:after="0"/>
              <w:rPr>
                <w:rFonts w:ascii="Arial" w:cs="Arial" w:eastAsia="Arial" w:hAnsi="Arial"/>
                <w:sz w:val="18"/>
                <w:szCs w:val="18"/>
                <w:color w:val="0000FF"/>
              </w:rPr>
            </w:pPr>
            <w:hyperlink r:id="rId302">
              <w:r>
                <w:rPr>
                  <w:rFonts w:ascii="Arial" w:cs="Arial" w:eastAsia="Arial" w:hAnsi="Arial"/>
                  <w:sz w:val="18"/>
                  <w:szCs w:val="18"/>
                  <w:color w:val="0000FF"/>
                </w:rPr>
                <w:t>Registrant’s Registration Statement on Form S-1, as amended, filed with the SEC on July 16, 2021).</w:t>
              </w:r>
            </w:hyperlink>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20" w:type="dxa"/>
            <w:vAlign w:val="bottom"/>
            <w:gridSpan w:val="10"/>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9"/>
                <w:szCs w:val="19"/>
                <w:color w:val="auto"/>
              </w:rPr>
            </w:pPr>
          </w:p>
        </w:tc>
        <w:tc>
          <w:tcPr>
            <w:tcW w:w="9740" w:type="dxa"/>
            <w:vAlign w:val="bottom"/>
            <w:tcBorders>
              <w:bottom w:val="single" w:sz="8" w:color="0000FF"/>
            </w:tcBorders>
            <w:gridSpan w:val="31"/>
          </w:tcPr>
          <w:p>
            <w:pPr>
              <w:spacing w:after="0"/>
              <w:rPr>
                <w:rFonts w:ascii="Arial" w:cs="Arial" w:eastAsia="Arial" w:hAnsi="Arial"/>
                <w:sz w:val="18"/>
                <w:szCs w:val="18"/>
                <w:color w:val="0000FF"/>
                <w:w w:val="90"/>
              </w:rPr>
            </w:pPr>
            <w:hyperlink r:id="rId303">
              <w:r>
                <w:rPr>
                  <w:rFonts w:ascii="Arial" w:cs="Arial" w:eastAsia="Arial" w:hAnsi="Arial"/>
                  <w:sz w:val="18"/>
                  <w:szCs w:val="18"/>
                  <w:color w:val="0000FF"/>
                  <w:w w:val="90"/>
                </w:rPr>
                <w:t>Amended and Restated Exclusive License Agreement, by and between Rani Therapeutics, LLC and InCube Labs, LLC, dated June 22,</w:t>
              </w:r>
            </w:hyperlink>
          </w:p>
        </w:tc>
        <w:tc>
          <w:tcPr>
            <w:tcW w:w="360" w:type="dxa"/>
            <w:vAlign w:val="bottom"/>
            <w:gridSpan w:val="11"/>
          </w:tcPr>
          <w:p>
            <w:pPr>
              <w:spacing w:after="0"/>
              <w:rPr>
                <w:sz w:val="19"/>
                <w:szCs w:val="19"/>
                <w:color w:val="auto"/>
              </w:rPr>
            </w:pPr>
          </w:p>
        </w:tc>
      </w:t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40" w:type="dxa"/>
            <w:vAlign w:val="bottom"/>
            <w:tcBorders>
              <w:bottom w:val="single" w:sz="8" w:color="0000FF"/>
            </w:tcBorders>
            <w:gridSpan w:val="31"/>
          </w:tcPr>
          <w:p>
            <w:pPr>
              <w:spacing w:after="0"/>
              <w:rPr>
                <w:rFonts w:ascii="Arial" w:cs="Arial" w:eastAsia="Arial" w:hAnsi="Arial"/>
                <w:sz w:val="18"/>
                <w:szCs w:val="18"/>
                <w:color w:val="0000FF"/>
                <w:w w:val="91"/>
              </w:rPr>
            </w:pPr>
            <w:hyperlink r:id="rId303">
              <w:r>
                <w:rPr>
                  <w:rFonts w:ascii="Arial" w:cs="Arial" w:eastAsia="Arial" w:hAnsi="Arial"/>
                  <w:sz w:val="18"/>
                  <w:szCs w:val="18"/>
                  <w:color w:val="0000FF"/>
                  <w:w w:val="91"/>
                </w:rPr>
                <w:t>2021 (incorporated by reference to Exhibit 10.17 to the Registrant’s Registration Statement on Form S-1, filed with the SEC on July 9,</w:t>
              </w:r>
            </w:hyperlink>
          </w:p>
        </w:tc>
        <w:tc>
          <w:tcPr>
            <w:tcW w:w="360" w:type="dxa"/>
            <w:vAlign w:val="bottom"/>
            <w:gridSpan w:val="11"/>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86"/>
              </w:rPr>
            </w:pPr>
            <w:hyperlink r:id="rId303">
              <w:r>
                <w:rPr>
                  <w:rFonts w:ascii="Arial" w:cs="Arial" w:eastAsia="Arial" w:hAnsi="Arial"/>
                  <w:sz w:val="18"/>
                  <w:szCs w:val="18"/>
                  <w:color w:val="0000FF"/>
                  <w:w w:val="86"/>
                </w:rPr>
                <w:t>2021).</w:t>
              </w:r>
            </w:hyperlink>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9"/>
                <w:szCs w:val="19"/>
                <w:color w:val="auto"/>
              </w:rPr>
            </w:pPr>
          </w:p>
        </w:tc>
        <w:tc>
          <w:tcPr>
            <w:tcW w:w="10040" w:type="dxa"/>
            <w:vAlign w:val="bottom"/>
            <w:tcBorders>
              <w:bottom w:val="single" w:sz="8" w:color="0000FF"/>
            </w:tcBorders>
            <w:gridSpan w:val="39"/>
          </w:tcPr>
          <w:p>
            <w:pPr>
              <w:spacing w:after="0"/>
              <w:rPr>
                <w:rFonts w:ascii="Arial" w:cs="Arial" w:eastAsia="Arial" w:hAnsi="Arial"/>
                <w:sz w:val="18"/>
                <w:szCs w:val="18"/>
                <w:color w:val="0000FF"/>
                <w:w w:val="91"/>
              </w:rPr>
            </w:pPr>
            <w:hyperlink r:id="rId304">
              <w:r>
                <w:rPr>
                  <w:rFonts w:ascii="Arial" w:cs="Arial" w:eastAsia="Arial" w:hAnsi="Arial"/>
                  <w:sz w:val="18"/>
                  <w:szCs w:val="18"/>
                  <w:color w:val="0000FF"/>
                  <w:w w:val="91"/>
                </w:rPr>
                <w:t>Non-Exclusive License Agreement, by and between Rani Therapeutics, LLC and InCube Labs, LLC, dated June 22, 2021 (incorporated by</w:t>
              </w:r>
            </w:hyperlink>
          </w:p>
        </w:tc>
        <w:tc>
          <w:tcPr>
            <w:tcW w:w="60" w:type="dxa"/>
            <w:vAlign w:val="bottom"/>
            <w:gridSpan w:val="3"/>
          </w:tcPr>
          <w:p>
            <w:pPr>
              <w:spacing w:after="0"/>
              <w:rPr>
                <w:sz w:val="19"/>
                <w:szCs w:val="19"/>
                <w:color w:val="auto"/>
              </w:rPr>
            </w:pPr>
          </w:p>
        </w:tc>
      </w:t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tcBorders>
              <w:bottom w:val="single" w:sz="8" w:color="0000FF"/>
            </w:tcBorders>
            <w:gridSpan w:val="19"/>
          </w:tcPr>
          <w:p>
            <w:pPr>
              <w:spacing w:after="0"/>
              <w:rPr>
                <w:rFonts w:ascii="Arial" w:cs="Arial" w:eastAsia="Arial" w:hAnsi="Arial"/>
                <w:sz w:val="18"/>
                <w:szCs w:val="18"/>
                <w:color w:val="0000FF"/>
                <w:w w:val="90"/>
              </w:rPr>
            </w:pPr>
            <w:hyperlink r:id="rId304">
              <w:r>
                <w:rPr>
                  <w:rFonts w:ascii="Arial" w:cs="Arial" w:eastAsia="Arial" w:hAnsi="Arial"/>
                  <w:sz w:val="18"/>
                  <w:szCs w:val="18"/>
                  <w:color w:val="0000FF"/>
                  <w:w w:val="90"/>
                </w:rPr>
                <w:t>reference to Exhibit 10.18 to the Registrant’s Registration Statement on Form S-1, filed with the SEC on July 9, 2021).</w:t>
              </w:r>
            </w:hyperlink>
          </w:p>
        </w:tc>
        <w:tc>
          <w:tcPr>
            <w:tcW w:w="20" w:type="dxa"/>
            <w:vAlign w:val="bottom"/>
            <w:tcBorders>
              <w:bottom w:val="single" w:sz="8" w:color="0000EE"/>
            </w:tcBorders>
          </w:tcPr>
          <w:p>
            <w:pPr>
              <w:spacing w:after="0"/>
              <w:rPr>
                <w:sz w:val="18"/>
                <w:szCs w:val="18"/>
                <w:color w:val="auto"/>
              </w:rPr>
            </w:pPr>
          </w:p>
        </w:tc>
        <w:tc>
          <w:tcPr>
            <w:tcW w:w="1520" w:type="dxa"/>
            <w:vAlign w:val="bottom"/>
            <w:gridSpan w:val="22"/>
          </w:tcPr>
          <w:p>
            <w:pPr>
              <w:spacing w:after="0"/>
              <w:rPr>
                <w:sz w:val="18"/>
                <w:szCs w:val="18"/>
                <w:color w:val="auto"/>
              </w:rPr>
            </w:pPr>
          </w:p>
        </w:tc>
      </w:tr>
      <w:tr>
        <w:trPr>
          <w:trHeight w:val="453"/>
        </w:trPr>
        <w:tc>
          <w:tcPr>
            <w:tcW w:w="920" w:type="dxa"/>
            <w:vAlign w:val="bottom"/>
          </w:tcPr>
          <w:p>
            <w:pPr>
              <w:ind w:left="20"/>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9440" w:type="dxa"/>
            <w:vAlign w:val="bottom"/>
            <w:tcBorders>
              <w:bottom w:val="single" w:sz="8" w:color="0000FF"/>
            </w:tcBorders>
            <w:gridSpan w:val="24"/>
          </w:tcPr>
          <w:p>
            <w:pPr>
              <w:spacing w:after="0"/>
              <w:rPr>
                <w:rFonts w:ascii="Arial" w:cs="Arial" w:eastAsia="Arial" w:hAnsi="Arial"/>
                <w:sz w:val="18"/>
                <w:szCs w:val="18"/>
                <w:color w:val="0000FF"/>
                <w:w w:val="91"/>
              </w:rPr>
            </w:pPr>
            <w:hyperlink r:id="rId305">
              <w:r>
                <w:rPr>
                  <w:rFonts w:ascii="Arial" w:cs="Arial" w:eastAsia="Arial" w:hAnsi="Arial"/>
                  <w:sz w:val="18"/>
                  <w:szCs w:val="18"/>
                  <w:color w:val="0000FF"/>
                  <w:w w:val="91"/>
                </w:rPr>
                <w:t>Intellectual Property Agreement, by and between Rani Therapeutics, LLC and Mir A. Imran, dated June 22, 2021 (incorporated by</w:t>
              </w:r>
            </w:hyperlink>
          </w:p>
        </w:tc>
        <w:tc>
          <w:tcPr>
            <w:tcW w:w="660" w:type="dxa"/>
            <w:vAlign w:val="bottom"/>
            <w:gridSpan w:val="18"/>
          </w:tcPr>
          <w:p>
            <w:pPr>
              <w:spacing w:after="0"/>
              <w:rPr>
                <w:sz w:val="24"/>
                <w:szCs w:val="24"/>
                <w:color w:val="auto"/>
              </w:rPr>
            </w:pPr>
          </w:p>
        </w:tc>
      </w:t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tcBorders>
              <w:bottom w:val="single" w:sz="8" w:color="0000FF"/>
            </w:tcBorders>
            <w:gridSpan w:val="19"/>
          </w:tcPr>
          <w:p>
            <w:pPr>
              <w:spacing w:after="0"/>
              <w:rPr>
                <w:rFonts w:ascii="Arial" w:cs="Arial" w:eastAsia="Arial" w:hAnsi="Arial"/>
                <w:sz w:val="18"/>
                <w:szCs w:val="18"/>
                <w:color w:val="0000FF"/>
                <w:w w:val="90"/>
              </w:rPr>
            </w:pPr>
            <w:hyperlink r:id="rId305">
              <w:r>
                <w:rPr>
                  <w:rFonts w:ascii="Arial" w:cs="Arial" w:eastAsia="Arial" w:hAnsi="Arial"/>
                  <w:sz w:val="18"/>
                  <w:szCs w:val="18"/>
                  <w:color w:val="0000FF"/>
                  <w:w w:val="90"/>
                </w:rPr>
                <w:t>reference to Exhibit 10.19 to the Registrant’s Registration Statement on Form S-1, filed with the SEC on July 9, 2021).</w:t>
              </w:r>
            </w:hyperlink>
          </w:p>
        </w:tc>
        <w:tc>
          <w:tcPr>
            <w:tcW w:w="20" w:type="dxa"/>
            <w:vAlign w:val="bottom"/>
            <w:tcBorders>
              <w:bottom w:val="single" w:sz="8" w:color="0000EE"/>
            </w:tcBorders>
          </w:tcPr>
          <w:p>
            <w:pPr>
              <w:spacing w:after="0"/>
              <w:rPr>
                <w:sz w:val="18"/>
                <w:szCs w:val="18"/>
                <w:color w:val="auto"/>
              </w:rPr>
            </w:pPr>
          </w:p>
        </w:tc>
        <w:tc>
          <w:tcPr>
            <w:tcW w:w="1520" w:type="dxa"/>
            <w:vAlign w:val="bottom"/>
            <w:gridSpan w:val="22"/>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9"/>
                <w:szCs w:val="19"/>
                <w:color w:val="auto"/>
              </w:rPr>
            </w:pPr>
          </w:p>
        </w:tc>
        <w:tc>
          <w:tcPr>
            <w:tcW w:w="9840" w:type="dxa"/>
            <w:vAlign w:val="bottom"/>
            <w:tcBorders>
              <w:bottom w:val="single" w:sz="8" w:color="0000FF"/>
            </w:tcBorders>
            <w:gridSpan w:val="34"/>
          </w:tcPr>
          <w:p>
            <w:pPr>
              <w:spacing w:after="0"/>
              <w:rPr>
                <w:rFonts w:ascii="Arial" w:cs="Arial" w:eastAsia="Arial" w:hAnsi="Arial"/>
                <w:sz w:val="18"/>
                <w:szCs w:val="18"/>
                <w:color w:val="0000FF"/>
                <w:w w:val="89"/>
              </w:rPr>
            </w:pPr>
            <w:hyperlink r:id="rId306">
              <w:r>
                <w:rPr>
                  <w:rFonts w:ascii="Arial" w:cs="Arial" w:eastAsia="Arial" w:hAnsi="Arial"/>
                  <w:sz w:val="18"/>
                  <w:szCs w:val="18"/>
                  <w:color w:val="0000FF"/>
                  <w:w w:val="89"/>
                </w:rPr>
                <w:t>Amended and Restated Employment Agreement, dated June 17, 2021, by and between Rani Management Services, Inc. and Talat Imran</w:t>
              </w:r>
            </w:hyperlink>
          </w:p>
        </w:tc>
        <w:tc>
          <w:tcPr>
            <w:tcW w:w="260" w:type="dxa"/>
            <w:vAlign w:val="bottom"/>
            <w:gridSpan w:val="8"/>
          </w:tcPr>
          <w:p>
            <w:pPr>
              <w:spacing w:after="0"/>
              <w:rPr>
                <w:sz w:val="19"/>
                <w:szCs w:val="19"/>
                <w:color w:val="auto"/>
              </w:rPr>
            </w:pPr>
          </w:p>
        </w:tc>
      </w:t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Borders>
              <w:bottom w:val="single" w:sz="8" w:color="0000FF"/>
            </w:tcBorders>
            <w:gridSpan w:val="32"/>
          </w:tcPr>
          <w:p>
            <w:pPr>
              <w:spacing w:after="0"/>
              <w:rPr>
                <w:rFonts w:ascii="Arial" w:cs="Arial" w:eastAsia="Arial" w:hAnsi="Arial"/>
                <w:sz w:val="18"/>
                <w:szCs w:val="18"/>
                <w:color w:val="0000FF"/>
                <w:w w:val="91"/>
              </w:rPr>
            </w:pPr>
            <w:hyperlink r:id="rId306">
              <w:r>
                <w:rPr>
                  <w:rFonts w:ascii="Arial" w:cs="Arial" w:eastAsia="Arial" w:hAnsi="Arial"/>
                  <w:sz w:val="18"/>
                  <w:szCs w:val="18"/>
                  <w:color w:val="0000FF"/>
                  <w:w w:val="91"/>
                </w:rPr>
                <w:t>(incorporated by reference to Exhibit 10.23 to the Registrant’s Registration Statement on Form S-1, filed with the SEC on July 9, 2021).</w:t>
              </w:r>
            </w:hyperlink>
          </w:p>
        </w:tc>
        <w:tc>
          <w:tcPr>
            <w:tcW w:w="20" w:type="dxa"/>
            <w:vAlign w:val="bottom"/>
            <w:tcBorders>
              <w:bottom w:val="single" w:sz="8" w:color="0000EE"/>
            </w:tcBorders>
          </w:tcPr>
          <w:p>
            <w:pPr>
              <w:spacing w:after="0"/>
              <w:rPr>
                <w:sz w:val="18"/>
                <w:szCs w:val="18"/>
                <w:color w:val="auto"/>
              </w:rPr>
            </w:pPr>
          </w:p>
        </w:tc>
        <w:tc>
          <w:tcPr>
            <w:tcW w:w="280" w:type="dxa"/>
            <w:vAlign w:val="bottom"/>
            <w:gridSpan w:val="9"/>
          </w:tcPr>
          <w:p>
            <w:pPr>
              <w:spacing w:after="0"/>
              <w:rPr>
                <w:sz w:val="18"/>
                <w:szCs w:val="18"/>
                <w:color w:val="auto"/>
              </w:rPr>
            </w:pPr>
          </w:p>
        </w:tc>
      </w:tr>
      <w:tr>
        <w:trPr>
          <w:trHeight w:val="682"/>
        </w:trPr>
        <w:tc>
          <w:tcPr>
            <w:tcW w:w="920" w:type="dxa"/>
            <w:vAlign w:val="bottom"/>
          </w:tcPr>
          <w:p>
            <w:pPr>
              <w:ind w:left="20"/>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9880" w:type="dxa"/>
            <w:vAlign w:val="bottom"/>
            <w:tcBorders>
              <w:bottom w:val="single" w:sz="8" w:color="0000FF"/>
            </w:tcBorders>
            <w:gridSpan w:val="36"/>
          </w:tcPr>
          <w:p>
            <w:pPr>
              <w:spacing w:after="0"/>
              <w:rPr>
                <w:rFonts w:ascii="Arial" w:cs="Arial" w:eastAsia="Arial" w:hAnsi="Arial"/>
                <w:sz w:val="18"/>
                <w:szCs w:val="18"/>
                <w:color w:val="0000FF"/>
                <w:w w:val="90"/>
              </w:rPr>
            </w:pPr>
            <w:hyperlink r:id="rId307">
              <w:r>
                <w:rPr>
                  <w:rFonts w:ascii="Arial" w:cs="Arial" w:eastAsia="Arial" w:hAnsi="Arial"/>
                  <w:sz w:val="18"/>
                  <w:szCs w:val="18"/>
                  <w:color w:val="0000FF"/>
                  <w:w w:val="90"/>
                </w:rPr>
                <w:t>Amended and Restated Employment Agreement, dated June 17, 2021, by and between Rani Management Services, Inc. and Mir Hashim</w:t>
              </w:r>
            </w:hyperlink>
          </w:p>
        </w:tc>
        <w:tc>
          <w:tcPr>
            <w:tcW w:w="220" w:type="dxa"/>
            <w:vAlign w:val="bottom"/>
            <w:gridSpan w:val="6"/>
          </w:tcPr>
          <w:p>
            <w:pPr>
              <w:spacing w:after="0"/>
              <w:rPr>
                <w:sz w:val="24"/>
                <w:szCs w:val="24"/>
                <w:color w:val="auto"/>
              </w:rPr>
            </w:pPr>
          </w:p>
        </w:tc>
      </w:t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gridSpan w:val="42"/>
          </w:tcPr>
          <w:p>
            <w:pPr>
              <w:spacing w:after="0"/>
              <w:rPr>
                <w:rFonts w:ascii="Arial" w:cs="Arial" w:eastAsia="Arial" w:hAnsi="Arial"/>
                <w:sz w:val="18"/>
                <w:szCs w:val="18"/>
                <w:color w:val="0000FF"/>
                <w:w w:val="93"/>
              </w:rPr>
            </w:pPr>
            <w:hyperlink r:id="rId307">
              <w:r>
                <w:rPr>
                  <w:rFonts w:ascii="Arial" w:cs="Arial" w:eastAsia="Arial" w:hAnsi="Arial"/>
                  <w:sz w:val="18"/>
                  <w:szCs w:val="18"/>
                  <w:color w:val="0000FF"/>
                  <w:w w:val="93"/>
                </w:rPr>
                <w:t>(incorporated by reference to Exhibit 10.26 to the Registrant’s Registration Statement on Form S-1, filed with the SEC on July 26, 2021).</w:t>
              </w:r>
            </w:hyperlink>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20" w:type="dxa"/>
            <w:vAlign w:val="bottom"/>
            <w:gridSpan w:val="2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19"/>
                <w:szCs w:val="19"/>
                <w:color w:val="auto"/>
              </w:rPr>
            </w:pPr>
          </w:p>
        </w:tc>
        <w:tc>
          <w:tcPr>
            <w:tcW w:w="9940" w:type="dxa"/>
            <w:vAlign w:val="bottom"/>
            <w:tcBorders>
              <w:bottom w:val="single" w:sz="8" w:color="0000FF"/>
            </w:tcBorders>
            <w:gridSpan w:val="37"/>
          </w:tcPr>
          <w:p>
            <w:pPr>
              <w:spacing w:after="0"/>
              <w:rPr>
                <w:rFonts w:ascii="Arial" w:cs="Arial" w:eastAsia="Arial" w:hAnsi="Arial"/>
                <w:sz w:val="18"/>
                <w:szCs w:val="18"/>
                <w:color w:val="0000FF"/>
                <w:w w:val="89"/>
              </w:rPr>
            </w:pPr>
            <w:hyperlink r:id="rId308">
              <w:r>
                <w:rPr>
                  <w:rFonts w:ascii="Arial" w:cs="Arial" w:eastAsia="Arial" w:hAnsi="Arial"/>
                  <w:sz w:val="18"/>
                  <w:szCs w:val="18"/>
                  <w:color w:val="0000FF"/>
                  <w:w w:val="89"/>
                </w:rPr>
                <w:t>Amended and Restated Employment Agreement, dated June 17, 2021, by and between Rani Management Services, Inc. and Svai Sanford</w:t>
              </w:r>
            </w:hyperlink>
          </w:p>
        </w:tc>
        <w:tc>
          <w:tcPr>
            <w:tcW w:w="160" w:type="dxa"/>
            <w:vAlign w:val="bottom"/>
            <w:gridSpan w:val="5"/>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Borders>
              <w:bottom w:val="single" w:sz="8" w:color="0000FF"/>
            </w:tcBorders>
            <w:gridSpan w:val="32"/>
          </w:tcPr>
          <w:p>
            <w:pPr>
              <w:spacing w:after="0"/>
              <w:rPr>
                <w:rFonts w:ascii="Arial" w:cs="Arial" w:eastAsia="Arial" w:hAnsi="Arial"/>
                <w:sz w:val="18"/>
                <w:szCs w:val="18"/>
                <w:color w:val="0000FF"/>
                <w:w w:val="91"/>
              </w:rPr>
            </w:pPr>
            <w:hyperlink r:id="rId308">
              <w:r>
                <w:rPr>
                  <w:rFonts w:ascii="Arial" w:cs="Arial" w:eastAsia="Arial" w:hAnsi="Arial"/>
                  <w:sz w:val="18"/>
                  <w:szCs w:val="18"/>
                  <w:color w:val="0000FF"/>
                  <w:w w:val="91"/>
                </w:rPr>
                <w:t>(incorporated by reference to Exhibit 10.25 to the Registrant’s Registration Statement on Form S-1, filed with the SEC on July 9, 2021).</w:t>
              </w:r>
            </w:hyperlink>
          </w:p>
        </w:tc>
        <w:tc>
          <w:tcPr>
            <w:tcW w:w="300" w:type="dxa"/>
            <w:vAlign w:val="bottom"/>
            <w:gridSpan w:val="10"/>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9660" w:type="dxa"/>
            <w:vAlign w:val="bottom"/>
            <w:tcBorders>
              <w:bottom w:val="single" w:sz="8" w:color="0000FF"/>
            </w:tcBorders>
            <w:gridSpan w:val="28"/>
          </w:tcPr>
          <w:p>
            <w:pPr>
              <w:spacing w:after="0"/>
              <w:rPr>
                <w:rFonts w:ascii="Arial" w:cs="Arial" w:eastAsia="Arial" w:hAnsi="Arial"/>
                <w:sz w:val="18"/>
                <w:szCs w:val="18"/>
                <w:color w:val="0000FF"/>
                <w:w w:val="91"/>
              </w:rPr>
            </w:pPr>
            <w:hyperlink w:anchor="page104">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440" w:type="dxa"/>
            <w:vAlign w:val="bottom"/>
            <w:gridSpan w:val="14"/>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8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04">
              <w:r>
                <w:rPr>
                  <w:rFonts w:ascii="Arial" w:cs="Arial" w:eastAsia="Arial" w:hAnsi="Arial"/>
                  <w:sz w:val="18"/>
                  <w:szCs w:val="18"/>
                  <w:color w:val="0000FF"/>
                  <w:w w:val="90"/>
                </w:rPr>
                <w:t>Adopted Pursuant to Section 302 of the Sarbanes-Oxley Act of 2002.</w:t>
              </w:r>
            </w:hyperlink>
          </w:p>
        </w:tc>
        <w:tc>
          <w:tcPr>
            <w:tcW w:w="5120" w:type="dxa"/>
            <w:vAlign w:val="bottom"/>
            <w:gridSpan w:val="38"/>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9"/>
                <w:szCs w:val="19"/>
                <w:color w:val="auto"/>
              </w:rPr>
            </w:pPr>
          </w:p>
        </w:tc>
        <w:tc>
          <w:tcPr>
            <w:tcW w:w="9600" w:type="dxa"/>
            <w:vAlign w:val="bottom"/>
            <w:tcBorders>
              <w:bottom w:val="single" w:sz="8" w:color="0000FF"/>
            </w:tcBorders>
            <w:gridSpan w:val="26"/>
          </w:tcPr>
          <w:p>
            <w:pPr>
              <w:spacing w:after="0"/>
              <w:rPr>
                <w:rFonts w:ascii="Arial" w:cs="Arial" w:eastAsia="Arial" w:hAnsi="Arial"/>
                <w:sz w:val="18"/>
                <w:szCs w:val="18"/>
                <w:color w:val="0000FF"/>
                <w:w w:val="91"/>
              </w:rPr>
            </w:pPr>
            <w:hyperlink w:anchor="page105">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500" w:type="dxa"/>
            <w:vAlign w:val="bottom"/>
            <w:gridSpan w:val="16"/>
          </w:tcPr>
          <w:p>
            <w:pPr>
              <w:spacing w:after="0"/>
              <w:rPr>
                <w:sz w:val="19"/>
                <w:szCs w:val="19"/>
                <w:color w:val="auto"/>
              </w:rPr>
            </w:pPr>
          </w:p>
        </w:tc>
      </w:t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8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05">
              <w:r>
                <w:rPr>
                  <w:rFonts w:ascii="Arial" w:cs="Arial" w:eastAsia="Arial" w:hAnsi="Arial"/>
                  <w:sz w:val="18"/>
                  <w:szCs w:val="18"/>
                  <w:color w:val="0000FF"/>
                  <w:w w:val="90"/>
                </w:rPr>
                <w:t>Adopted Pursuant to Section 302 of the Sarbanes-Oxley Act of 2002.</w:t>
              </w:r>
            </w:hyperlink>
          </w:p>
        </w:tc>
        <w:tc>
          <w:tcPr>
            <w:tcW w:w="5120" w:type="dxa"/>
            <w:vAlign w:val="bottom"/>
            <w:gridSpan w:val="38"/>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9"/>
                <w:szCs w:val="19"/>
                <w:color w:val="auto"/>
              </w:rPr>
            </w:pPr>
          </w:p>
        </w:tc>
        <w:tc>
          <w:tcPr>
            <w:tcW w:w="9820" w:type="dxa"/>
            <w:vAlign w:val="bottom"/>
            <w:tcBorders>
              <w:bottom w:val="single" w:sz="8" w:color="0000FF"/>
            </w:tcBorders>
            <w:gridSpan w:val="33"/>
          </w:tcPr>
          <w:p>
            <w:pPr>
              <w:spacing w:after="0"/>
              <w:rPr>
                <w:rFonts w:ascii="Arial" w:cs="Arial" w:eastAsia="Arial" w:hAnsi="Arial"/>
                <w:sz w:val="18"/>
                <w:szCs w:val="18"/>
                <w:color w:val="0000FF"/>
                <w:w w:val="92"/>
              </w:rPr>
            </w:pPr>
            <w:hyperlink w:anchor="page106">
              <w:r>
                <w:rPr>
                  <w:rFonts w:ascii="Arial" w:cs="Arial" w:eastAsia="Arial" w:hAnsi="Arial"/>
                  <w:sz w:val="18"/>
                  <w:szCs w:val="18"/>
                  <w:color w:val="0000FF"/>
                  <w:w w:val="92"/>
                </w:rPr>
                <w:t>Certification of Principal Executive Officer and Principal Financial Officer Pursuant to 18 U.S.C. Section 1350, as Adopted Pursuant to</w:t>
              </w:r>
            </w:hyperlink>
          </w:p>
        </w:tc>
        <w:tc>
          <w:tcPr>
            <w:tcW w:w="280" w:type="dxa"/>
            <w:vAlign w:val="bottom"/>
            <w:gridSpan w:val="9"/>
          </w:tcPr>
          <w:p>
            <w:pPr>
              <w:spacing w:after="0"/>
              <w:rPr>
                <w:sz w:val="19"/>
                <w:szCs w:val="19"/>
                <w:color w:val="auto"/>
              </w:rPr>
            </w:pPr>
          </w:p>
        </w:tc>
      </w:t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106">
              <w:r>
                <w:rPr>
                  <w:rFonts w:ascii="Arial" w:cs="Arial" w:eastAsia="Arial" w:hAnsi="Arial"/>
                  <w:sz w:val="18"/>
                  <w:szCs w:val="18"/>
                  <w:color w:val="0000FF"/>
                  <w:w w:val="90"/>
                </w:rPr>
                <w:t>Section 906 of the Sarbanes-Oxley Act of 2002.</w:t>
              </w:r>
            </w:hyperlink>
          </w:p>
        </w:tc>
        <w:tc>
          <w:tcPr>
            <w:tcW w:w="6640" w:type="dxa"/>
            <w:vAlign w:val="bottom"/>
            <w:gridSpan w:val="39"/>
          </w:tcPr>
          <w:p>
            <w:pPr>
              <w:spacing w:after="0"/>
              <w:rPr>
                <w:sz w:val="18"/>
                <w:szCs w:val="18"/>
                <w:color w:val="auto"/>
              </w:rPr>
            </w:pPr>
          </w:p>
        </w:tc>
      </w:tr>
      <w:tr>
        <w:trPr>
          <w:trHeight w:val="493"/>
        </w:trPr>
        <w:tc>
          <w:tcPr>
            <w:tcW w:w="920" w:type="dxa"/>
            <w:vAlign w:val="bottom"/>
          </w:tcPr>
          <w:p>
            <w:pPr>
              <w:spacing w:after="0"/>
              <w:rPr>
                <w:sz w:val="24"/>
                <w:szCs w:val="24"/>
                <w:color w:val="auto"/>
              </w:rPr>
            </w:pPr>
          </w:p>
        </w:tc>
        <w:tc>
          <w:tcPr>
            <w:tcW w:w="10340" w:type="dxa"/>
            <w:vAlign w:val="bottom"/>
            <w:gridSpan w:val="43"/>
          </w:tcPr>
          <w:p>
            <w:pPr>
              <w:jc w:val="right"/>
              <w:ind w:right="20"/>
              <w:spacing w:after="0"/>
              <w:rPr>
                <w:sz w:val="20"/>
                <w:szCs w:val="20"/>
                <w:color w:val="auto"/>
              </w:rPr>
            </w:pPr>
            <w:r>
              <w:rPr>
                <w:rFonts w:ascii="Arial" w:cs="Arial" w:eastAsia="Arial" w:hAnsi="Arial"/>
                <w:sz w:val="18"/>
                <w:szCs w:val="18"/>
                <w:color w:val="auto"/>
              </w:rPr>
              <w:t>101</w:t>
            </w: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tcPr>
          <w:p>
            <w:pPr>
              <w:ind w:left="24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900" w:type="dxa"/>
            <w:vAlign w:val="bottom"/>
          </w:tcPr>
          <w:p>
            <w:pPr>
              <w:spacing w:after="0"/>
              <w:rPr>
                <w:sz w:val="20"/>
                <w:szCs w:val="20"/>
                <w:color w:val="auto"/>
              </w:rPr>
            </w:pPr>
          </w:p>
        </w:tc>
        <w:tc>
          <w:tcPr>
            <w:tcW w:w="10080" w:type="dxa"/>
            <w:vAlign w:val="bottom"/>
          </w:tcPr>
          <w:p>
            <w:pPr>
              <w:ind w:left="240"/>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right="4300" w:firstLine="21"/>
        <w:spacing w:after="0" w:line="399" w:lineRule="auto"/>
        <w:tabs>
          <w:tab w:leader="none" w:pos="1148" w:val="left"/>
        </w:tabs>
        <w:numPr>
          <w:ilvl w:val="2"/>
          <w:numId w:val="1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firstLine="8"/>
        <w:spacing w:after="0" w:line="266" w:lineRule="auto"/>
        <w:tabs>
          <w:tab w:leader="none" w:pos="4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certifications attached as Exhibit 32.1 which accompanies this Quarterly Report on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Form 10-Q), irrespective of any general incorporation language contained in such filing.</w:t>
      </w: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-936625</wp:posOffset>
            </wp:positionV>
            <wp:extent cx="9512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200" w:firstLine="1018"/>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460" w:type="dxa"/>
            <w:vAlign w:val="bottom"/>
            <w:gridSpan w:val="2"/>
          </w:tcPr>
          <w:p>
            <w:pPr>
              <w:ind w:left="1900"/>
              <w:spacing w:after="0"/>
              <w:rPr>
                <w:sz w:val="20"/>
                <w:szCs w:val="20"/>
                <w:color w:val="auto"/>
              </w:rPr>
            </w:pPr>
            <w:r>
              <w:rPr>
                <w:rFonts w:ascii="Arial" w:cs="Arial" w:eastAsia="Arial" w:hAnsi="Arial"/>
                <w:sz w:val="18"/>
                <w:szCs w:val="18"/>
                <w:color w:val="auto"/>
              </w:rPr>
              <w:t>Rani Therapeutics Holdings, Inc.</w:t>
            </w:r>
          </w:p>
        </w:tc>
      </w:tr>
      <w:tr>
        <w:trPr>
          <w:trHeight w:val="486"/>
        </w:trPr>
        <w:tc>
          <w:tcPr>
            <w:tcW w:w="3760" w:type="dxa"/>
            <w:vAlign w:val="bottom"/>
          </w:tcPr>
          <w:p>
            <w:pPr>
              <w:spacing w:after="0"/>
              <w:rPr>
                <w:sz w:val="20"/>
                <w:szCs w:val="20"/>
                <w:color w:val="auto"/>
              </w:rPr>
            </w:pPr>
            <w:r>
              <w:rPr>
                <w:rFonts w:ascii="Arial" w:cs="Arial" w:eastAsia="Arial" w:hAnsi="Arial"/>
                <w:sz w:val="18"/>
                <w:szCs w:val="18"/>
                <w:color w:val="auto"/>
              </w:rPr>
              <w:t>Date: September 13, 2021</w:t>
            </w:r>
          </w:p>
        </w:tc>
        <w:tc>
          <w:tcPr>
            <w:tcW w:w="2320" w:type="dxa"/>
            <w:vAlign w:val="bottom"/>
          </w:tcPr>
          <w:p>
            <w:pPr>
              <w:ind w:left="19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Talat Imran</w:t>
            </w:r>
          </w:p>
        </w:tc>
      </w:tr>
      <w:tr>
        <w:trPr>
          <w:trHeight w:val="228"/>
        </w:trPr>
        <w:tc>
          <w:tcPr>
            <w:tcW w:w="3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7"/>
              </w:rPr>
              <w:t>Talat Imran</w:t>
            </w:r>
          </w:p>
        </w:tc>
      </w:tr>
      <w:tr>
        <w:trPr>
          <w:trHeight w:val="238"/>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40" w:type="dxa"/>
            <w:vAlign w:val="bottom"/>
          </w:tcPr>
          <w:p>
            <w:pPr>
              <w:ind w:left="1700"/>
              <w:spacing w:after="0"/>
              <w:rPr>
                <w:sz w:val="20"/>
                <w:szCs w:val="20"/>
                <w:color w:val="auto"/>
              </w:rPr>
            </w:pPr>
            <w:r>
              <w:rPr>
                <w:rFonts w:ascii="Arial" w:cs="Arial" w:eastAsia="Arial" w:hAnsi="Arial"/>
                <w:sz w:val="18"/>
                <w:szCs w:val="18"/>
                <w:i w:val="1"/>
                <w:iCs w:val="1"/>
                <w:color w:val="auto"/>
              </w:rPr>
              <w:t>Chief Executive Officer</w:t>
            </w:r>
          </w:p>
        </w:tc>
      </w:tr>
      <w:tr>
        <w:trPr>
          <w:trHeight w:val="243"/>
        </w:trPr>
        <w:tc>
          <w:tcPr>
            <w:tcW w:w="37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86"/>
        </w:trPr>
        <w:tc>
          <w:tcPr>
            <w:tcW w:w="3760" w:type="dxa"/>
            <w:vAlign w:val="bottom"/>
          </w:tcPr>
          <w:p>
            <w:pPr>
              <w:spacing w:after="0"/>
              <w:rPr>
                <w:sz w:val="20"/>
                <w:szCs w:val="20"/>
                <w:color w:val="auto"/>
              </w:rPr>
            </w:pPr>
            <w:r>
              <w:rPr>
                <w:rFonts w:ascii="Arial" w:cs="Arial" w:eastAsia="Arial" w:hAnsi="Arial"/>
                <w:sz w:val="18"/>
                <w:szCs w:val="18"/>
                <w:color w:val="auto"/>
              </w:rPr>
              <w:t>Date: September 13, 2021</w:t>
            </w:r>
          </w:p>
        </w:tc>
        <w:tc>
          <w:tcPr>
            <w:tcW w:w="2320" w:type="dxa"/>
            <w:vAlign w:val="bottom"/>
          </w:tcPr>
          <w:p>
            <w:pPr>
              <w:ind w:left="19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Svai Sanford</w:t>
            </w:r>
          </w:p>
        </w:tc>
      </w:tr>
      <w:tr>
        <w:trPr>
          <w:trHeight w:val="228"/>
        </w:trPr>
        <w:tc>
          <w:tcPr>
            <w:tcW w:w="3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89"/>
              </w:rPr>
              <w:t>Svai Sanford</w:t>
            </w:r>
          </w:p>
        </w:tc>
      </w:tr>
    </w:tbl>
    <w:p>
      <w:pPr>
        <w:spacing w:after="0" w:line="8" w:lineRule="exact"/>
        <w:rPr>
          <w:sz w:val="20"/>
          <w:szCs w:val="20"/>
          <w:color w:val="auto"/>
        </w:rPr>
      </w:pPr>
    </w:p>
    <w:p>
      <w:pPr>
        <w:jc w:val="center"/>
        <w:ind w:left="604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jc w:val="cente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Talat Imran, certify that:</w:t>
      </w:r>
    </w:p>
    <w:p>
      <w:pPr>
        <w:spacing w:after="0" w:line="239"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Form 10-Q of Rani Therapeutics Holdings, Inc.;</w:t>
      </w:r>
    </w:p>
    <w:p>
      <w:pPr>
        <w:spacing w:after="0" w:line="238" w:lineRule="exact"/>
        <w:rPr>
          <w:rFonts w:ascii="Arial" w:cs="Arial" w:eastAsia="Arial" w:hAnsi="Arial"/>
          <w:sz w:val="18"/>
          <w:szCs w:val="18"/>
          <w:color w:val="auto"/>
        </w:rPr>
      </w:pPr>
    </w:p>
    <w:p>
      <w:pPr>
        <w:ind w:left="760" w:right="20" w:hanging="752"/>
        <w:spacing w:after="0" w:line="279" w:lineRule="auto"/>
        <w:tabs>
          <w:tab w:leader="none" w:pos="3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60" w:right="20" w:hanging="752"/>
        <w:spacing w:after="0" w:line="324" w:lineRule="auto"/>
        <w:tabs>
          <w:tab w:leader="none" w:pos="3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760" w:right="20" w:hanging="752"/>
        <w:spacing w:after="0" w:line="293" w:lineRule="auto"/>
        <w:tabs>
          <w:tab w:leader="none" w:pos="3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500" w:hanging="690"/>
        <w:spacing w:after="0" w:line="279" w:lineRule="auto"/>
        <w:tabs>
          <w:tab w:leader="none" w:pos="1165"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right"/>
        <w:ind w:left="1500" w:hanging="690"/>
        <w:spacing w:after="0" w:line="359" w:lineRule="auto"/>
        <w:tabs>
          <w:tab w:leader="none" w:pos="1165" w:val="left"/>
        </w:tabs>
        <w:numPr>
          <w:ilvl w:val="2"/>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hanging="690"/>
        <w:spacing w:after="0" w:line="279" w:lineRule="auto"/>
        <w:tabs>
          <w:tab w:leader="none" w:pos="1165" w:val="left"/>
        </w:tabs>
        <w:numPr>
          <w:ilvl w:val="2"/>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60" w:right="20" w:hanging="752"/>
        <w:spacing w:after="0" w:line="324" w:lineRule="auto"/>
        <w:tabs>
          <w:tab w:leader="none" w:pos="3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500" w:right="40" w:hanging="690"/>
        <w:spacing w:after="0" w:line="324" w:lineRule="auto"/>
        <w:tabs>
          <w:tab w:leader="none" w:pos="1165" w:val="left"/>
        </w:tabs>
        <w:numPr>
          <w:ilvl w:val="2"/>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500" w:right="20" w:hanging="715"/>
        <w:spacing w:after="0" w:line="293"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2021</w:t>
      </w:r>
    </w:p>
    <w:p>
      <w:pPr>
        <w:spacing w:after="0" w:line="23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-10160</wp:posOffset>
            </wp:positionV>
            <wp:extent cx="182816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Svai Sanford, certify that:</w:t>
      </w:r>
    </w:p>
    <w:p>
      <w:pPr>
        <w:spacing w:after="0" w:line="239"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Form 10-Q of Rani Therapeutics Holdings, Inc.;</w:t>
      </w:r>
    </w:p>
    <w:p>
      <w:pPr>
        <w:spacing w:after="0" w:line="238" w:lineRule="exact"/>
        <w:rPr>
          <w:rFonts w:ascii="Arial" w:cs="Arial" w:eastAsia="Arial" w:hAnsi="Arial"/>
          <w:sz w:val="18"/>
          <w:szCs w:val="18"/>
          <w:color w:val="auto"/>
        </w:rPr>
      </w:pPr>
    </w:p>
    <w:p>
      <w:pPr>
        <w:ind w:left="760" w:right="20" w:hanging="752"/>
        <w:spacing w:after="0" w:line="279" w:lineRule="auto"/>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60" w:right="20" w:hanging="752"/>
        <w:spacing w:after="0" w:line="324" w:lineRule="auto"/>
        <w:tabs>
          <w:tab w:leader="none" w:pos="37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760" w:right="20" w:hanging="752"/>
        <w:spacing w:after="0" w:line="293" w:lineRule="auto"/>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500" w:hanging="690"/>
        <w:spacing w:after="0" w:line="279" w:lineRule="auto"/>
        <w:tabs>
          <w:tab w:leader="none" w:pos="1165"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right"/>
        <w:ind w:left="1500" w:hanging="690"/>
        <w:spacing w:after="0" w:line="359" w:lineRule="auto"/>
        <w:tabs>
          <w:tab w:leader="none" w:pos="1165" w:val="left"/>
        </w:tabs>
        <w:numPr>
          <w:ilvl w:val="2"/>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hanging="690"/>
        <w:spacing w:after="0" w:line="279" w:lineRule="auto"/>
        <w:tabs>
          <w:tab w:leader="none" w:pos="1165" w:val="left"/>
        </w:tabs>
        <w:numPr>
          <w:ilvl w:val="2"/>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60" w:right="20" w:hanging="752"/>
        <w:spacing w:after="0" w:line="324" w:lineRule="auto"/>
        <w:tabs>
          <w:tab w:leader="none" w:pos="37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500" w:right="40" w:hanging="690"/>
        <w:spacing w:after="0" w:line="324" w:lineRule="auto"/>
        <w:tabs>
          <w:tab w:leader="none" w:pos="1165" w:val="left"/>
        </w:tabs>
        <w:numPr>
          <w:ilvl w:val="2"/>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500" w:right="20" w:hanging="715"/>
        <w:spacing w:after="0" w:line="293"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2021</w:t>
      </w:r>
    </w:p>
    <w:p>
      <w:pPr>
        <w:spacing w:after="0" w:line="23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__/s/ Svai Sanford__________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-10160</wp:posOffset>
            </wp:positionV>
            <wp:extent cx="18726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1872615" cy="8255"/>
                    </a:xfrm>
                    <a:prstGeom prst="rect">
                      <a:avLst/>
                    </a:prstGeom>
                    <a:noFill/>
                  </pic:spPr>
                </pic:pic>
              </a:graphicData>
            </a:graphic>
          </wp:anchor>
        </w:drawing>
      </w:r>
    </w:p>
    <w:p>
      <w:pPr>
        <w:spacing w:after="0" w:line="3" w:lineRule="exact"/>
        <w:rPr>
          <w:sz w:val="20"/>
          <w:szCs w:val="20"/>
          <w:color w:val="auto"/>
        </w:rPr>
      </w:pPr>
    </w:p>
    <w:p>
      <w:pPr>
        <w:jc w:val="center"/>
        <w:ind w:left="410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jc w:val="center"/>
        <w:ind w:left="41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41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spacing w:after="0" w:line="164" w:lineRule="exact"/>
        <w:rPr>
          <w:sz w:val="20"/>
          <w:szCs w:val="20"/>
          <w:color w:val="auto"/>
        </w:rPr>
      </w:pPr>
    </w:p>
    <w:p>
      <w:pPr>
        <w:ind w:left="660" w:right="20" w:hanging="652"/>
        <w:spacing w:after="0" w:line="293"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June 30, 2021,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8"/>
          <w:szCs w:val="18"/>
          <w:b w:val="1"/>
          <w:bCs w:val="1"/>
          <w:color w:val="auto"/>
        </w:rPr>
      </w:pPr>
    </w:p>
    <w:p>
      <w:pPr>
        <w:ind w:left="660" w:hanging="652"/>
        <w:spacing w:after="0" w:line="293"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13, 2021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13th day of September,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Talat Imran</w:t>
            </w:r>
          </w:p>
        </w:tc>
        <w:tc>
          <w:tcPr>
            <w:tcW w:w="1080" w:type="dxa"/>
            <w:vAlign w:val="bottom"/>
          </w:tcPr>
          <w:p>
            <w:pPr>
              <w:spacing w:after="0"/>
              <w:rPr>
                <w:sz w:val="17"/>
                <w:szCs w:val="17"/>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Svai Sanford</w:t>
            </w:r>
          </w:p>
        </w:tc>
        <w:tc>
          <w:tcPr>
            <w:tcW w:w="400" w:type="dxa"/>
            <w:vAlign w:val="bottom"/>
          </w:tcPr>
          <w:p>
            <w:pPr>
              <w:spacing w:after="0"/>
              <w:rPr>
                <w:sz w:val="17"/>
                <w:szCs w:val="17"/>
                <w:color w:val="auto"/>
              </w:rPr>
            </w:pPr>
          </w:p>
        </w:tc>
      </w:tr>
      <w:tr>
        <w:trPr>
          <w:trHeight w:val="249"/>
        </w:trPr>
        <w:tc>
          <w:tcPr>
            <w:tcW w:w="2520" w:type="dxa"/>
            <w:vAlign w:val="bottom"/>
          </w:tcPr>
          <w:p>
            <w:pPr>
              <w:spacing w:after="0"/>
              <w:rPr>
                <w:sz w:val="20"/>
                <w:szCs w:val="20"/>
                <w:color w:val="auto"/>
              </w:rPr>
            </w:pPr>
            <w:r>
              <w:rPr>
                <w:rFonts w:ascii="Arial" w:cs="Arial" w:eastAsia="Arial" w:hAnsi="Arial"/>
                <w:sz w:val="18"/>
                <w:szCs w:val="18"/>
                <w:color w:val="auto"/>
              </w:rPr>
              <w:t>Talat Imran</w:t>
            </w:r>
          </w:p>
        </w:tc>
        <w:tc>
          <w:tcPr>
            <w:tcW w:w="1080" w:type="dxa"/>
            <w:vAlign w:val="bottom"/>
          </w:tcPr>
          <w:p>
            <w:pPr>
              <w:spacing w:after="0"/>
              <w:rPr>
                <w:sz w:val="21"/>
                <w:szCs w:val="21"/>
                <w:color w:val="auto"/>
              </w:rPr>
            </w:pPr>
          </w:p>
        </w:tc>
        <w:tc>
          <w:tcPr>
            <w:tcW w:w="3640" w:type="dxa"/>
            <w:vAlign w:val="bottom"/>
            <w:gridSpan w:val="2"/>
          </w:tcPr>
          <w:p>
            <w:pPr>
              <w:ind w:left="720"/>
              <w:spacing w:after="0"/>
              <w:rPr>
                <w:sz w:val="20"/>
                <w:szCs w:val="20"/>
                <w:color w:val="auto"/>
              </w:rPr>
            </w:pPr>
            <w:r>
              <w:rPr>
                <w:rFonts w:ascii="Arial" w:cs="Arial" w:eastAsia="Arial" w:hAnsi="Arial"/>
                <w:sz w:val="18"/>
                <w:szCs w:val="18"/>
                <w:color w:val="auto"/>
              </w:rPr>
              <w:t>Svai Sanford</w:t>
            </w:r>
          </w:p>
        </w:tc>
      </w:tr>
      <w:tr>
        <w:trPr>
          <w:trHeight w:val="229"/>
        </w:trPr>
        <w:tc>
          <w:tcPr>
            <w:tcW w:w="25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80" w:type="dxa"/>
            <w:vAlign w:val="bottom"/>
          </w:tcPr>
          <w:p>
            <w:pPr>
              <w:spacing w:after="0"/>
              <w:rPr>
                <w:sz w:val="19"/>
                <w:szCs w:val="19"/>
                <w:color w:val="auto"/>
              </w:rPr>
            </w:pPr>
          </w:p>
        </w:tc>
        <w:tc>
          <w:tcPr>
            <w:tcW w:w="3640" w:type="dxa"/>
            <w:vAlign w:val="bottom"/>
            <w:gridSpan w:val="2"/>
          </w:tcPr>
          <w:p>
            <w:pPr>
              <w:ind w:left="360"/>
              <w:spacing w:after="0"/>
              <w:rPr>
                <w:sz w:val="20"/>
                <w:szCs w:val="20"/>
                <w:color w:val="auto"/>
              </w:rPr>
            </w:pPr>
            <w:r>
              <w:rPr>
                <w:rFonts w:ascii="Arial" w:cs="Arial" w:eastAsia="Arial" w:hAnsi="Arial"/>
                <w:sz w:val="18"/>
                <w:szCs w:val="18"/>
                <w:color w:val="auto"/>
              </w:rPr>
              <w:t>Chief Financial Officer</w:t>
            </w:r>
          </w:p>
        </w:tc>
      </w:tr>
      <w:tr>
        <w:trPr>
          <w:trHeight w:val="230"/>
        </w:trPr>
        <w:tc>
          <w:tcPr>
            <w:tcW w:w="2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1080" w:type="dxa"/>
            <w:vAlign w:val="bottom"/>
          </w:tcPr>
          <w:p>
            <w:pPr>
              <w:spacing w:after="0"/>
              <w:rPr>
                <w:sz w:val="20"/>
                <w:szCs w:val="20"/>
                <w:color w:val="auto"/>
              </w:rPr>
            </w:pPr>
          </w:p>
        </w:tc>
        <w:tc>
          <w:tcPr>
            <w:tcW w:w="3640" w:type="dxa"/>
            <w:vAlign w:val="bottom"/>
            <w:gridSpan w:val="2"/>
          </w:tcPr>
          <w:p>
            <w:pPr>
              <w:ind w:left="360"/>
              <w:spacing w:after="0"/>
              <w:rPr>
                <w:sz w:val="20"/>
                <w:szCs w:val="20"/>
                <w:color w:val="auto"/>
              </w:rPr>
            </w:pPr>
            <w:r>
              <w:rPr>
                <w:rFonts w:ascii="Arial" w:cs="Arial" w:eastAsia="Arial" w:hAnsi="Arial"/>
                <w:sz w:val="18"/>
                <w:szCs w:val="18"/>
                <w:i w:val="1"/>
                <w:iCs w:val="1"/>
                <w:color w:val="auto"/>
                <w:w w:val="94"/>
              </w:rPr>
              <w:t>(Principal Financial and Accounting Officer)</w:t>
            </w:r>
          </w:p>
        </w:tc>
      </w:tr>
    </w:tbl>
    <w:p>
      <w:pPr>
        <w:spacing w:after="0" w:line="21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290" Type="http://schemas.openxmlformats.org/officeDocument/2006/relationships/hyperlink" Target="https://www.sec.gov/Archives/edgar/data/1856725/000119312521223596/d151628dex31.htm" TargetMode="External"/><Relationship Id="rId291" Type="http://schemas.openxmlformats.org/officeDocument/2006/relationships/hyperlink" Target="https://www.sec.gov/Archives/edgar/data/1856725/000119312521211922/d151628dex34.htm" TargetMode="External"/><Relationship Id="rId292" Type="http://schemas.openxmlformats.org/officeDocument/2006/relationships/hyperlink" Target="https://www.sec.gov/Archives/edgar/data/1856725/000119312521223596/d151628dex41.htm" TargetMode="External"/><Relationship Id="rId293" Type="http://schemas.openxmlformats.org/officeDocument/2006/relationships/hyperlink" Target="https://www.sec.gov/Archives/edgar/data/1856725/000119312521217338/d151628dex101.htm" TargetMode="External"/><Relationship Id="rId294" Type="http://schemas.openxmlformats.org/officeDocument/2006/relationships/hyperlink" Target="https://www.sec.gov/Archives/edgar/data/1856725/000119312521217338/d151628dex102.htm" TargetMode="External"/><Relationship Id="rId295" Type="http://schemas.openxmlformats.org/officeDocument/2006/relationships/hyperlink" Target="https://www.sec.gov/Archives/edgar/data/1856725/000119312521217338/d151628dex103.htm" TargetMode="External"/><Relationship Id="rId296" Type="http://schemas.openxmlformats.org/officeDocument/2006/relationships/hyperlink" Target="https://www.sec.gov/Archives/edgar/data/1856725/000119312521217338/d151628dex104.htm" TargetMode="External"/><Relationship Id="rId297" Type="http://schemas.openxmlformats.org/officeDocument/2006/relationships/hyperlink" Target="https://www.sec.gov/Archives/edgar/data/1856725/000119312521211922/d151628dex104.htm" TargetMode="External"/><Relationship Id="rId298" Type="http://schemas.openxmlformats.org/officeDocument/2006/relationships/hyperlink" Target="https://www.sec.gov/Archives/edgar/data/1856725/000119312521223596/d151628dex107.htm" TargetMode="External"/><Relationship Id="rId299" Type="http://schemas.openxmlformats.org/officeDocument/2006/relationships/hyperlink" Target="https://www.sec.gov/Archives/edgar/data/1856725/000119312521223596/d151628dex108.htm" TargetMode="External"/><Relationship Id="rId300" Type="http://schemas.openxmlformats.org/officeDocument/2006/relationships/hyperlink" Target="https://www.sec.gov/Archives/edgar/data/1856725/000119312521211922/d151628dex108.htm" TargetMode="External"/><Relationship Id="rId301" Type="http://schemas.openxmlformats.org/officeDocument/2006/relationships/hyperlink" Target="https://www.sec.gov/Archives/edgar/data/1856725/000119312521211922/d151628dex109.htm" TargetMode="External"/><Relationship Id="rId302" Type="http://schemas.openxmlformats.org/officeDocument/2006/relationships/hyperlink" Target="https://www.sec.gov/Archives/edgar/data/1856725/000119312521217338/d151628dex1011.htm" TargetMode="External"/><Relationship Id="rId303" Type="http://schemas.openxmlformats.org/officeDocument/2006/relationships/hyperlink" Target="https://www.sec.gov/Archives/edgar/data/1856725/000119312521211922/d151628dex1017.htm" TargetMode="External"/><Relationship Id="rId304" Type="http://schemas.openxmlformats.org/officeDocument/2006/relationships/hyperlink" Target="https://www.sec.gov/Archives/edgar/data/1856725/000119312521211922/d151628dex1018.htm" TargetMode="External"/><Relationship Id="rId305" Type="http://schemas.openxmlformats.org/officeDocument/2006/relationships/hyperlink" Target="https://www.sec.gov/Archives/edgar/data/1856725/000119312521211922/d151628dex1019.htm" TargetMode="External"/><Relationship Id="rId306" Type="http://schemas.openxmlformats.org/officeDocument/2006/relationships/hyperlink" Target="https://www.sec.gov/Archives/edgar/data/1856725/000119312521211922/d151628dex1023.htm" TargetMode="External"/><Relationship Id="rId307" Type="http://schemas.openxmlformats.org/officeDocument/2006/relationships/hyperlink" Target="https://www.sec.gov/Archives/edgar/data/1856725/000119312521223596/d151628dex1026.htm" TargetMode="External"/><Relationship Id="rId308" Type="http://schemas.openxmlformats.org/officeDocument/2006/relationships/hyperlink" Target="https://www.sec.gov/Archives/edgar/data/1856725/000119312521211922/d151628dex1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2021-09-13T15:38:58Z</dcterms:created>
  <dcterms:modified xsi:type="dcterms:W3CDTF">2021-09-13T15:38:58Z</dcterms:modified>
</cp:coreProperties>
</file>