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572d8k.htm"/>
      <w:bookmarkStart w:id="1" w:name="ksd1775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RANI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001-40672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86-3114789</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2051 Ringwood Avenue</w:t>
            </w:r>
          </w:p>
          <w:p>
            <w:pPr>
              <w:pStyle w:val="TableContents"/>
              <w:bidi w:val="0"/>
              <w:spacing w:before="0" w:after="20"/>
              <w:jc w:val="center"/>
              <w:rPr>
                <w:rFonts w:ascii="Times New Roman" w:hAnsi="Times New Roman"/>
                <w:b/>
                <w:sz w:val="20"/>
              </w:rPr>
            </w:pPr>
            <w:r>
              <w:rPr>
                <w:rFonts w:ascii="Times New Roman" w:hAnsi="Times New Roman"/>
                <w:b/>
                <w:sz w:val="20"/>
              </w:rPr>
              <w:t>San Jose,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95131</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(408) 457-3700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160"/>
        <w:gridCol w:w="60"/>
        <w:gridCol w:w="740"/>
        <w:gridCol w:w="60"/>
        <w:gridCol w:w="305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60" w:type="dxa"/>
            <w:tcBorders/>
            <w:vAlign w:val="center"/>
          </w:tcPr>
          <w:p>
            <w:pPr>
              <w:pStyle w:val="TableContents"/>
              <w:bidi w:val="0"/>
              <w:spacing w:before="0" w:after="283"/>
              <w:jc w:val="center"/>
              <w:rPr/>
            </w:pPr>
            <w:r>
              <w:rPr/>
              <w:t>Class A 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RANI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Director Appointment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 2026, Michelle Gilson was appointed to the Board, effective immediately, until the earlier of the Company’s next annual meeting of stockholders, the appointment and qualification of her successor, or her death, resignation, or removal. In addition, Ms. Gilson was appointed as chair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Michelle Gilson, age 34, has served as the Chief Financial Officer of Arcellx, Inc., a biotechnology company, from May 2022 through its acquisition by Gilead Sciences, Inc. in April 2026. From 2018 to 2022, Ms. Gilson served as a Senior Biotechnology Equity Research Analyst at Canaccord Genuity Group Inc., a financial services firm, most recently as a Managing Director. She served as a Senior Associate at Jefferies LLC, an investment banking firm, from 2017 to 2018, an Associate at Nomura Group, a financial securities service firm from 2016 to 2017, an Associate Director at Oppenheimer &amp; Co., Inc., an investment bank and financial services company from 2015 to 2016, and an Analyst at Goldman Sachs, an investment bank and financial services company, from 2014 to 2015, covering healthcare and biotechnology companies. Ms. Gilson holds a B.S. in Business Administration from the University of Southern California. </w:t>
      </w:r>
    </w:p>
    <w:p>
      <w:pPr>
        <w:pStyle w:val="TextBody"/>
        <w:bidi w:val="0"/>
        <w:spacing w:before="240" w:after="0"/>
        <w:jc w:val="left"/>
        <w:rPr>
          <w:rFonts w:ascii="Times New Roman" w:hAnsi="Times New Roman"/>
          <w:sz w:val="20"/>
        </w:rPr>
      </w:pPr>
      <w:r>
        <w:rPr>
          <w:rFonts w:ascii="Times New Roman" w:hAnsi="Times New Roman"/>
          <w:sz w:val="20"/>
        </w:rPr>
        <w:t xml:space="preserve">Ms. Gilson will receive compensation as a non-employee director in accordance with the Company’s Non-Employee Director Compensation Policy, which is filed as Exhibit 10.1 to the Company’s Quarterly Report on Form 10-Q filed with the U.S. Securities and Exchange Commission (the “SEC”) on May 15, 2026,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the Company and Ms. Gilson. In addition, there is no family relationship between each of Ms. Gilson and any of the Company’s other directors or executive officers, and she has no direct or indirect material interest in any transaction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enter into its standard form of indemnification agreement (the “Indemnity Agreement”) with Ms. Gilson. The Indemnity Agreement provides, among other things, that the Company will indemnify Ms. Gilson, under the circumstances and to the extent provided therein, for certain expenses which she may be required to pay in connection with certain claims to which she may be made a party by reason of her service to the Company as a director and otherwise to the fullest extent under applicable law. The foregoing is only a brief description of the terms of the indemnification arrangement with Ms. Gilson, does not purport to be complete and is qualified in its entirety by reference to the form of Indemnification Agreement, which is filed as Exhibit 10.4 to the Company’s Registration Statement on Form S-1, as amended, filed with the SEC on July 9, 2021.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26" w:type="dxa"/>
        <w:jc w:val="left"/>
        <w:tblInd w:w="0" w:type="dxa"/>
        <w:tblLayout w:type="fixed"/>
        <w:tblCellMar>
          <w:top w:w="0" w:type="dxa"/>
          <w:left w:w="0" w:type="dxa"/>
          <w:bottom w:w="0" w:type="dxa"/>
          <w:right w:w="0" w:type="dxa"/>
        </w:tblCellMar>
      </w:tblPr>
      <w:tblGrid>
        <w:gridCol w:w="651"/>
        <w:gridCol w:w="1027"/>
        <w:gridCol w:w="395"/>
        <w:gridCol w:w="60"/>
        <w:gridCol w:w="751"/>
        <w:gridCol w:w="69"/>
        <w:gridCol w:w="2573"/>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283"/>
              <w:jc w:val="left"/>
              <w:rPr/>
            </w:pPr>
            <w:r>
              <w:rPr/>
              <w:t> </w:t>
            </w:r>
          </w:p>
        </w:tc>
        <w:tc>
          <w:tcPr>
            <w:tcW w:w="3393" w:type="dxa"/>
            <w:gridSpan w:val="3"/>
            <w:tcBorders/>
            <w:vAlign w:val="center"/>
          </w:tcPr>
          <w:p>
            <w:pPr>
              <w:pStyle w:val="TableContents"/>
              <w:bidi w:val="0"/>
              <w:spacing w:before="0" w:after="283"/>
              <w:jc w:val="left"/>
              <w:rPr>
                <w:b/>
              </w:rPr>
            </w:pPr>
            <w:r>
              <w:rPr>
                <w:b/>
              </w:rPr>
              <w:t>Rani Therapeutics Holdings,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2642"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257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Maestas</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2573" w:type="dxa"/>
            <w:tcBorders/>
            <w:vAlign w:val="center"/>
          </w:tcPr>
          <w:p>
            <w:pPr>
              <w:pStyle w:val="TableContents"/>
              <w:bidi w:val="0"/>
              <w:spacing w:before="0" w:after="283"/>
              <w:jc w:val="left"/>
              <w:rPr/>
            </w:pPr>
            <w:r>
              <w:rPr/>
              <w:t>Nicholas Maestas</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2573"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818</Words>
  <Characters>4449</Characters>
  <CharactersWithSpaces>5258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