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42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4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796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IMRAN MIR A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Rani Therapeutics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RANI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796" w:gutter="0" w:footer="0" w:header="0"/>
          <w:type w:val="continuous"/>
        </w:sectPr>
      </w:pP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RANI THERAPEUTICS LLC 2051 RINGWOOD AVE.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 JOSE  CA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95131</w:t>
            </w:r>
          </w:p>
        </w:tc>
      </w:tr>
    </w:tbl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07/29/2021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796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829,435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See footnote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4"/>
                <w:vertAlign w:val="superscript"/>
              </w:rPr>
              <w:t>(1)(2)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B 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24,954,843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See footnote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4"/>
                <w:vertAlign w:val="superscript"/>
              </w:rPr>
              <w:t>(1)(3)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76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 (Instr.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Class A Common LLC Units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1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24,954,843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See footnote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9"/>
                <w:vertAlign w:val="superscript"/>
              </w:rPr>
              <w:t>(1)(3)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is being filed to correctly reflect the shares held indirectly.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400" w:firstLine="5"/>
        <w:spacing w:after="0" w:line="253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Represents 378,533 shares of Class A Common Stock of the Issuer ("Class A Shares") held by Biologix Partners, LP and 450,902 Class A Shares held by VH Rani, LP. The Reporting Person disclaims beneficial ownership of these securities except to the extent of his pecuniary interest therein.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80" w:firstLine="5"/>
        <w:spacing w:after="0" w:line="241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Represents 22,389,982 shares of Class B Common Stock of the Issuer ("Class B Shares") held by InCube Labs, L.L.C., 2,492,441 Class B Shares held by InCube Ventures II, L.P. and 72,420 Class B Shares held by Rani Investment Corp. The Reporting Person disclaims beneficial ownership of these securities except to the extent of his pecuniary interest therein.</w:t>
      </w:r>
    </w:p>
    <w:p>
      <w:pPr>
        <w:spacing w:after="0" w:line="35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140" w:firstLine="5"/>
        <w:spacing w:after="0" w:line="260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Common LLC Units of Rani Therapeutics, LLC, a direct subsidiary of the Issuer. The Common LLC Units are redeemable at the election of the Reporting Person at any time for newly-issued Class A Shares on a one-for-one basis or, if mutually agreed with the Issuer, a cash payment equal to the volume weighted average market price of one Class A Share for each Common LLC Unit redeemed (subject to customary adjustments, including for stock splits, stock dividends and reclassifications). However, the Issuer may elect to effect a direct exchange of such Class A Shares (or such cash, if mutually agreed) for such Common LLC Units.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Josh Seidenfeld,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 for Mir</w:t>
            </w:r>
          </w:p>
        </w:tc>
        <w:tc>
          <w:tcPr>
            <w:tcW w:w="9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Imran</w:t>
            </w: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79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031686" TargetMode="External"/><Relationship Id="rId11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2021-08-02T18:33:50Z</dcterms:created>
  <dcterms:modified xsi:type="dcterms:W3CDTF">2021-08-02T18:33:50Z</dcterms:modified>
</cp:coreProperties>
</file>