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IMRAN MIR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Rani Therapeutics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RANI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08/17/2022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2051 RINGWOOD AVE.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08/17/2022</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71,042</w:t>
            </w:r>
            <w:r>
              <w:rPr>
                <w:rFonts w:ascii="Times New Roman" w:cs="Times New Roman" w:eastAsia="Times New Roman" w:hAnsi="Times New Roman"/>
                <w:sz w:val="22"/>
                <w:szCs w:val="22"/>
                <w:color w:val="008000"/>
                <w:vertAlign w:val="superscript"/>
              </w:rPr>
              <w:t>(1)</w:t>
            </w:r>
          </w:p>
        </w:tc>
        <w:tc>
          <w:tcPr>
            <w:tcW w:w="100" w:type="dxa"/>
            <w:vAlign w:val="bottom"/>
          </w:tcPr>
          <w:p>
            <w:pPr>
              <w:spacing w:after="0"/>
              <w:rPr>
                <w:sz w:val="21"/>
                <w:szCs w:val="21"/>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10.51</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1"/>
                <w:szCs w:val="21"/>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75,655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08/17/2022</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9,210</w:t>
            </w:r>
            <w:r>
              <w:rPr>
                <w:rFonts w:ascii="Times New Roman" w:cs="Times New Roman" w:eastAsia="Times New Roman" w:hAnsi="Times New Roman"/>
                <w:sz w:val="22"/>
                <w:szCs w:val="22"/>
                <w:color w:val="008000"/>
                <w:vertAlign w:val="superscript"/>
              </w:rPr>
              <w:t>(1)</w:t>
            </w:r>
          </w:p>
        </w:tc>
        <w:tc>
          <w:tcPr>
            <w:tcW w:w="100" w:type="dxa"/>
            <w:vAlign w:val="bottom"/>
          </w:tcPr>
          <w:p>
            <w:pPr>
              <w:spacing w:after="0"/>
              <w:rPr>
                <w:sz w:val="21"/>
                <w:szCs w:val="21"/>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1"/>
                <w:szCs w:val="21"/>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66,445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Rani Investment Corp. Represents Class A Shares held by Rani Investment Corp.</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$10.39 to $11.37,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and Rani Investment Corp. InCube Labs, L.L.C. is wholly-owned by the Reporting Person and his family. Represents 52,781 shares of Class A Common Stock of the Issuer held by InCube Ventures II, L.P., 13,664 shares of Class A Common Stock of the Issuer held by InCube Labs, L.L.C., and 9,210 shares of Class A Common Stock of the Issuer held by Rani Investment Corp. The Reporting Person disclaims beneficial ownership of these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$11.39 to $11.975, inclusive.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InCube Labs, L.L.C. is wholly-owned by the Reporting Person and his family. Represents 52,781 shares of Class A Common Stock of the Issuer held by InCube Ventures II, L.P. and 13,664 shares of Class A Common Stock of the Issuer held by InCube Labs, L.L.C. The Reporting Person disclaims beneficial ownership of these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Seidenfeld,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08/19/2022</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Mir A. Imran</w:t>
            </w:r>
          </w:p>
        </w:tc>
        <w:tc>
          <w:tcPr>
            <w:tcW w:w="4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31686"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2022-08-19T19:11:31Z</dcterms:created>
  <dcterms:modified xsi:type="dcterms:W3CDTF">2022-08-19T19:11:31Z</dcterms:modified>
</cp:coreProperties>
</file>