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July 22, 2024, Rani Therapeutics Holdings, Inc., or Rani, entered into a securities purchase agreement, or the Purchase Agreement, with an institutional investor, or the Purchaser, relating to the issuance and sale, or the Offering, of:</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2,800,000 shares of our Class A common stock, par value $0.0001 per share, or Class A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446,753 shares of Class A common stock;</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common warrants, which will accompany the Class A common stock and pre-funded warrants, to purchase an aggregate of 3,246,753 shares of Class A common stock; and</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common warrants, which will accompany the Class A common stock and pre-funded warrants, to purchase an aggregate of 3,246,753 shares of Class A common stock.</w:t>
      </w:r>
    </w:p>
    <w:p>
      <w:pPr>
        <w:spacing w:after="0" w:line="16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pre-funded warrants are exercisable immediately following the closing date of the Offering and have an unlimited term and an exercise price of $0.0001 per share. The Series A common warrants will be exercisable following the six-month anniversary of the closing date of the Offering, will expire 18 months from the date of issuance and will have an exercise price of $3.08 per share. The Series B common warrants will be exercisable following the six-month anniversary of the closing date of the Offering, will expire five and a half years from the date of issuance and will have an exercise price of $3.08 per share. The combined offering price is $3.08 per share of Class A common stock and accompanying Series A common warrant and accompanying Series B common warrant, or in the case of pre-funded warrants, $3.0799 per pre-funded warrant and accompanying Series A common warrant and accompanying Series B common warrant. The aggregate gross proceeds to Rani from the Offering are expected to be approximately $10.0 million, before deducting placement agent fees and other estimated Offering expenses payable by Rani, and excluding the proceeds, if any, from the exercise of the pre-funded warrants, Series A common warrants and Series B common warrants issued in the Offering. The closing of the Offering is expected to occur on or about July 23, 2024, subject to the satisfaction of customary closing conditions.</w:t>
      </w:r>
    </w:p>
    <w:p>
      <w:pPr>
        <w:spacing w:after="0" w:line="1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Series A common warrants and Series B common warrants include certain rights upon “fundamental transactions” as described in the Series A common warrants and Series B common warrants. In the Series B common warrants, these rights upon “fundamental transactions” include the right of the holders thereof to receive from Rani or a successor entity the same type or form of consideration (and in the same proportion) that is being offered and paid to the holders of Class A common stock in such fundamental transaction in the amount of the Black Scholes value (as described in such Series B common warrants) of the unexercised portion of the applicable Series B common warrants on the date of the consummation of such fundamental transaction.</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Rani, customary conditions to closing, and indemnification obligations of Rani and the Purchaser. The representations, warranties and covenants contained in the Purchase Agreement were made only for purposes of the Purchase Agreement and as of a specific date, were solely for the benefit of the parties to the Purchase Agreement, and may be subject to limitations agreed upon by the contracting parties.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until 60 days following the closing of the Offering, the Company has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issued in the Offering. The Company has further agreed not to enter into an agreement involving any new variable rate transactions until 6 months following the closing of the Offering, subject to certain exceptions. In addition, the Company’s directors and officers have entered into lock-up agreements with the Company pursuant to which each of them has agreed not to, for a period of 60 days from the closing of the Offering, offer, sell, transfer or otherwise dispose of the Company’s securities, subject to certain exceptions.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Rani engaged Maxim Group LLC to act as placement agent in the Offering and entered into a placement agency agreement dated July 22, 2024, pursuant to which Rani has agreed to pay the placement agent a cash fee equal to 6.0% of the aggregate gross proceeds generated from the Offering and to reimburse certain expenses of the placement agent in an amount not to exceed $50,000.</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Rani’s registration statement on Form S-3 (No. 333-266444), as previously declared effective by the Securities and Exchange Commission on August 10, 2022, and a related base prospectus and prospectus supplement.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copy of the form of Series A common warrant is filed as Exhibit 4.1 hereto, a copy of the form of Series B common warrant is filed as Exhibit 4.2 hereto, a copy of the form of pre-funded warrant is filed as Exhibit 4.3 hereto and the form of Purchase Agreement is filed as Exhibit 10.1 hereto. The foregoing descriptions of the terms of the Purchase Agreement, the pre-funded warrants, the Series A common warrants and the Series B common warrants are qualified in their entirety by reference to such exhibits. A copy of the opinion of Cooley LLP relating to the legality of the issuance and sale of the securities in the Offering is attached as Exhibit 5.1 hereto.</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258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Form of Series A Common Warrant</w:t>
            </w:r>
          </w:p>
        </w:tc>
        <w:tc>
          <w:tcPr>
            <w:tcW w:w="7560" w:type="dxa"/>
            <w:vAlign w:val="bottom"/>
            <w:tcBorders>
              <w:top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Series B Common Warrant</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25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7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20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8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4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 dated July 22, 2024.</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Cooley LLP (contained in Exhibit 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A COMMON STOCK PURCHASE WARRANT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Date: July 23, 2024</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SERIES A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January 23, 2025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January 23, 2026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July 22, 2024,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left="44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left="440" w:right="180" w:firstLine="419"/>
        <w:spacing w:after="0" w:line="261" w:lineRule="auto"/>
        <w:tabs>
          <w:tab w:leader="none" w:pos="10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$3.08,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may only be paid in cash, unless at the time of exercise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0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and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w:t>
            </w: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applicable: (i) the VWAP (as defined below) on the Trading Day immediately preceding the date of the applicable Notice of</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Exercise if such Notice of Exercise is (1) both executed and delivered pursuant to Section 2(a) hereof on a day that is not a Trading</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Day or (2) both executed and delivered pursuant to Section 2(a) hereof on a Trading Day prior to the opening of “regular trading</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hours” (as defined in Rule 600(b) of Regulation NMS promulgated under the federal securities laws) on such Trading Day, (ii) the Bid</w:t>
            </w:r>
          </w:p>
        </w:tc>
      </w:tr>
      <w:tr>
        <w:trPr>
          <w:trHeight w:val="194"/>
        </w:trPr>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76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Price of the Common Stock on the principal Trading Market as reported by Bloomberg L.P. (“Bloomberg”) as of the time of the</w:t>
            </w: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Holder’s execution of the applicable Notice of Exercise if such Notice of Exercise is executed during “regular trading hours” on a</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Trading Day and is delivered within two (2) hours thereafter (including until two (2) hours after the close of “regular trading hours”</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on a Trading Day) pursuant to Section 2(a) hereof or (iii) the VWAP on the date of the applicable Notice of Exercise if the date of</w:t>
            </w: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such Notice of Exercise is a Trading Day and such Notice of Exercise is both executed and delivered pursuant to Section 2(a) hereof</w:t>
            </w:r>
          </w:p>
        </w:tc>
      </w:tr>
      <w:tr>
        <w:trPr>
          <w:trHeight w:val="234"/>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after the close of “regular trading hours” on such Trading Day;</w:t>
            </w:r>
          </w:p>
        </w:tc>
      </w:tr>
      <w:tr>
        <w:trPr>
          <w:trHeight w:val="324"/>
        </w:trPr>
        <w:tc>
          <w:tcPr>
            <w:tcW w:w="58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 =</w:t>
            </w: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Exercise Price of this Warrant, as adjusted hereunder; and</w:t>
            </w:r>
          </w:p>
        </w:tc>
      </w:tr>
      <w:tr>
        <w:trPr>
          <w:trHeight w:val="306"/>
        </w:trPr>
        <w:tc>
          <w:tcPr>
            <w:tcW w:w="58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 =</w:t>
            </w: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w:t>
            </w:r>
          </w:p>
        </w:tc>
      </w:tr>
      <w:tr>
        <w:trPr>
          <w:trHeight w:val="234"/>
        </w:trPr>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such exercise were by means of a cash exercise rather than a cashless exercise.</w:t>
            </w:r>
          </w:p>
        </w:tc>
      </w:tr>
    </w:tbl>
    <w:p>
      <w:pPr>
        <w:sectPr>
          <w:pgSz w:w="11900" w:h="16838" w:orient="portrait"/>
          <w:cols w:equalWidth="0" w:num="1">
            <w:col w:w="11000"/>
          </w:cols>
          <w:pgMar w:left="440" w:top="270" w:right="459" w:bottom="1440" w:gutter="0" w:footer="0" w:header="0"/>
        </w:sectPr>
      </w:pPr>
    </w:p>
    <w:bookmarkStart w:id="6" w:name="page7"/>
    <w:bookmarkEnd w:id="6"/>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in the event this Section 2(c) is applicable this Warrant shall be automatically exercised via cashless exercise pursuant to this Section 2(c).</w:t>
      </w:r>
    </w:p>
    <w:p>
      <w:pPr>
        <w:sectPr>
          <w:pgSz w:w="11900" w:h="16838" w:orient="portrait"/>
          <w:cols w:equalWidth="0" w:num="1">
            <w:col w:w="10560"/>
          </w:cols>
          <w:pgMar w:left="880" w:top="270" w:right="459" w:bottom="1440" w:gutter="0" w:footer="0" w:header="0"/>
        </w:sectPr>
      </w:pPr>
    </w:p>
    <w:bookmarkStart w:id="7" w:name="page8"/>
    <w:bookmarkEnd w:id="7"/>
    <w:p>
      <w:pPr>
        <w:ind w:left="201" w:hanging="201"/>
        <w:spacing w:after="0"/>
        <w:tabs>
          <w:tab w:leader="none" w:pos="2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1" w:hanging="149"/>
        <w:spacing w:after="0"/>
        <w:tabs>
          <w:tab w:leader="none" w:pos="110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561"/>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0" w:lineRule="exact"/>
        <w:rPr>
          <w:rFonts w:ascii="Times New Roman" w:cs="Times New Roman" w:eastAsia="Times New Roman" w:hAnsi="Times New Roman"/>
          <w:sz w:val="18"/>
          <w:szCs w:val="18"/>
          <w:color w:val="auto"/>
        </w:rPr>
      </w:pPr>
    </w:p>
    <w:p>
      <w:pPr>
        <w:ind w:left="561" w:firstLine="391"/>
        <w:spacing w:after="0" w:line="261" w:lineRule="auto"/>
        <w:tabs>
          <w:tab w:leader="none" w:pos="11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561" w:firstLine="391"/>
        <w:spacing w:after="0" w:line="282" w:lineRule="auto"/>
        <w:tabs>
          <w:tab w:leader="none" w:pos="11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ectPr>
          <w:pgSz w:w="11900" w:h="16838" w:orient="portrait"/>
          <w:cols w:equalWidth="0" w:num="1">
            <w:col w:w="10141"/>
          </w:cols>
          <w:pgMar w:left="1299" w:top="270" w:right="459" w:bottom="1440" w:gutter="0" w:footer="0" w:header="0"/>
        </w:sectPr>
      </w:pPr>
    </w:p>
    <w:bookmarkStart w:id="8" w:name="page9"/>
    <w:bookmarkEnd w:id="8"/>
    <w:p>
      <w:pPr>
        <w:ind w:left="420" w:right="40" w:firstLine="391"/>
        <w:spacing w:after="0" w:line="252" w:lineRule="auto"/>
        <w:tabs>
          <w:tab w:leader="none" w:pos="10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1" w:lineRule="exact"/>
        <w:rPr>
          <w:rFonts w:ascii="Times New Roman" w:cs="Times New Roman" w:eastAsia="Times New Roman" w:hAnsi="Times New Roman"/>
          <w:sz w:val="18"/>
          <w:szCs w:val="18"/>
          <w:color w:val="auto"/>
        </w:rPr>
      </w:pPr>
    </w:p>
    <w:p>
      <w:pPr>
        <w:ind w:left="420" w:firstLine="391"/>
        <w:spacing w:after="0" w:line="261" w:lineRule="auto"/>
        <w:tabs>
          <w:tab w:leader="none" w:pos="9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000"/>
          </w:cols>
          <w:pgMar w:left="1440" w:top="270" w:right="459" w:bottom="1440" w:gutter="0" w:footer="0" w:header="0"/>
        </w:sectPr>
      </w:pPr>
    </w:p>
    <w:bookmarkStart w:id="9" w:name="page10"/>
    <w:bookmarkEnd w:id="9"/>
    <w:p>
      <w:pPr>
        <w:ind w:left="1424" w:right="20" w:firstLine="391"/>
        <w:spacing w:after="0" w:line="254" w:lineRule="auto"/>
        <w:tabs>
          <w:tab w:leader="none" w:pos="203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1424" w:right="200" w:firstLine="391"/>
        <w:spacing w:after="0" w:line="282" w:lineRule="auto"/>
        <w:tabs>
          <w:tab w:leader="none" w:pos="208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67"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w:t>
      </w:r>
    </w:p>
    <w:p>
      <w:pPr>
        <w:sectPr>
          <w:pgSz w:w="11900" w:h="16838" w:orient="portrait"/>
          <w:cols w:equalWidth="0" w:num="1">
            <w:col w:w="11004"/>
          </w:cols>
          <w:pgMar w:left="436" w:top="270" w:right="459" w:bottom="1440" w:gutter="0" w:footer="0" w:header="0"/>
        </w:sectPr>
      </w:pPr>
    </w:p>
    <w:bookmarkStart w:id="10" w:name="page11"/>
    <w:bookmarkEnd w:id="1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19"/>
        <w:spacing w:after="0" w:line="269" w:lineRule="auto"/>
        <w:tabs>
          <w:tab w:leader="none" w:pos="62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0580"/>
          </w:cols>
          <w:pgMar w:left="860" w:top="270" w:right="459" w:bottom="1440" w:gutter="0" w:footer="0" w:header="0"/>
        </w:sectPr>
      </w:pPr>
    </w:p>
    <w:bookmarkStart w:id="11" w:name="page12"/>
    <w:bookmarkEnd w:id="11"/>
    <w:p>
      <w:pPr>
        <w:ind w:left="-419" w:firstLine="419"/>
        <w:spacing w:after="0" w:line="253" w:lineRule="auto"/>
        <w:tabs>
          <w:tab w:leader="none" w:pos="1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left="-419" w:right="20" w:firstLine="419"/>
        <w:spacing w:after="0" w:line="252" w:lineRule="auto"/>
        <w:tabs>
          <w:tab w:leader="none" w:pos="1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121"/>
          </w:cols>
          <w:pgMar w:left="1299" w:top="270" w:right="479" w:bottom="1440" w:gutter="0" w:footer="0" w:header="0"/>
        </w:sectPr>
      </w:pPr>
    </w:p>
    <w:bookmarkStart w:id="12" w:name="page13"/>
    <w:bookmarkEnd w:id="12"/>
    <w:p>
      <w:pPr>
        <w:ind w:left="-419" w:firstLine="419"/>
        <w:spacing w:after="0" w:line="251" w:lineRule="auto"/>
        <w:tabs>
          <w:tab w:leader="none" w:pos="1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w:t>
      </w:r>
    </w:p>
    <w:p>
      <w:pPr>
        <w:sectPr>
          <w:pgSz w:w="11900" w:h="16838" w:orient="portrait"/>
          <w:cols w:equalWidth="0" w:num="1">
            <w:col w:w="10081"/>
          </w:cols>
          <w:pgMar w:left="1299" w:top="270" w:right="519" w:bottom="1440" w:gutter="0" w:footer="0" w:header="0"/>
        </w:sectPr>
      </w:pPr>
    </w:p>
    <w:bookmarkStart w:id="13" w:name="page14"/>
    <w:bookmarkEnd w:id="13"/>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81" w:lineRule="exact"/>
        <w:rPr>
          <w:sz w:val="20"/>
          <w:szCs w:val="20"/>
          <w:color w:val="auto"/>
        </w:rPr>
      </w:pPr>
    </w:p>
    <w:p>
      <w:pPr>
        <w:ind w:right="20" w:firstLine="419"/>
        <w:spacing w:after="0" w:line="266" w:lineRule="auto"/>
        <w:tabs>
          <w:tab w:leader="none" w:pos="6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20" w:firstLine="391"/>
        <w:spacing w:after="0" w:line="289" w:lineRule="auto"/>
        <w:tabs>
          <w:tab w:leader="none" w:pos="1503"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ectPr>
          <w:pgSz w:w="11900" w:h="16838" w:orient="portrait"/>
          <w:cols w:equalWidth="0" w:num="1">
            <w:col w:w="10520"/>
          </w:cols>
          <w:pgMar w:left="880" w:top="270" w:right="499" w:bottom="1440" w:gutter="0" w:footer="0" w:header="0"/>
        </w:sectPr>
      </w:pPr>
    </w:p>
    <w:bookmarkStart w:id="14" w:name="page15"/>
    <w:bookmarkEnd w:id="14"/>
    <w:p>
      <w:pPr>
        <w:ind w:left="561" w:firstLine="391"/>
        <w:spacing w:after="0" w:line="252" w:lineRule="auto"/>
        <w:tabs>
          <w:tab w:leader="none" w:pos="113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79" w:lineRule="exact"/>
        <w:rPr>
          <w:rFonts w:ascii="Times New Roman" w:cs="Times New Roman" w:eastAsia="Times New Roman" w:hAnsi="Times New Roman"/>
          <w:sz w:val="18"/>
          <w:szCs w:val="18"/>
          <w:color w:val="auto"/>
        </w:rPr>
      </w:pPr>
    </w:p>
    <w:p>
      <w:pPr>
        <w:jc w:val="both"/>
        <w:ind w:left="-419" w:right="60" w:firstLine="419"/>
        <w:spacing w:after="0" w:line="266" w:lineRule="auto"/>
        <w:tabs>
          <w:tab w:leader="none" w:pos="1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ectPr>
          <w:pgSz w:w="11900" w:h="16838" w:orient="portrait"/>
          <w:cols w:equalWidth="0" w:num="1">
            <w:col w:w="10141"/>
          </w:cols>
          <w:pgMar w:left="1299"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1" w:lineRule="auto"/>
        <w:tabs>
          <w:tab w:leader="none" w:pos="6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ectPr>
          <w:pgSz w:w="11900" w:h="16838" w:orient="portrait"/>
          <w:cols w:equalWidth="0" w:num="1">
            <w:col w:w="10540"/>
          </w:cols>
          <w:pgMar w:left="880" w:top="270" w:right="479" w:bottom="1440" w:gutter="0" w:footer="0" w:header="0"/>
        </w:sectPr>
      </w:pPr>
    </w:p>
    <w:bookmarkStart w:id="16" w:name="page17"/>
    <w:bookmarkEnd w:id="16"/>
    <w:p>
      <w:pPr>
        <w:ind w:left="-419" w:right="180" w:firstLine="419"/>
        <w:spacing w:after="0" w:line="258" w:lineRule="auto"/>
        <w:tabs>
          <w:tab w:leader="none" w:pos="19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left="-419" w:right="400" w:firstLine="419"/>
        <w:spacing w:after="0" w:line="312" w:lineRule="auto"/>
        <w:tabs>
          <w:tab w:leader="none" w:pos="18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201" w:hanging="201"/>
        <w:spacing w:after="0"/>
        <w:tabs>
          <w:tab w:leader="none" w:pos="2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1" w:right="6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ectPr>
          <w:pgSz w:w="11900" w:h="16838" w:orient="portrait"/>
          <w:cols w:equalWidth="0" w:num="1">
            <w:col w:w="10141"/>
          </w:cols>
          <w:pgMar w:left="1299" w:top="270" w:right="459" w:bottom="1440" w:gutter="0" w:footer="0" w:header="0"/>
        </w:sectPr>
      </w:pPr>
    </w:p>
    <w:bookmarkStart w:id="17" w:name="page18"/>
    <w:bookmarkEnd w:id="17"/>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419" w:right="480" w:firstLine="419"/>
        <w:spacing w:after="0" w:line="282" w:lineRule="auto"/>
        <w:tabs>
          <w:tab w:leader="none" w:pos="1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19" w:firstLine="419"/>
        <w:spacing w:after="0" w:line="256" w:lineRule="auto"/>
        <w:tabs>
          <w:tab w:leader="none" w:pos="1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left="-419" w:right="380" w:firstLine="419"/>
        <w:spacing w:after="0" w:line="282" w:lineRule="auto"/>
        <w:tabs>
          <w:tab w:leader="none" w:pos="1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left="-419" w:right="200" w:firstLine="419"/>
        <w:spacing w:after="0" w:line="261" w:lineRule="auto"/>
        <w:tabs>
          <w:tab w:leader="none" w:pos="1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left="-419" w:firstLine="419"/>
        <w:spacing w:after="0" w:line="261" w:lineRule="auto"/>
        <w:tabs>
          <w:tab w:leader="none" w:pos="1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ectPr>
          <w:pgSz w:w="11900" w:h="16838" w:orient="portrait"/>
          <w:cols w:equalWidth="0" w:num="1">
            <w:col w:w="10141"/>
          </w:cols>
          <w:pgMar w:left="1299" w:top="270" w:right="459" w:bottom="1440" w:gutter="0" w:footer="0" w:header="0"/>
        </w:sectPr>
      </w:pPr>
    </w:p>
    <w:bookmarkStart w:id="18" w:name="page19"/>
    <w:bookmarkEnd w:id="18"/>
    <w:p>
      <w:pPr>
        <w:jc w:val="both"/>
        <w:ind w:firstLine="419"/>
        <w:spacing w:after="0" w:line="261"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60"/>
          </w:cols>
          <w:pgMar w:left="880" w:top="270" w:right="459" w:bottom="1440" w:gutter="0" w:footer="0" w:header="0"/>
        </w:sectPr>
      </w:pPr>
    </w:p>
    <w:bookmarkStart w:id="19" w:name="page20"/>
    <w:bookmarkEnd w:id="1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20" w:name="page21"/>
    <w:bookmarkEnd w:id="2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RANI THERAPEUTICS HOLDINGS, INC.</w:t>
      </w:r>
    </w:p>
    <w:p>
      <w:pPr>
        <w:spacing w:after="0" w:line="117" w:lineRule="exact"/>
        <w:rPr>
          <w:sz w:val="20"/>
          <w:szCs w:val="20"/>
          <w:color w:val="auto"/>
        </w:rPr>
      </w:pPr>
    </w:p>
    <w:p>
      <w:pPr>
        <w:ind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ind w:left="1420" w:right="1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1828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17145</wp:posOffset>
            </wp:positionV>
            <wp:extent cx="5777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14605</wp:posOffset>
            </wp:positionV>
            <wp:extent cx="45002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5520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14605</wp:posOffset>
            </wp:positionV>
            <wp:extent cx="5589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ectPr>
          <w:pgSz w:w="11900" w:h="16838" w:orient="portrait"/>
          <w:cols w:equalWidth="0" w:num="1">
            <w:col w:w="10700"/>
          </w:cols>
          <w:pgMar w:left="440" w:top="266" w:right="7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3"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8"/>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9"/>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8"/>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r>
      <w:tr>
        <w:trPr>
          <w:trHeight w:val="319"/>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3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Holder’s Signature: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0" w:type="dxa"/>
            <w:vAlign w:val="bottom"/>
            <w:tcBorders>
              <w:left w:val="single" w:sz="8" w:color="auto"/>
            </w:tcBorders>
            <w:gridSpan w:val="2"/>
          </w:tcPr>
          <w:p>
            <w:pPr>
              <w:spacing w:after="0" w:line="20" w:lineRule="exact"/>
              <w:rPr>
                <w:sz w:val="1"/>
                <w:szCs w:val="1"/>
                <w:color w:val="auto"/>
              </w:rPr>
            </w:pPr>
          </w:p>
        </w:tc>
      </w:tr>
      <w:tr>
        <w:trPr>
          <w:trHeight w:val="30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Holder’s 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2" w:name="page23"/>
    <w:bookmarkEnd w:id="22"/>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SERIES B COMMON STOCK PURCHASE WARRANT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Date: July 23, 2024</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SERIES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January 23, 2025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January 23, 2030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Common Stock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July 22, 2024,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w:t>
      </w:r>
    </w:p>
    <w:p>
      <w:pPr>
        <w:sectPr>
          <w:pgSz w:w="11900" w:h="16838" w:orient="portrait"/>
          <w:cols w:equalWidth="0" w:num="1">
            <w:col w:w="11020"/>
          </w:cols>
          <w:pgMar w:left="440" w:top="117" w:right="439" w:bottom="1440" w:gutter="0" w:footer="0" w:header="0"/>
          <w:type w:val="continuous"/>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right="120" w:firstLine="419"/>
        <w:spacing w:after="0" w:line="261" w:lineRule="auto"/>
        <w:tabs>
          <w:tab w:leader="none" w:pos="6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$3.08,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may only be paid in cash, unless at the time of exercise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6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and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85" w:lineRule="exact"/>
        <w:rPr>
          <w:sz w:val="20"/>
          <w:szCs w:val="20"/>
          <w:color w:val="auto"/>
        </w:rPr>
      </w:pPr>
    </w:p>
    <w:p>
      <w:pPr>
        <w:ind w:left="980" w:hanging="431"/>
        <w:spacing w:after="0" w:line="253" w:lineRule="auto"/>
        <w:rPr>
          <w:sz w:val="20"/>
          <w:szCs w:val="20"/>
          <w:color w:val="auto"/>
        </w:rPr>
      </w:pPr>
      <w:r>
        <w:rPr>
          <w:rFonts w:ascii="Times New Roman" w:cs="Times New Roman" w:eastAsia="Times New Roman" w:hAnsi="Times New Roman"/>
          <w:sz w:val="18"/>
          <w:szCs w:val="18"/>
          <w:color w:val="auto"/>
        </w:rPr>
        <w:t>(A) = 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31" w:lineRule="exact"/>
        <w:rPr>
          <w:sz w:val="20"/>
          <w:szCs w:val="20"/>
          <w:color w:val="auto"/>
        </w:rPr>
      </w:pPr>
    </w:p>
    <w:p>
      <w:pPr>
        <w:ind w:left="980" w:right="18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that would be issuable upon exercise of this Warrant in accordance with the terms of this Warrant if such exercise were by means of a cash exercise rather than a cashless exercise.</w:t>
      </w:r>
    </w:p>
    <w:p>
      <w:pPr>
        <w:sectPr>
          <w:pgSz w:w="11900" w:h="16838" w:orient="portrait"/>
          <w:cols w:equalWidth="0" w:num="1">
            <w:col w:w="10500"/>
          </w:cols>
          <w:pgMar w:left="880" w:top="270" w:right="519" w:bottom="1440" w:gutter="0" w:footer="0" w:header="0"/>
        </w:sectPr>
      </w:pPr>
    </w:p>
    <w:bookmarkStart w:id="24" w:name="page25"/>
    <w:bookmarkEnd w:id="24"/>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6"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in the event this Section 2(c) is applicable this Warrant shall be automatically exercised via cashless exercise pursuant to this Section 2(c).</w:t>
      </w:r>
    </w:p>
    <w:p>
      <w:pPr>
        <w:sectPr>
          <w:pgSz w:w="11900" w:h="16838" w:orient="portrait"/>
          <w:cols w:equalWidth="0" w:num="1">
            <w:col w:w="10560"/>
          </w:cols>
          <w:pgMar w:left="880" w:top="270" w:right="459" w:bottom="1440" w:gutter="0" w:footer="0" w:header="0"/>
        </w:sectPr>
      </w:pPr>
    </w:p>
    <w:bookmarkStart w:id="25" w:name="page26"/>
    <w:bookmarkEnd w:id="25"/>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64" w:hanging="149"/>
        <w:spacing w:after="0"/>
        <w:tabs>
          <w:tab w:leader="none" w:pos="1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142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0" w:lineRule="exact"/>
        <w:rPr>
          <w:rFonts w:ascii="Times New Roman" w:cs="Times New Roman" w:eastAsia="Times New Roman" w:hAnsi="Times New Roman"/>
          <w:sz w:val="18"/>
          <w:szCs w:val="18"/>
          <w:color w:val="auto"/>
        </w:rPr>
      </w:pPr>
    </w:p>
    <w:p>
      <w:pPr>
        <w:ind w:left="1424" w:firstLine="391"/>
        <w:spacing w:after="0" w:line="261" w:lineRule="auto"/>
        <w:tabs>
          <w:tab w:leader="none" w:pos="19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1424" w:firstLine="391"/>
        <w:spacing w:after="0" w:line="282" w:lineRule="auto"/>
        <w:tabs>
          <w:tab w:leader="none" w:pos="20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ectPr>
          <w:pgSz w:w="11900" w:h="16838" w:orient="portrait"/>
          <w:cols w:equalWidth="0" w:num="1">
            <w:col w:w="11004"/>
          </w:cols>
          <w:pgMar w:left="436" w:top="270" w:right="459" w:bottom="1440" w:gutter="0" w:footer="0" w:header="0"/>
        </w:sectPr>
      </w:pPr>
    </w:p>
    <w:bookmarkStart w:id="26" w:name="page27"/>
    <w:bookmarkEnd w:id="26"/>
    <w:p>
      <w:pPr>
        <w:ind w:left="420" w:right="40" w:firstLine="391"/>
        <w:spacing w:after="0" w:line="252" w:lineRule="auto"/>
        <w:tabs>
          <w:tab w:leader="none" w:pos="10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1" w:lineRule="exact"/>
        <w:rPr>
          <w:rFonts w:ascii="Times New Roman" w:cs="Times New Roman" w:eastAsia="Times New Roman" w:hAnsi="Times New Roman"/>
          <w:sz w:val="18"/>
          <w:szCs w:val="18"/>
          <w:color w:val="auto"/>
        </w:rPr>
      </w:pPr>
    </w:p>
    <w:p>
      <w:pPr>
        <w:ind w:left="420" w:firstLine="391"/>
        <w:spacing w:after="0" w:line="261" w:lineRule="auto"/>
        <w:tabs>
          <w:tab w:leader="none" w:pos="9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000"/>
          </w:cols>
          <w:pgMar w:left="1440" w:top="270" w:right="459" w:bottom="1440" w:gutter="0" w:footer="0" w:header="0"/>
        </w:sectPr>
      </w:pPr>
    </w:p>
    <w:bookmarkStart w:id="27" w:name="page28"/>
    <w:bookmarkEnd w:id="27"/>
    <w:p>
      <w:pPr>
        <w:ind w:left="1424" w:right="20" w:firstLine="391"/>
        <w:spacing w:after="0" w:line="254" w:lineRule="auto"/>
        <w:tabs>
          <w:tab w:leader="none" w:pos="20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1424" w:right="200" w:firstLine="391"/>
        <w:spacing w:after="0" w:line="282" w:lineRule="auto"/>
        <w:tabs>
          <w:tab w:leader="none" w:pos="20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67"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w:t>
      </w:r>
    </w:p>
    <w:p>
      <w:pPr>
        <w:sectPr>
          <w:pgSz w:w="11900" w:h="16838" w:orient="portrait"/>
          <w:cols w:equalWidth="0" w:num="1">
            <w:col w:w="11004"/>
          </w:cols>
          <w:pgMar w:left="436" w:top="270" w:right="459" w:bottom="1440" w:gutter="0" w:footer="0" w:header="0"/>
        </w:sectPr>
      </w:pPr>
    </w:p>
    <w:bookmarkStart w:id="28" w:name="page29"/>
    <w:bookmarkEnd w:id="2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19"/>
        <w:spacing w:after="0" w:line="269" w:lineRule="auto"/>
        <w:tabs>
          <w:tab w:leader="none" w:pos="62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ectPr>
          <w:pgSz w:w="11900" w:h="16838" w:orient="portrait"/>
          <w:cols w:equalWidth="0" w:num="1">
            <w:col w:w="10580"/>
          </w:cols>
          <w:pgMar w:left="860" w:top="270" w:right="459" w:bottom="1440" w:gutter="0" w:footer="0" w:header="0"/>
        </w:sectPr>
      </w:pPr>
    </w:p>
    <w:bookmarkStart w:id="29" w:name="page30"/>
    <w:bookmarkEnd w:id="29"/>
    <w:p>
      <w:pPr>
        <w:ind w:left="-419" w:firstLine="419"/>
        <w:spacing w:after="0" w:line="253" w:lineRule="auto"/>
        <w:tabs>
          <w:tab w:leader="none" w:pos="1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left="-419" w:right="20" w:firstLine="419"/>
        <w:spacing w:after="0" w:line="252" w:lineRule="auto"/>
        <w:tabs>
          <w:tab w:leader="none" w:pos="1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121"/>
          </w:cols>
          <w:pgMar w:left="1299" w:top="270" w:right="479" w:bottom="1440" w:gutter="0" w:footer="0" w:header="0"/>
        </w:sectPr>
      </w:pPr>
    </w:p>
    <w:bookmarkStart w:id="30" w:name="page31"/>
    <w:bookmarkEnd w:id="30"/>
    <w:p>
      <w:pPr>
        <w:ind w:left="-419" w:firstLine="419"/>
        <w:spacing w:after="0" w:line="251" w:lineRule="auto"/>
        <w:tabs>
          <w:tab w:leader="none" w:pos="1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Holder shall, at the Holder’s option, exercisable at any time concurrently with, or within 30 days after, the consummation of the Fundamental Transaction (or, if later, the date of the public announcement of the applicable Fundamental Transaction)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w:t>
      </w:r>
    </w:p>
    <w:p>
      <w:pPr>
        <w:sectPr>
          <w:pgSz w:w="11900" w:h="16838" w:orient="portrait"/>
          <w:cols w:equalWidth="0" w:num="1">
            <w:col w:w="10141"/>
          </w:cols>
          <w:pgMar w:left="1299" w:top="270" w:right="459" w:bottom="1440" w:gutter="0" w:footer="0" w:header="0"/>
        </w:sectPr>
      </w:pPr>
    </w:p>
    <w:bookmarkStart w:id="31" w:name="page32"/>
    <w:bookmarkEnd w:id="3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w:t>
      </w:r>
    </w:p>
    <w:p>
      <w:pPr>
        <w:sectPr>
          <w:pgSz w:w="11900" w:h="16838" w:orient="portrait"/>
          <w:cols w:equalWidth="0" w:num="1">
            <w:col w:w="10560"/>
          </w:cols>
          <w:pgMar w:left="880" w:top="270" w:right="459" w:bottom="1440" w:gutter="0" w:footer="0" w:header="0"/>
        </w:sectPr>
      </w:pPr>
    </w:p>
    <w:bookmarkStart w:id="32" w:name="page33"/>
    <w:bookmarkEnd w:id="32"/>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75" w:lineRule="exact"/>
        <w:rPr>
          <w:sz w:val="20"/>
          <w:szCs w:val="20"/>
          <w:color w:val="auto"/>
        </w:rPr>
      </w:pPr>
    </w:p>
    <w:p>
      <w:pPr>
        <w:ind w:right="60" w:firstLine="419"/>
        <w:spacing w:after="0" w:line="266" w:lineRule="auto"/>
        <w:tabs>
          <w:tab w:leader="none" w:pos="6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60" w:firstLine="391"/>
        <w:spacing w:after="0" w:line="289" w:lineRule="auto"/>
        <w:tabs>
          <w:tab w:leader="none" w:pos="1503"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0" w:firstLine="391"/>
        <w:spacing w:after="0" w:line="252" w:lineRule="auto"/>
        <w:tabs>
          <w:tab w:leader="none" w:pos="15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w:t>
      </w:r>
    </w:p>
    <w:p>
      <w:pPr>
        <w:sectPr>
          <w:pgSz w:w="11900" w:h="16838" w:orient="portrait"/>
          <w:cols w:equalWidth="0" w:num="1">
            <w:col w:w="10560"/>
          </w:cols>
          <w:pgMar w:left="880" w:top="270" w:right="459" w:bottom="1440" w:gutter="0" w:footer="0" w:header="0"/>
        </w:sectPr>
      </w:pPr>
    </w:p>
    <w:bookmarkStart w:id="33" w:name="page34"/>
    <w:bookmarkEnd w:id="33"/>
    <w:p>
      <w:pPr>
        <w:ind w:left="98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84" w:lineRule="exact"/>
        <w:rPr>
          <w:sz w:val="20"/>
          <w:szCs w:val="20"/>
          <w:color w:val="auto"/>
        </w:rPr>
      </w:pPr>
    </w:p>
    <w:p>
      <w:pPr>
        <w:jc w:val="both"/>
        <w:ind w:right="40" w:firstLine="419"/>
        <w:spacing w:after="0" w:line="266" w:lineRule="auto"/>
        <w:tabs>
          <w:tab w:leader="none" w:pos="6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6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ectPr>
          <w:pgSz w:w="11900" w:h="16838" w:orient="portrait"/>
          <w:cols w:equalWidth="0" w:num="1">
            <w:col w:w="10540"/>
          </w:cols>
          <w:pgMar w:left="880" w:top="270" w:right="479" w:bottom="1440" w:gutter="0" w:footer="0" w:header="0"/>
        </w:sectPr>
      </w:pPr>
    </w:p>
    <w:bookmarkStart w:id="34" w:name="page35"/>
    <w:bookmarkEnd w:id="34"/>
    <w:p>
      <w:pPr>
        <w:ind w:firstLine="419"/>
        <w:spacing w:after="0" w:line="261" w:lineRule="auto"/>
        <w:tabs>
          <w:tab w:leader="none" w:pos="6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1" w:lineRule="auto"/>
        <w:tabs>
          <w:tab w:leader="none" w:pos="6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160" w:firstLine="419"/>
        <w:spacing w:after="0" w:line="258" w:lineRule="auto"/>
        <w:tabs>
          <w:tab w:leader="none" w:pos="6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60" w:firstLine="902"/>
        <w:spacing w:after="0" w:line="255"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w:t>
      </w:r>
    </w:p>
    <w:p>
      <w:pPr>
        <w:sectPr>
          <w:pgSz w:w="11900" w:h="16838" w:orient="portrait"/>
          <w:cols w:equalWidth="0" w:num="1">
            <w:col w:w="10540"/>
          </w:cols>
          <w:pgMar w:left="880" w:top="270" w:right="479" w:bottom="1440" w:gutter="0" w:footer="0" w:header="0"/>
        </w:sectPr>
      </w:pPr>
    </w:p>
    <w:bookmarkStart w:id="35" w:name="page36"/>
    <w:bookmarkEnd w:id="35"/>
    <w:p>
      <w:pPr>
        <w:ind w:left="12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72"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419" w:right="480" w:firstLine="419"/>
        <w:spacing w:after="0" w:line="282" w:lineRule="auto"/>
        <w:tabs>
          <w:tab w:leader="none" w:pos="1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19" w:firstLine="419"/>
        <w:spacing w:after="0" w:line="256" w:lineRule="auto"/>
        <w:tabs>
          <w:tab w:leader="none" w:pos="1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ectPr>
          <w:pgSz w:w="11900" w:h="16838" w:orient="portrait"/>
          <w:cols w:equalWidth="0" w:num="1">
            <w:col w:w="10141"/>
          </w:cols>
          <w:pgMar w:left="1299" w:top="270" w:right="459" w:bottom="1440" w:gutter="0" w:footer="0" w:header="0"/>
        </w:sectPr>
      </w:pPr>
    </w:p>
    <w:bookmarkStart w:id="36" w:name="page37"/>
    <w:bookmarkEnd w:id="36"/>
    <w:p>
      <w:pPr>
        <w:ind w:right="380" w:firstLine="419"/>
        <w:spacing w:after="0" w:line="282" w:lineRule="auto"/>
        <w:tabs>
          <w:tab w:leader="none" w:pos="6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60"/>
          </w:cols>
          <w:pgMar w:left="880" w:top="270" w:right="459" w:bottom="1440" w:gutter="0" w:footer="0" w:header="0"/>
        </w:sectPr>
      </w:pPr>
    </w:p>
    <w:bookmarkStart w:id="37" w:name="page38"/>
    <w:bookmarkEnd w:id="3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38" w:name="page39"/>
    <w:bookmarkEnd w:id="38"/>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RANI THERAPEUTICS HOLDINGS, INC.</w:t>
      </w:r>
    </w:p>
    <w:p>
      <w:pPr>
        <w:spacing w:after="0" w:line="117" w:lineRule="exact"/>
        <w:rPr>
          <w:sz w:val="20"/>
          <w:szCs w:val="20"/>
          <w:color w:val="auto"/>
        </w:rPr>
      </w:pPr>
    </w:p>
    <w:p>
      <w:pPr>
        <w:ind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117" w:lineRule="exact"/>
        <w:rPr>
          <w:rFonts w:ascii="MS PGothic" w:cs="MS PGothic" w:eastAsia="MS PGothic" w:hAnsi="MS PGothic"/>
          <w:sz w:val="18"/>
          <w:szCs w:val="18"/>
          <w:color w:val="auto"/>
        </w:rPr>
      </w:pPr>
    </w:p>
    <w:p>
      <w:pPr>
        <w:jc w:val="both"/>
        <w:ind w:left="1420" w:right="300" w:firstLine="8"/>
        <w:spacing w:after="0" w:line="266" w:lineRule="auto"/>
        <w:tabs>
          <w:tab w:leader="none" w:pos="1627" w:val="left"/>
        </w:tabs>
        <w:numPr>
          <w:ilvl w:val="1"/>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308610</wp:posOffset>
            </wp:positionV>
            <wp:extent cx="30772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857250</wp:posOffset>
            </wp:positionV>
            <wp:extent cx="30772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582930</wp:posOffset>
            </wp:positionV>
            <wp:extent cx="3077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308610</wp:posOffset>
            </wp:positionV>
            <wp:extent cx="3077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Signature of Authorized Signatory of Investing Entity: </w:t>
      </w:r>
      <w:r>
        <w:rPr>
          <w:rFonts w:ascii="Times New Roman" w:cs="Times New Roman" w:eastAsia="Times New Roman" w:hAnsi="Times New Roman"/>
          <w:sz w:val="18"/>
          <w:szCs w:val="18"/>
          <w:color w:val="auto"/>
        </w:rPr>
        <w:t>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______________________________________________________________________________________________________</w:t>
      </w:r>
    </w:p>
    <w:p>
      <w:pPr>
        <w:sectPr>
          <w:pgSz w:w="11900" w:h="16838" w:orient="portrait"/>
          <w:cols w:equalWidth="0" w:num="1">
            <w:col w:w="10700"/>
          </w:cols>
          <w:pgMar w:left="440" w:top="266" w:right="759" w:bottom="1440" w:gutter="0" w:footer="0" w:header="0"/>
        </w:sectPr>
      </w:pPr>
    </w:p>
    <w:bookmarkStart w:id="39" w:name="page40"/>
    <w:bookmarkEnd w:id="39"/>
    <w:p>
      <w:pPr>
        <w:jc w:val="center"/>
        <w:ind w:right="-3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17145</wp:posOffset>
            </wp:positionV>
            <wp:extent cx="2854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17145</wp:posOffset>
            </wp:positionV>
            <wp:extent cx="2854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17145</wp:posOffset>
            </wp:positionV>
            <wp:extent cx="2854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17145</wp:posOffset>
            </wp:positionV>
            <wp:extent cx="2854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-7620</wp:posOffset>
            </wp:positionV>
            <wp:extent cx="12566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-7620</wp:posOffset>
            </wp:positionV>
            <wp:extent cx="13138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ectPr>
          <w:pgSz w:w="11900" w:h="16838" w:orient="portrait"/>
          <w:cols w:equalWidth="0" w:num="1">
            <w:col w:w="10660"/>
          </w:cols>
          <w:pgMar w:left="440" w:top="270" w:right="7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20" w:type="dxa"/>
            <w:vAlign w:val="bottom"/>
          </w:tcPr>
          <w:p>
            <w:pPr>
              <w:ind w:left="8080"/>
              <w:spacing w:after="0"/>
              <w:rPr>
                <w:sz w:val="20"/>
                <w:szCs w:val="20"/>
                <w:color w:val="auto"/>
              </w:rPr>
            </w:pPr>
            <w:r>
              <w:rPr>
                <w:rFonts w:ascii="Times New Roman" w:cs="Times New Roman" w:eastAsia="Times New Roman" w:hAnsi="Times New Roman"/>
                <w:sz w:val="18"/>
                <w:szCs w:val="18"/>
                <w:b w:val="1"/>
                <w:bCs w:val="1"/>
                <w:color w:val="auto"/>
                <w:w w:val="97"/>
              </w:rPr>
              <w:t>Exhibit 4.3</w:t>
            </w:r>
          </w:p>
        </w:tc>
      </w:tr>
      <w:tr>
        <w:trPr>
          <w:trHeight w:val="432"/>
        </w:trPr>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PREFUNDED COMMON STOCK PURCHASE WARRANT</w:t>
            </w:r>
          </w:p>
        </w:tc>
      </w:tr>
      <w:tr>
        <w:trPr>
          <w:trHeight w:val="324"/>
        </w:trPr>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RANI THERAPEUTICS HOLDINGS, INC.</w:t>
            </w:r>
          </w:p>
        </w:tc>
      </w:tr>
      <w:tr>
        <w:trPr>
          <w:trHeight w:val="418"/>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Warrant Shares:              </w:t>
            </w:r>
          </w:p>
        </w:tc>
        <w:tc>
          <w:tcPr>
            <w:tcW w:w="892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Issuance Date: July 23, 2024</w:t>
            </w:r>
          </w:p>
        </w:tc>
      </w:tr>
      <w:tr>
        <w:trPr>
          <w:trHeight w:val="20"/>
        </w:trPr>
        <w:tc>
          <w:tcPr>
            <w:tcW w:w="1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of Common Stock (as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6032500</wp:posOffset>
            </wp:positionH>
            <wp:positionV relativeFrom="paragraph">
              <wp:posOffset>-434975</wp:posOffset>
            </wp:positionV>
            <wp:extent cx="8001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ind w:right="60"/>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July 22, 2024,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w:t>
      </w:r>
    </w:p>
    <w:p>
      <w:pPr>
        <w:sectPr>
          <w:pgSz w:w="11900" w:h="16838" w:orient="portrait"/>
          <w:cols w:equalWidth="0" w:num="1">
            <w:col w:w="11020"/>
          </w:cols>
          <w:pgMar w:left="440" w:top="117" w:right="439" w:bottom="1440" w:gutter="0" w:footer="0" w:header="0"/>
        </w:sectPr>
      </w:pPr>
    </w:p>
    <w:bookmarkStart w:id="41" w:name="page42"/>
    <w:bookmarkEnd w:id="4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(such remaining unpaid exercise price,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If at the time of exercise hereof there is no effective registration statement registering and the prospectus contained therein is not available for the issuance of the Warrant Shares to the Holder, then this Warrant may only be exercised pursuant to the “cashless exercise” provisions of Section 2(c) below.</w:t>
      </w:r>
    </w:p>
    <w:p>
      <w:pPr>
        <w:spacing w:after="0" w:line="80" w:lineRule="exact"/>
        <w:rPr>
          <w:sz w:val="20"/>
          <w:szCs w:val="20"/>
          <w:color w:val="auto"/>
        </w:rPr>
      </w:pPr>
    </w:p>
    <w:p>
      <w:pPr>
        <w:ind w:right="180" w:firstLine="419"/>
        <w:spacing w:after="0" w:line="282" w:lineRule="auto"/>
        <w:tabs>
          <w:tab w:leader="none" w:pos="6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p>
      <w:pPr>
        <w:ind w:left="980" w:right="20" w:hanging="539"/>
        <w:spacing w:after="0" w:line="253" w:lineRule="auto"/>
        <w:tabs>
          <w:tab w:leader="none" w:pos="960" w:val="left"/>
        </w:tabs>
        <w:rPr>
          <w:sz w:val="20"/>
          <w:szCs w:val="20"/>
          <w:color w:val="auto"/>
        </w:rPr>
      </w:pPr>
      <w:r>
        <w:rPr>
          <w:rFonts w:ascii="Times New Roman" w:cs="Times New Roman" w:eastAsia="Times New Roman" w:hAnsi="Times New Roman"/>
          <w:sz w:val="18"/>
          <w:szCs w:val="18"/>
          <w:color w:val="auto"/>
        </w:rPr>
        <w:t>(A) =</w:t>
        <w:tab/>
        <w:t>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ectPr>
          <w:pgSz w:w="11900" w:h="16838" w:orient="portrait"/>
          <w:cols w:equalWidth="0" w:num="1">
            <w:col w:w="10520"/>
          </w:cols>
          <w:pgMar w:left="880" w:top="270" w:right="49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Exercise Price of this Warrant, as adjusted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-206375</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820" w:space="160"/>
            <w:col w:w="9580"/>
          </w:cols>
          <w:pgMar w:left="880" w:top="270" w:right="45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(X) =</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sectPr>
          <w:pgSz w:w="11900" w:h="16838" w:orient="portrait"/>
          <w:cols w:equalWidth="0" w:num="2">
            <w:col w:w="820" w:space="160"/>
            <w:col w:w="9580"/>
          </w:cols>
          <w:pgMar w:left="880" w:top="270" w:right="459" w:bottom="1440" w:gutter="0" w:footer="0" w:header="0"/>
          <w:type w:val="continuous"/>
        </w:sect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8" w:lineRule="exact"/>
        <w:rPr>
          <w:sz w:val="20"/>
          <w:szCs w:val="20"/>
          <w:color w:val="auto"/>
        </w:rPr>
      </w:pPr>
    </w:p>
    <w:p>
      <w:pPr>
        <w:ind w:right="1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ectPr>
          <w:pgSz w:w="11900" w:h="16838" w:orient="portrait"/>
          <w:cols w:equalWidth="0" w:num="1">
            <w:col w:w="10560"/>
          </w:cols>
          <w:pgMar w:left="880" w:top="270" w:right="459" w:bottom="1440" w:gutter="0" w:footer="0" w:header="0"/>
          <w:type w:val="continuous"/>
        </w:sectPr>
      </w:pPr>
    </w:p>
    <w:bookmarkStart w:id="43" w:name="page44"/>
    <w:bookmarkEnd w:id="43"/>
    <w:p>
      <w:pPr>
        <w:ind w:left="201" w:hanging="201"/>
        <w:spacing w:after="0"/>
        <w:tabs>
          <w:tab w:leader="none" w:pos="2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1" w:hanging="149"/>
        <w:spacing w:after="0"/>
        <w:tabs>
          <w:tab w:leader="none" w:pos="110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561"/>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aggregate Exercise Price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80" w:lineRule="exact"/>
        <w:rPr>
          <w:rFonts w:ascii="Times New Roman" w:cs="Times New Roman" w:eastAsia="Times New Roman" w:hAnsi="Times New Roman"/>
          <w:sz w:val="18"/>
          <w:szCs w:val="18"/>
          <w:color w:val="auto"/>
        </w:rPr>
      </w:pPr>
    </w:p>
    <w:p>
      <w:pPr>
        <w:ind w:left="561" w:firstLine="391"/>
        <w:spacing w:after="0" w:line="261" w:lineRule="auto"/>
        <w:tabs>
          <w:tab w:leader="none" w:pos="11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ectPr>
          <w:pgSz w:w="11900" w:h="16838" w:orient="portrait"/>
          <w:cols w:equalWidth="0" w:num="1">
            <w:col w:w="10141"/>
          </w:cols>
          <w:pgMar w:left="1299" w:top="270" w:right="459" w:bottom="1440" w:gutter="0" w:footer="0" w:header="0"/>
        </w:sectPr>
      </w:pPr>
    </w:p>
    <w:bookmarkStart w:id="44" w:name="page45"/>
    <w:bookmarkEnd w:id="44"/>
    <w:p>
      <w:pPr>
        <w:ind w:left="420" w:firstLine="391"/>
        <w:spacing w:after="0" w:line="282" w:lineRule="auto"/>
        <w:tabs>
          <w:tab w:leader="none" w:pos="10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1" w:lineRule="exact"/>
        <w:rPr>
          <w:rFonts w:ascii="Times New Roman" w:cs="Times New Roman" w:eastAsia="Times New Roman" w:hAnsi="Times New Roman"/>
          <w:sz w:val="18"/>
          <w:szCs w:val="18"/>
          <w:color w:val="auto"/>
        </w:rPr>
      </w:pPr>
    </w:p>
    <w:p>
      <w:pPr>
        <w:ind w:left="420" w:firstLine="391"/>
        <w:spacing w:after="0" w:line="261" w:lineRule="auto"/>
        <w:tabs>
          <w:tab w:leader="none" w:pos="9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ectPr>
          <w:pgSz w:w="11900" w:h="16838" w:orient="portrait"/>
          <w:cols w:equalWidth="0" w:num="1">
            <w:col w:w="10000"/>
          </w:cols>
          <w:pgMar w:left="1440" w:top="270" w:right="459" w:bottom="1440" w:gutter="0" w:footer="0" w:header="0"/>
        </w:sectPr>
      </w:pPr>
    </w:p>
    <w:bookmarkStart w:id="45" w:name="page46"/>
    <w:bookmarkEnd w:id="45"/>
    <w:p>
      <w:pPr>
        <w:ind w:left="1424" w:right="20" w:firstLine="391"/>
        <w:spacing w:after="0" w:line="254" w:lineRule="auto"/>
        <w:tabs>
          <w:tab w:leader="none" w:pos="203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1424" w:right="200" w:firstLine="391"/>
        <w:spacing w:after="0" w:line="282" w:lineRule="auto"/>
        <w:tabs>
          <w:tab w:leader="none" w:pos="20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67" w:lineRule="exact"/>
        <w:rPr>
          <w:rFonts w:ascii="Times New Roman" w:cs="Times New Roman" w:eastAsia="Times New Roman" w:hAnsi="Times New Roman"/>
          <w:sz w:val="18"/>
          <w:szCs w:val="18"/>
          <w:color w:val="auto"/>
        </w:rPr>
      </w:pPr>
    </w:p>
    <w:p>
      <w:pPr>
        <w:ind w:left="424" w:hanging="424"/>
        <w:spacing w:after="0" w:line="252"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w:t>
      </w:r>
    </w:p>
    <w:p>
      <w:pPr>
        <w:sectPr>
          <w:pgSz w:w="11900" w:h="16838" w:orient="portrait"/>
          <w:cols w:equalWidth="0" w:num="1">
            <w:col w:w="11004"/>
          </w:cols>
          <w:pgMar w:left="436" w:top="270" w:right="45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19"/>
        <w:spacing w:after="0" w:line="254" w:lineRule="auto"/>
        <w:tabs>
          <w:tab w:leader="none" w:pos="6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w:t>
      </w:r>
    </w:p>
    <w:p>
      <w:pPr>
        <w:sectPr>
          <w:pgSz w:w="11900" w:h="16838" w:orient="portrait"/>
          <w:cols w:equalWidth="0" w:num="1">
            <w:col w:w="10580"/>
          </w:cols>
          <w:pgMar w:left="860" w:top="270" w:right="459" w:bottom="1440" w:gutter="0" w:footer="0" w:header="0"/>
        </w:sectPr>
      </w:pPr>
    </w:p>
    <w:bookmarkStart w:id="47" w:name="page48"/>
    <w:bookmarkEnd w:id="4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68" w:lineRule="exact"/>
        <w:rPr>
          <w:sz w:val="20"/>
          <w:szCs w:val="20"/>
          <w:color w:val="auto"/>
        </w:rPr>
      </w:pPr>
    </w:p>
    <w:p>
      <w:pPr>
        <w:ind w:firstLine="419"/>
        <w:spacing w:after="0" w:line="253" w:lineRule="auto"/>
        <w:tabs>
          <w:tab w:leader="none" w:pos="6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right="20" w:firstLine="419"/>
        <w:spacing w:after="0" w:line="252" w:lineRule="auto"/>
        <w:tabs>
          <w:tab w:leader="none" w:pos="6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ectPr>
          <w:pgSz w:w="11900" w:h="16838" w:orient="portrait"/>
          <w:cols w:equalWidth="0" w:num="1">
            <w:col w:w="10540"/>
          </w:cols>
          <w:pgMar w:left="880" w:top="270" w:right="479" w:bottom="1440" w:gutter="0" w:footer="0" w:header="0"/>
        </w:sectPr>
      </w:pPr>
    </w:p>
    <w:bookmarkStart w:id="48" w:name="page49"/>
    <w:bookmarkEnd w:id="48"/>
    <w:p>
      <w:pPr>
        <w:ind w:left="-419" w:firstLine="419"/>
        <w:spacing w:after="0" w:line="267" w:lineRule="auto"/>
        <w:tabs>
          <w:tab w:leader="none" w:pos="19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shares of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w:t>
      </w:r>
    </w:p>
    <w:p>
      <w:pPr>
        <w:sectPr>
          <w:pgSz w:w="11900" w:h="16838" w:orient="portrait"/>
          <w:cols w:equalWidth="0" w:num="1">
            <w:col w:w="10101"/>
          </w:cols>
          <w:pgMar w:left="1299" w:top="270" w:right="499" w:bottom="1440" w:gutter="0" w:footer="0" w:header="0"/>
        </w:sectPr>
      </w:pPr>
    </w:p>
    <w:bookmarkStart w:id="49" w:name="page50"/>
    <w:bookmarkEnd w:id="4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83" w:lineRule="exact"/>
        <w:rPr>
          <w:sz w:val="20"/>
          <w:szCs w:val="20"/>
          <w:color w:val="auto"/>
        </w:rPr>
      </w:pPr>
    </w:p>
    <w:p>
      <w:pPr>
        <w:ind w:right="60" w:firstLine="419"/>
        <w:spacing w:after="0" w:line="266" w:lineRule="auto"/>
        <w:tabs>
          <w:tab w:leader="none" w:pos="6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60" w:firstLine="391"/>
        <w:spacing w:after="0" w:line="289" w:lineRule="auto"/>
        <w:tabs>
          <w:tab w:leader="none" w:pos="150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ectPr>
          <w:pgSz w:w="11900" w:h="16838" w:orient="portrait"/>
          <w:cols w:equalWidth="0" w:num="1">
            <w:col w:w="10560"/>
          </w:cols>
          <w:pgMar w:left="880" w:top="270" w:right="459" w:bottom="1440" w:gutter="0" w:footer="0" w:header="0"/>
        </w:sectPr>
      </w:pPr>
    </w:p>
    <w:bookmarkStart w:id="50" w:name="page51"/>
    <w:bookmarkEnd w:id="50"/>
    <w:p>
      <w:pPr>
        <w:ind w:left="980" w:firstLine="391"/>
        <w:spacing w:after="0" w:line="252" w:lineRule="auto"/>
        <w:tabs>
          <w:tab w:leader="none" w:pos="15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8" w:lineRule="auto"/>
        <w:tabs>
          <w:tab w:leader="none" w:pos="6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w:t>
      </w:r>
    </w:p>
    <w:p>
      <w:pPr>
        <w:sectPr>
          <w:pgSz w:w="11900" w:h="16838" w:orient="portrait"/>
          <w:cols w:equalWidth="0" w:num="1">
            <w:col w:w="10560"/>
          </w:cols>
          <w:pgMar w:left="880" w:top="270" w:right="459" w:bottom="1440" w:gutter="0" w:footer="0" w:header="0"/>
        </w:sectPr>
      </w:pPr>
    </w:p>
    <w:bookmarkStart w:id="51" w:name="page52"/>
    <w:bookmarkEnd w:id="51"/>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79" w:lineRule="exact"/>
        <w:rPr>
          <w:sz w:val="20"/>
          <w:szCs w:val="20"/>
          <w:color w:val="auto"/>
        </w:rPr>
      </w:pPr>
    </w:p>
    <w:p>
      <w:pPr>
        <w:ind w:right="20" w:firstLine="419"/>
        <w:spacing w:after="0" w:line="256" w:lineRule="auto"/>
        <w:tabs>
          <w:tab w:leader="none" w:pos="6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of this Warrant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81" w:lineRule="auto"/>
        <w:tabs>
          <w:tab w:leader="none" w:pos="60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xml:space="preserve">.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w:t>
      </w:r>
      <w:r>
        <w:rPr>
          <w:rFonts w:ascii="Times New Roman" w:cs="Times New Roman" w:eastAsia="Times New Roman" w:hAnsi="Times New Roman"/>
          <w:sz w:val="17"/>
          <w:szCs w:val="17"/>
          <w:b w:val="1"/>
          <w:bCs w:val="1"/>
          <w:color w:val="auto"/>
        </w:rPr>
        <w:t>in no event shall the Company be required to net cash settle this Warrant</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160" w:firstLine="419"/>
        <w:spacing w:after="0" w:line="258" w:lineRule="auto"/>
        <w:tabs>
          <w:tab w:leader="none" w:pos="6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ectPr>
          <w:pgSz w:w="11900" w:h="16838" w:orient="portrait"/>
          <w:cols w:equalWidth="0" w:num="1">
            <w:col w:w="10540"/>
          </w:cols>
          <w:pgMar w:left="880" w:top="270" w:right="479" w:bottom="1440" w:gutter="0" w:footer="0" w:header="0"/>
        </w:sectPr>
      </w:pPr>
    </w:p>
    <w:bookmarkStart w:id="52" w:name="page53"/>
    <w:bookmarkEnd w:id="52"/>
    <w:p>
      <w:pPr>
        <w:ind w:left="-419" w:right="400" w:firstLine="419"/>
        <w:spacing w:after="0" w:line="312" w:lineRule="auto"/>
        <w:tabs>
          <w:tab w:leader="none" w:pos="18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201" w:hanging="201"/>
        <w:spacing w:after="0"/>
        <w:tabs>
          <w:tab w:leader="none" w:pos="2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1" w:right="6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121"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ectPr>
          <w:pgSz w:w="11900" w:h="16838" w:orient="portrait"/>
          <w:cols w:equalWidth="0" w:num="1">
            <w:col w:w="10141"/>
          </w:cols>
          <w:pgMar w:left="1299" w:top="270" w:right="459" w:bottom="1440" w:gutter="0" w:footer="0" w:header="0"/>
        </w:sectPr>
      </w:pPr>
    </w:p>
    <w:bookmarkStart w:id="53" w:name="page54"/>
    <w:bookmarkEnd w:id="53"/>
    <w:p>
      <w:pPr>
        <w:jc w:val="both"/>
        <w:ind w:left="121" w:right="100" w:firstLine="40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19" w:right="340" w:firstLine="419"/>
        <w:spacing w:after="0" w:line="282" w:lineRule="auto"/>
        <w:tabs>
          <w:tab w:leader="none" w:pos="1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419" w:right="480" w:firstLine="419"/>
        <w:spacing w:after="0" w:line="282" w:lineRule="auto"/>
        <w:tabs>
          <w:tab w:leader="none" w:pos="1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left="-419" w:right="20" w:firstLine="419"/>
        <w:spacing w:after="0" w:line="255" w:lineRule="auto"/>
        <w:tabs>
          <w:tab w:leader="none" w:pos="1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left="-419" w:right="380" w:firstLine="419"/>
        <w:spacing w:after="0" w:line="282" w:lineRule="auto"/>
        <w:tabs>
          <w:tab w:leader="none" w:pos="1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left="-419" w:right="200" w:firstLine="419"/>
        <w:spacing w:after="0" w:line="261" w:lineRule="auto"/>
        <w:tabs>
          <w:tab w:leader="none" w:pos="1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left="-419" w:firstLine="419"/>
        <w:spacing w:after="0" w:line="261" w:lineRule="auto"/>
        <w:tabs>
          <w:tab w:leader="none" w:pos="1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ectPr>
          <w:pgSz w:w="11900" w:h="16838" w:orient="portrait"/>
          <w:cols w:equalWidth="0" w:num="1">
            <w:col w:w="10141"/>
          </w:cols>
          <w:pgMar w:left="1299" w:top="270" w:right="459" w:bottom="1440" w:gutter="0" w:footer="0" w:header="0"/>
        </w:sectPr>
      </w:pPr>
    </w:p>
    <w:bookmarkStart w:id="54" w:name="page55"/>
    <w:bookmarkEnd w:id="54"/>
    <w:p>
      <w:pPr>
        <w:jc w:val="both"/>
        <w:ind w:firstLine="419"/>
        <w:spacing w:after="0" w:line="261" w:lineRule="auto"/>
        <w:tabs>
          <w:tab w:leader="none" w:pos="6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560"/>
          </w:cols>
          <w:pgMar w:left="880" w:top="270" w:right="459" w:bottom="1440" w:gutter="0" w:footer="0" w:header="0"/>
        </w:sectPr>
      </w:pPr>
    </w:p>
    <w:bookmarkStart w:id="55" w:name="page56"/>
    <w:bookmarkEnd w:id="5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70" w:right="479" w:bottom="1440" w:gutter="0" w:footer="0" w:header="0"/>
        </w:sectPr>
      </w:pPr>
    </w:p>
    <w:bookmarkStart w:id="56" w:name="page57"/>
    <w:bookmarkEnd w:id="5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RANI THERAPEUTICS HOLDINGS, INC.</w:t>
      </w:r>
    </w:p>
    <w:p>
      <w:pPr>
        <w:spacing w:after="0" w:line="225" w:lineRule="exact"/>
        <w:rPr>
          <w:sz w:val="20"/>
          <w:szCs w:val="20"/>
          <w:color w:val="auto"/>
        </w:rPr>
      </w:pPr>
    </w:p>
    <w:p>
      <w:pPr>
        <w:ind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700"/>
          </w:cols>
          <w:pgMar w:left="440" w:top="266" w:right="75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20"/>
            <w:col w:w="9040"/>
          </w:cols>
          <w:pgMar w:left="440" w:top="266" w:right="7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[   ] if permitted the cancellation of such number of Warrant Shares as is necessary, in accordance with the formula set forth in</w:t>
      </w:r>
    </w:p>
    <w:p>
      <w:pPr>
        <w:sectPr>
          <w:pgSz w:w="11900" w:h="16838" w:orient="portrait"/>
          <w:cols w:equalWidth="0" w:num="1">
            <w:col w:w="10700"/>
          </w:cols>
          <w:pgMar w:left="440" w:top="266" w:right="759" w:bottom="1440" w:gutter="0" w:footer="0" w:header="0"/>
          <w:type w:val="continuous"/>
        </w:sectPr>
      </w:pPr>
    </w:p>
    <w:p>
      <w:pPr>
        <w:spacing w:after="0" w:line="39" w:lineRule="exact"/>
        <w:rPr>
          <w:sz w:val="20"/>
          <w:szCs w:val="20"/>
          <w:color w:val="auto"/>
        </w:rPr>
      </w:pPr>
    </w:p>
    <w:p>
      <w:pPr>
        <w:ind w:left="1420" w:right="300"/>
        <w:spacing w:after="0" w:line="260" w:lineRule="auto"/>
        <w:rPr>
          <w:sz w:val="20"/>
          <w:szCs w:val="20"/>
          <w:color w:val="auto"/>
        </w:rPr>
      </w:pPr>
      <w:r>
        <w:rPr>
          <w:rFonts w:ascii="Times New Roman" w:cs="Times New Roman" w:eastAsia="Times New Roman" w:hAnsi="Times New Roman"/>
          <w:sz w:val="18"/>
          <w:szCs w:val="18"/>
          <w:color w:val="auto"/>
        </w:rPr>
        <w:t>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-264795</wp:posOffset>
            </wp:positionV>
            <wp:extent cx="1671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257175</wp:posOffset>
            </wp:positionV>
            <wp:extent cx="1671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540385</wp:posOffset>
            </wp:positionV>
            <wp:extent cx="1671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1540510</wp:posOffset>
            </wp:positionH>
            <wp:positionV relativeFrom="paragraph">
              <wp:posOffset>814705</wp:posOffset>
            </wp:positionV>
            <wp:extent cx="1671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17145</wp:posOffset>
            </wp:positionV>
            <wp:extent cx="57778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14605</wp:posOffset>
            </wp:positionV>
            <wp:extent cx="4500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5520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14605</wp:posOffset>
            </wp:positionV>
            <wp:extent cx="5589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ectPr>
          <w:pgSz w:w="11900" w:h="16838" w:orient="portrait"/>
          <w:cols w:equalWidth="0" w:num="1">
            <w:col w:w="10700"/>
          </w:cols>
          <w:pgMar w:left="440" w:top="266" w:right="759" w:bottom="1440" w:gutter="0" w:footer="0" w:header="0"/>
          <w:type w:val="continuous"/>
        </w:sectPr>
      </w:pPr>
    </w:p>
    <w:bookmarkStart w:id="57" w:name="page58"/>
    <w:bookmarkEnd w:id="57"/>
    <w:p>
      <w:pPr>
        <w:jc w:val="center"/>
        <w:ind w:right="-3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exercise the Warrant to purchase shares.)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________________________________</w:t>
      </w:r>
    </w:p>
    <w:p>
      <w:pPr>
        <w:sectPr>
          <w:pgSz w:w="11900" w:h="16838" w:orient="portrait"/>
          <w:cols w:equalWidth="0" w:num="1">
            <w:col w:w="10660"/>
          </w:cols>
          <w:pgMar w:left="440" w:top="270" w:right="7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Josh Seidenfeld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+1 650 843 5862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jseidenfeld@cooley.com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23,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40"/>
        <w:spacing w:after="0" w:line="259" w:lineRule="auto"/>
        <w:rPr>
          <w:sz w:val="20"/>
          <w:szCs w:val="20"/>
          <w:color w:val="auto"/>
        </w:rPr>
      </w:pPr>
      <w:r>
        <w:rPr>
          <w:rFonts w:ascii="Times New Roman" w:cs="Times New Roman" w:eastAsia="Times New Roman" w:hAnsi="Times New Roman"/>
          <w:sz w:val="18"/>
          <w:szCs w:val="18"/>
          <w:color w:val="auto"/>
        </w:rPr>
        <w:t>We have acted as counsel to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 (i) 2,800,000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up to 446,753 shares of Class A Common Stock (the “</w:t>
      </w:r>
      <w:r>
        <w:rPr>
          <w:rFonts w:ascii="Times New Roman" w:cs="Times New Roman" w:eastAsia="Times New Roman" w:hAnsi="Times New Roman"/>
          <w:sz w:val="18"/>
          <w:szCs w:val="18"/>
          <w:b w:val="1"/>
          <w:bCs w:val="1"/>
          <w:i w:val="1"/>
          <w:iCs w:val="1"/>
          <w:color w:val="auto"/>
        </w:rPr>
        <w:t>Pre-Funded Warrant Shares</w:t>
      </w:r>
      <w:r>
        <w:rPr>
          <w:rFonts w:ascii="Times New Roman" w:cs="Times New Roman" w:eastAsia="Times New Roman" w:hAnsi="Times New Roman"/>
          <w:sz w:val="18"/>
          <w:szCs w:val="18"/>
          <w:color w:val="auto"/>
        </w:rPr>
        <w:t>”),</w:t>
      </w: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warrants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to purchase up to 3,246,753 shares of Class A Common Stock (the “</w:t>
      </w:r>
      <w:r>
        <w:rPr>
          <w:rFonts w:ascii="Times New Roman" w:cs="Times New Roman" w:eastAsia="Times New Roman" w:hAnsi="Times New Roman"/>
          <w:sz w:val="18"/>
          <w:szCs w:val="18"/>
          <w:b w:val="1"/>
          <w:bCs w:val="1"/>
          <w:i w:val="1"/>
          <w:iCs w:val="1"/>
          <w:color w:val="auto"/>
        </w:rPr>
        <w:t>Series A Warrant Shares</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3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(together with the Pre-Funded Warrants and the Series A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 3,246,753 shares of Class A Common Stock (together with the Pre-Funded Warrant Shares and the Series A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pursuant to a Registration Statement on Form S-3 (Registration Statement No. 333-266444)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the Warrants and the Warrant Shares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(a) Registration Statement and the Prospectus, (b) the forms of Warrants to be filed as exhibits to a Current Report on Form 8-K,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With regard to our opinion as to the Warrants and the Warrant Shares, we express no opinion to the extent that future issuances of securities of the Company, antidilution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spacing w:after="0" w:line="180"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4"/>
          </w:cols>
          <w:pgMar w:left="436" w:top="117" w:right="43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91260" cy="394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94335"/>
                    </a:xfrm>
                    <a:prstGeom prst="rect">
                      <a:avLst/>
                    </a:prstGeom>
                    <a:noFill/>
                  </pic:spPr>
                </pic:pic>
              </a:graphicData>
            </a:graphic>
          </wp:anchor>
        </w:drawing>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23,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binding obligations of the Company:</w:t>
      </w:r>
    </w:p>
    <w:p>
      <w:pPr>
        <w:spacing w:after="0" w:line="117" w:lineRule="exact"/>
        <w:rPr>
          <w:sz w:val="20"/>
          <w:szCs w:val="20"/>
          <w:color w:val="auto"/>
        </w:rPr>
      </w:pPr>
    </w:p>
    <w:p>
      <w:pPr>
        <w:ind w:left="4" w:right="260" w:firstLine="436"/>
        <w:spacing w:after="0" w:line="289" w:lineRule="auto"/>
        <w:tabs>
          <w:tab w:leader="none" w:pos="65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57" w:lineRule="exact"/>
        <w:rPr>
          <w:rFonts w:ascii="Times New Roman" w:cs="Times New Roman" w:eastAsia="Times New Roman" w:hAnsi="Times New Roman"/>
          <w:sz w:val="17"/>
          <w:szCs w:val="17"/>
          <w:color w:val="auto"/>
        </w:rPr>
      </w:pPr>
    </w:p>
    <w:p>
      <w:pPr>
        <w:ind w:left="4" w:right="20" w:firstLine="436"/>
        <w:spacing w:after="0" w:line="266" w:lineRule="auto"/>
        <w:tabs>
          <w:tab w:leader="none" w:pos="70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75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w:t>
      </w:r>
    </w:p>
    <w:p>
      <w:pPr>
        <w:spacing w:after="0" w:line="2"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exclusivity, election or accumulation of rights or remedies; or (i) provides that provisions of the Warrants are severable to the extent an essential part of the agreed exchange is determined to be invalid and unenforceable; and</w:t>
      </w:r>
    </w:p>
    <w:p>
      <w:pPr>
        <w:spacing w:after="0" w:line="18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74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or jurisdiction provided for in the Warrants.</w:t>
      </w:r>
    </w:p>
    <w:p>
      <w:pPr>
        <w:spacing w:after="0" w:line="162" w:lineRule="exact"/>
        <w:rPr>
          <w:sz w:val="20"/>
          <w:szCs w:val="20"/>
          <w:color w:val="auto"/>
        </w:rPr>
      </w:pPr>
    </w:p>
    <w:p>
      <w:pPr>
        <w:ind w:left="4" w:right="120"/>
        <w:spacing w:after="0" w:line="276" w:lineRule="auto"/>
        <w:rPr>
          <w:sz w:val="20"/>
          <w:szCs w:val="20"/>
          <w:color w:val="auto"/>
        </w:rPr>
      </w:pPr>
      <w:r>
        <w:rPr>
          <w:rFonts w:ascii="Times New Roman" w:cs="Times New Roman" w:eastAsia="Times New Roman" w:hAnsi="Times New Roman"/>
          <w:sz w:val="17"/>
          <w:szCs w:val="17"/>
          <w:color w:val="auto"/>
        </w:rPr>
        <w:t>On the basis of the foregoing, in reliance thereon and subject to the qualifications set forth herein, we are of the opinion that (i) the Shares, when sold and issued against payment therefor as described in the Registration Statement and the Prospectus, will be validly issued, fully paid and nonassessable,</w:t>
      </w:r>
    </w:p>
    <w:p>
      <w:pPr>
        <w:spacing w:after="0" w:line="1" w:lineRule="exact"/>
        <w:rPr>
          <w:sz w:val="20"/>
          <w:szCs w:val="20"/>
          <w:color w:val="auto"/>
        </w:rPr>
      </w:pPr>
    </w:p>
    <w:p>
      <w:pPr>
        <w:ind w:left="4" w:right="460" w:hanging="4"/>
        <w:spacing w:after="0" w:line="255"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when duly executed and delivered by the Company against payment therefor as provided in the Registration Statement and the Prospectus, will be binding obligations of the Company, and (iii) the Warrant Shares, when issued and paid for in accordance with the terms of the Warrants, will be validly issued, fully paid and nonassessable.</w:t>
      </w:r>
    </w:p>
    <w:p>
      <w:pPr>
        <w:spacing w:after="0" w:line="18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35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84"/>
          </w:cols>
          <w:pgMar w:left="436" w:top="1107"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 Seidenfeld</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00"/>
          </w:cols>
          <w:pgMar w:left="440" w:top="1093" w:right="5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July 22, 2024, between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8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any day which is a federal legal holiday in the United States or any other day on which commercial banks in The City of New York are authorized or required by law or other governmental action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ectPr>
          <w:pgSz w:w="11900" w:h="16838" w:orient="portrait"/>
          <w:cols w:equalWidth="0" w:num="1">
            <w:col w:w="11020"/>
          </w:cols>
          <w:pgMar w:left="440" w:top="117" w:right="439" w:bottom="1440" w:gutter="0" w:footer="0" w:header="0"/>
        </w:sectPr>
      </w:pPr>
    </w:p>
    <w:bookmarkStart w:id="62" w:name="page63"/>
    <w:bookmarkEnd w:id="62"/>
    <w:p>
      <w:pPr>
        <w:ind w:firstLine="423"/>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54"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Purchase Warrants</w:t>
      </w:r>
      <w:r>
        <w:rPr>
          <w:rFonts w:ascii="Times New Roman" w:cs="Times New Roman" w:eastAsia="Times New Roman" w:hAnsi="Times New Roman"/>
          <w:sz w:val="18"/>
          <w:szCs w:val="18"/>
          <w:color w:val="auto"/>
        </w:rPr>
        <w:t>” means, collectively, the Series A Warrants and the Series B Warrants.</w:t>
      </w:r>
    </w:p>
    <w:p>
      <w:pPr>
        <w:spacing w:after="0" w:line="117"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10105-0302.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20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securities to employees, officers, consultants or directors of the Company pursuant to any equity incentive, stock or option plan duly adopted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w:t>
      </w:r>
    </w:p>
    <w:p>
      <w:pPr>
        <w:sectPr>
          <w:pgSz w:w="11900" w:h="16838" w:orient="portrait"/>
          <w:cols w:equalWidth="0" w:num="1">
            <w:col w:w="10540"/>
          </w:cols>
          <w:pgMar w:left="880" w:top="270" w:right="47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 exchange price or conversion price of such securities (other than in connection with stock splits or combinations) or to extend the term of such securities, (c) securities issued pursuant to any joint venture, commercial or collaborative relationship, or the acquisition or license by the Company of the securities, businesses, property or other assets of another person approved by a majority of the disinterested directors of the Company, provided that either (1) such securities are issued as “restricted securities” (as defined in Rule 144) and carry no registration rights that require or permit the filing of any registration statement in connection therewith during the prohibition period in Section 4.11(a) herein or (2) such purchaser is prohibited from selling, transferring or otherwise disposing of such securities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issuances to one or more lenders in connection with the Company’s entry into a debt financing transaction, provided that such issuances shall only be in the form of warrants to purchase shares of Common Stock and carry no registration rights that require or permit the filing of any registration statement in connection therewith during the prohibition period in Section 4.11(a) herein.</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or encumbrance.</w:t>
      </w:r>
    </w:p>
    <w:p>
      <w:pPr>
        <w:spacing w:after="0" w:line="117"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ectPr>
          <w:pgSz w:w="11900" w:h="16838" w:orient="portrait"/>
          <w:cols w:equalWidth="0" w:num="1">
            <w:col w:w="10560"/>
          </w:cols>
          <w:pgMar w:left="880" w:top="270" w:right="45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$3.08,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spacing w:after="0" w:line="68"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3.1(gg).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Maxim Group LLC.</w:t>
      </w:r>
    </w:p>
    <w:p>
      <w:pPr>
        <w:spacing w:after="0" w:line="117" w:lineRule="exact"/>
        <w:rPr>
          <w:sz w:val="20"/>
          <w:szCs w:val="20"/>
          <w:color w:val="auto"/>
        </w:rPr>
      </w:pPr>
    </w:p>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w:t>
      </w:r>
    </w:p>
    <w:p>
      <w:pPr>
        <w:spacing w:after="0" w:line="117" w:lineRule="exact"/>
        <w:rPr>
          <w:sz w:val="20"/>
          <w:szCs w:val="20"/>
          <w:color w:val="auto"/>
        </w:rPr>
      </w:pPr>
    </w:p>
    <w:p>
      <w:pPr>
        <w:jc w:val="both"/>
        <w:ind w:right="3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to be filed with the Commission and delivered by the Company to each Purchaser at the Closing, including all information, documents and exhibits filed with or incorporated by reference into such supplement to the Prospectus.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117"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333-266444 which registers the sale of the Shares, the Warrants and the Warrant Shares to the Purchasers.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ectPr>
          <w:pgSz w:w="11900" w:h="16838" w:orient="portrait"/>
          <w:cols w:equalWidth="0" w:num="1">
            <w:col w:w="10540"/>
          </w:cols>
          <w:pgMar w:left="880" w:top="270" w:right="479" w:bottom="1440" w:gutter="0" w:footer="0" w:header="0"/>
        </w:sectPr>
      </w:pPr>
    </w:p>
    <w:bookmarkStart w:id="65" w:name="page66"/>
    <w:bookmarkEnd w:id="65"/>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Warrants</w:t>
      </w:r>
      <w:r>
        <w:rPr>
          <w:rFonts w:ascii="Times New Roman" w:cs="Times New Roman" w:eastAsia="Times New Roman" w:hAnsi="Times New Roman"/>
          <w:sz w:val="18"/>
          <w:szCs w:val="18"/>
          <w:color w:val="auto"/>
        </w:rPr>
        <w:t xml:space="preserve">” means, collectively, the Series A Common Stock purchase warrants to be delivered to the Purchasers at the Closing in accordance with Section 2.2(a) hereof, which Series A Warrants shall be exercisable six months from the Closing Date and have a term of exercise equal to twelve (12) months from the initial exercise date,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Warrants</w:t>
      </w:r>
      <w:r>
        <w:rPr>
          <w:rFonts w:ascii="Times New Roman" w:cs="Times New Roman" w:eastAsia="Times New Roman" w:hAnsi="Times New Roman"/>
          <w:sz w:val="18"/>
          <w:szCs w:val="18"/>
          <w:color w:val="auto"/>
        </w:rPr>
        <w:t xml:space="preserve">” means, collectively, the Series B Common Stock purchase warrants to be delivered to the Purchasers at the Closing in accordance with Section 2.2(b) hereof, which Series B Warrants shall be exercisable six months from the Closing Date and have a term of exercise equal to five (5) years from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72"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those entities set forth on Exhibit 21.1 to the Company’s Annual Report on Form 10-K for the year ended December 31, 2023 and shall, where applicable, also include any direct or indirect subsidiary of the Company formed or acquired after the date hereof.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ectPr>
          <w:pgSz w:w="11900" w:h="16838" w:orient="portrait"/>
          <w:cols w:equalWidth="0" w:num="1">
            <w:col w:w="10560"/>
          </w:cols>
          <w:pgMar w:left="880" w:top="270" w:right="459" w:bottom="1440" w:gutter="0" w:footer="0" w:header="0"/>
        </w:sectPr>
      </w:pPr>
    </w:p>
    <w:bookmarkStart w:id="66" w:name="page67"/>
    <w:bookmarkEnd w:id="66"/>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the Pink Open Market, OTCQB Venture Market or the OTCQX Best Market (or any successors to any of the foregoing).</w:t>
      </w:r>
    </w:p>
    <w:p>
      <w:pPr>
        <w:spacing w:after="0" w:line="68"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Lock-Up Agreement, the Warrants, all exhibits and schedules thereto and hereto and any other documents or agreements executed in connection with the transactions contemplated hereunder.</w:t>
      </w:r>
    </w:p>
    <w:p>
      <w:pPr>
        <w:spacing w:after="0" w:line="54" w:lineRule="exact"/>
        <w:rPr>
          <w:sz w:val="20"/>
          <w:szCs w:val="20"/>
          <w:color w:val="auto"/>
        </w:rPr>
      </w:pPr>
    </w:p>
    <w:p>
      <w:pPr>
        <w:ind w:left="440" w:right="4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6201 15th Avenue, Brooklyn, NY 11219, and any successor transfer agent of the Company.</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Stock Purchase Warrants and the Prefunded Warrants.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$9,999,999.24 of Shares and Common Stock Purchase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(as defined below),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the Shares on the Closing Date. Each Purchaser’s Subscription Amount as set forth on the signature page hereto executed by such Purchaser shall be made available for “Delivery Versus Payment” settlement with the Company or its designees.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(including by electronic transmission) as determined by the Company. Unless otherwise directed by the Placement Agent, settlement of the Shares shall occur via “Delivery Versus Payment” (i.e., on the Closing Date, the Company shall issue the Shares registered in the Purchasers’ names and addresses and</w:t>
      </w:r>
    </w:p>
    <w:p>
      <w:pPr>
        <w:sectPr>
          <w:pgSz w:w="11900" w:h="16838" w:orient="portrait"/>
          <w:cols w:equalWidth="0" w:num="1">
            <w:col w:w="11000"/>
          </w:cols>
          <w:pgMar w:left="440" w:top="270"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released by the Transfer Agent directly to the account(s) at the Placement Agent identified by each Purchaser; upon receipt of such Shares,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shall promptly electronically deliver such Shares to the applicable Purchaser, and payment therefor shall be made by the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its clearing firm) by wire transfer to the Company). Notwithstanding anything herein to the contrary, if at any time on or after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by the Company and an applicable Purchaser, through, and including the time immediately prior to the Closing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 deemed to be unconditionally bound to purchase, such Pre-Settlement Shares at the Closing; provided, that the Company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deliver any Pre-Settlement Shares to such Purchaser prior to the Company’s receipt of the purchase price of such Pre-Settlement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and provided further that the Company hereby acknowledges and agrees that the forgoing shall not constitute a representation or covenant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Purchaser as to whether or not during the Pre-Settlement Period such Purchaser shall sell any shares of Common Stock to any Person and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decision to sell any shares of Common Stock by such Purchaser shall solely be made at the time such Purchaser elects to effect any such sale,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Notwithstanding anything to the contrary herein and a Purchaser’s Subscription Amount set forth on the signature pages attached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purchased by a Purchaser (and its Affiliates) hereunder shall not, when aggregated with all other shares of Common Stock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Purchaser (and its Affiliates) at such time, result in such Purchaser beneficially owning (as determined in accordance with Section 13(d)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in excess of 9.99% of the then issued and outstanding Common Stock outstanding at the Closing (the “</w:t>
      </w:r>
      <w:r>
        <w:rPr>
          <w:rFonts w:ascii="Times New Roman" w:cs="Times New Roman" w:eastAsia="Times New Roman" w:hAnsi="Times New Roman"/>
          <w:sz w:val="18"/>
          <w:szCs w:val="18"/>
          <w:u w:val="single" w:color="auto"/>
          <w:color w:val="auto"/>
        </w:rPr>
        <w:t>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Maximum</w:t>
      </w:r>
      <w:r>
        <w:rPr>
          <w:rFonts w:ascii="Times New Roman" w:cs="Times New Roman" w:eastAsia="Times New Roman" w:hAnsi="Times New Roman"/>
          <w:sz w:val="17"/>
          <w:szCs w:val="17"/>
          <w:color w:val="auto"/>
        </w:rPr>
        <w:t>”), and such Purchaser’s Subscription Amount, to the extent it would otherwise exceed the Beneficial Ownership Maximum immediately prior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Closing, shall be conditioned upon the issuance of Shares at the Closing to the other Purchasers signatory hereto. To the extent that a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of the Shares would otherwise be deemed to exceed the Beneficial Ownership Maximum, such Purchaser’s Subscription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automatically be reduced as necessary in order to comply with this paragraph. Notwithstanding the foregoing, with respect to any Notice(s)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(as defined in the Prefunded Warrants) delivered on or prior to 12:00 p.m. (New York City time) on the Closing Date, which may be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after the time of execution of this Agreement, the Company agrees to deliver the Warrant Shares subject to such notice(s) by 4:00 p.m.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City time) on the Closing Date and the Closing Date shall be the Warrant Share Delivery Date (as defined in the Prefunded Warrants) for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20" w:firstLine="419"/>
        <w:spacing w:after="0" w:line="282"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 on Company letterhead and executed by the Chief Executive Officer or Chief Financial Officer;</w:t>
      </w:r>
    </w:p>
    <w:p>
      <w:pPr>
        <w:sectPr>
          <w:pgSz w:w="11900" w:h="16838" w:orient="portrait"/>
          <w:cols w:equalWidth="0" w:num="1">
            <w:col w:w="11000"/>
          </w:cols>
          <w:pgMar w:left="440" w:top="270" w:right="459" w:bottom="1440" w:gutter="0" w:footer="0" w:header="0"/>
        </w:sectPr>
      </w:pPr>
    </w:p>
    <w:bookmarkStart w:id="68" w:name="page69"/>
    <w:bookmarkEnd w:id="68"/>
    <w:p>
      <w:pPr>
        <w:ind w:left="540" w:firstLine="408"/>
        <w:spacing w:after="0" w:line="266" w:lineRule="auto"/>
        <w:tabs>
          <w:tab w:leader="none" w:pos="125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2.1,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w:t>
      </w:r>
    </w:p>
    <w:p>
      <w:pPr>
        <w:spacing w:after="0" w:line="67"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2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A Warrant registered in the name of such Purchaser to purchase up to a number of shares of Common Stock equal to 100% of such Purchaser’s Shares, with an exercise price equal to $3.08, subject to adjustment therein;</w:t>
      </w:r>
    </w:p>
    <w:p>
      <w:pPr>
        <w:spacing w:after="0" w:line="53" w:lineRule="exact"/>
        <w:rPr>
          <w:rFonts w:ascii="Times New Roman" w:cs="Times New Roman" w:eastAsia="Times New Roman" w:hAnsi="Times New Roman"/>
          <w:sz w:val="18"/>
          <w:szCs w:val="18"/>
          <w:color w:val="auto"/>
        </w:rPr>
      </w:pPr>
    </w:p>
    <w:p>
      <w:pPr>
        <w:ind w:left="540" w:right="360" w:firstLine="408"/>
        <w:spacing w:after="0" w:line="282" w:lineRule="auto"/>
        <w:tabs>
          <w:tab w:leader="none" w:pos="119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B Warrant registered in the name of such Purchaser to purchase up to a number of shares of Common Stock equal to 100% of such Purchaser’s Shares, with an exercise price equal to $3.08, subject to adjustment therein;</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with an exercise price equal to $0.0001, subject to adjustment therein;</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duly executed Lock-Up Agreements; and</w:t>
      </w:r>
    </w:p>
    <w:p>
      <w:pPr>
        <w:spacing w:after="0" w:line="11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as applicable, the following:</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540" w:right="560" w:firstLine="408"/>
        <w:spacing w:after="0" w:line="282" w:lineRule="auto"/>
        <w:tabs>
          <w:tab w:leader="none" w:pos="120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15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ectPr>
          <w:pgSz w:w="11900" w:h="16838" w:orient="portrait"/>
          <w:cols w:equalWidth="0" w:num="1">
            <w:col w:w="10540"/>
          </w:cols>
          <w:pgMar w:left="880" w:top="270" w:right="479" w:bottom="1440" w:gutter="0" w:footer="0" w:header="0"/>
        </w:sectPr>
      </w:pPr>
    </w:p>
    <w:bookmarkStart w:id="69" w:name="page70"/>
    <w:bookmarkEnd w:id="69"/>
    <w:p>
      <w:pPr>
        <w:ind w:left="121" w:right="200" w:firstLine="408"/>
        <w:spacing w:after="0" w:line="282" w:lineRule="auto"/>
        <w:tabs>
          <w:tab w:leader="none" w:pos="7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841" w:hanging="312"/>
        <w:spacing w:after="0"/>
        <w:tabs>
          <w:tab w:leader="none" w:pos="84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741" w:hanging="212"/>
        <w:spacing w:after="0"/>
        <w:tabs>
          <w:tab w:leader="none" w:pos="74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12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121" w:right="320" w:firstLine="408"/>
        <w:spacing w:after="0" w:line="282" w:lineRule="auto"/>
        <w:tabs>
          <w:tab w:leader="none" w:pos="78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841" w:hanging="312"/>
        <w:spacing w:after="0"/>
        <w:tabs>
          <w:tab w:leader="none" w:pos="84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841" w:hanging="312"/>
        <w:spacing w:after="0"/>
        <w:tabs>
          <w:tab w:leader="none" w:pos="84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ind w:left="121" w:right="40" w:firstLine="408"/>
        <w:spacing w:after="0" w:line="255" w:lineRule="auto"/>
        <w:tabs>
          <w:tab w:leader="none" w:pos="7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ectPr>
          <w:pgSz w:w="11900" w:h="16838" w:orient="portrait"/>
          <w:cols w:equalWidth="0" w:num="1">
            <w:col w:w="10141"/>
          </w:cols>
          <w:pgMar w:left="1299" w:top="270" w:right="4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Registration Statement and the SEC Reports, the Company hereby makes the following representations and warranties to each Purchaser:</w:t>
      </w:r>
    </w:p>
    <w:p>
      <w:pPr>
        <w:spacing w:after="0" w:line="54" w:lineRule="exact"/>
        <w:rPr>
          <w:sz w:val="20"/>
          <w:szCs w:val="20"/>
          <w:color w:val="auto"/>
        </w:rPr>
      </w:pPr>
    </w:p>
    <w:p>
      <w:pPr>
        <w:ind w:left="440" w:right="80" w:firstLine="419"/>
        <w:spacing w:after="0" w:line="266" w:lineRule="auto"/>
        <w:tabs>
          <w:tab w:leader="none" w:pos="11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67" w:lineRule="exact"/>
        <w:rPr>
          <w:rFonts w:ascii="Times New Roman" w:cs="Times New Roman" w:eastAsia="Times New Roman" w:hAnsi="Times New Roman"/>
          <w:sz w:val="18"/>
          <w:szCs w:val="18"/>
          <w:color w:val="auto"/>
        </w:rPr>
      </w:pPr>
    </w:p>
    <w:p>
      <w:pPr>
        <w:ind w:left="440" w:firstLine="419"/>
        <w:spacing w:after="0" w:line="269" w:lineRule="auto"/>
        <w:tabs>
          <w:tab w:leader="none" w:pos="111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being carried on and as described in the Registration Statement, the Prospectus and the Prospectus Supplement.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and no Proceeding has been instituted in any such jurisdiction revoking, limiting or curtailing or seeking to revoke, limit or curtail such power and authority or qualification.</w:t>
      </w:r>
    </w:p>
    <w:p>
      <w:pPr>
        <w:spacing w:after="0" w:line="70" w:lineRule="exact"/>
        <w:rPr>
          <w:rFonts w:ascii="Times New Roman" w:cs="Times New Roman" w:eastAsia="Times New Roman" w:hAnsi="Times New Roman"/>
          <w:sz w:val="17"/>
          <w:szCs w:val="17"/>
          <w:color w:val="auto"/>
        </w:rPr>
      </w:pPr>
    </w:p>
    <w:p>
      <w:pPr>
        <w:ind w:left="440" w:right="60" w:firstLine="419"/>
        <w:spacing w:after="0" w:line="253" w:lineRule="auto"/>
        <w:tabs>
          <w:tab w:leader="none" w:pos="11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ectPr>
          <w:pgSz w:w="11900" w:h="16838" w:orient="portrait"/>
          <w:cols w:equalWidth="0" w:num="1">
            <w:col w:w="11000"/>
          </w:cols>
          <w:pgMar w:left="440" w:top="266" w:right="459" w:bottom="1440" w:gutter="0" w:footer="0" w:header="0"/>
        </w:sectPr>
      </w:pPr>
    </w:p>
    <w:bookmarkStart w:id="71" w:name="page72"/>
    <w:bookmarkEnd w:id="71"/>
    <w:p>
      <w:pPr>
        <w:ind w:left="-419" w:firstLine="419"/>
        <w:spacing w:after="0" w:line="253"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certificate of incorporation, or bylaws ,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81" w:lineRule="exact"/>
        <w:rPr>
          <w:rFonts w:ascii="Times New Roman" w:cs="Times New Roman" w:eastAsia="Times New Roman" w:hAnsi="Times New Roman"/>
          <w:sz w:val="18"/>
          <w:szCs w:val="18"/>
          <w:color w:val="auto"/>
        </w:rPr>
      </w:pPr>
    </w:p>
    <w:p>
      <w:pPr>
        <w:ind w:left="-419" w:right="160" w:firstLine="419"/>
        <w:spacing w:after="0" w:line="255" w:lineRule="auto"/>
        <w:tabs>
          <w:tab w:leader="none" w:pos="2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(iv) any filings that may be required under the rules of the Financial Industry Regulatory Authority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19" w:firstLine="419"/>
        <w:spacing w:after="0" w:line="271" w:lineRule="auto"/>
        <w:tabs>
          <w:tab w:leader="none" w:pos="22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the Securities; Registration</w:t>
      </w:r>
      <w:r>
        <w:rPr>
          <w:rFonts w:ascii="Times New Roman" w:cs="Times New Roman" w:eastAsia="Times New Roman" w:hAnsi="Times New Roman"/>
          <w:sz w:val="17"/>
          <w:szCs w:val="17"/>
          <w:color w:val="auto"/>
        </w:rPr>
        <w:t>. The Shares are duly authorized and, when issued and paid for in accordance with the applicable Transaction Documents, will be duly and validly issued, fully paid and nonassessable, free and clear of all Liens imposed by the Company. When paid for and issued in accordance with this Agreement, the Warrants will constitute valid and binding obligations of the Company, enforceable against the Company in accordance with their respective terms, except: (i) as such enforceability may be limited by bankruptcy, insolvency, reorganization or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upon exercise of the Warrants. The Company has prepared and filed the Registration Statement in conformity with the requirements of the Securities Act, which became effective on August 10, 2022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including the Prospectus, and such</w:t>
      </w:r>
    </w:p>
    <w:p>
      <w:pPr>
        <w:sectPr>
          <w:pgSz w:w="11900" w:h="16838" w:orient="portrait"/>
          <w:cols w:equalWidth="0" w:num="1">
            <w:col w:w="10141"/>
          </w:cols>
          <w:pgMar w:left="1299" w:top="270" w:right="459" w:bottom="1440" w:gutter="0" w:footer="0" w:header="0"/>
        </w:sectPr>
      </w:pPr>
    </w:p>
    <w:bookmarkStart w:id="72" w:name="page73"/>
    <w:bookmarkEnd w:id="7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89" w:lineRule="exact"/>
        <w:rPr>
          <w:sz w:val="20"/>
          <w:szCs w:val="20"/>
          <w:color w:val="auto"/>
        </w:rPr>
      </w:pPr>
    </w:p>
    <w:p>
      <w:pPr>
        <w:ind w:right="40" w:firstLine="419"/>
        <w:spacing w:after="0" w:line="252"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is as set forth in the Registration Statement, the Prospectus and the Prospectus Supplement. The Company has not issued any capital stock since its most recently filed periodic report under the Exchange Act, other than (i) pursuant to the exercise of stock options under the Company’s equity incentive plans; (ii) the vesting and settlement of restricted stock units under the Company’s equity incentive plans; (iii) the issuance of shares of Common Stock to employees pursuant to the Company’s employee stock purchase plans; and (iv)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w:t>
      </w:r>
    </w:p>
    <w:p>
      <w:pPr>
        <w:sectPr>
          <w:pgSz w:w="11900" w:h="16838" w:orient="portrait"/>
          <w:cols w:equalWidth="0" w:num="1">
            <w:col w:w="10560"/>
          </w:cols>
          <w:pgMar w:left="880" w:top="270" w:right="459" w:bottom="1440" w:gutter="0" w:footer="0" w:header="0"/>
        </w:sectPr>
      </w:pPr>
    </w:p>
    <w:bookmarkStart w:id="73" w:name="page74"/>
    <w:bookmarkEnd w:id="73"/>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that have not been waived in writing.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86" w:lineRule="exact"/>
        <w:rPr>
          <w:sz w:val="20"/>
          <w:szCs w:val="20"/>
          <w:color w:val="auto"/>
        </w:rPr>
      </w:pPr>
    </w:p>
    <w:p>
      <w:pPr>
        <w:ind w:firstLine="419"/>
        <w:spacing w:after="0" w:line="252" w:lineRule="auto"/>
        <w:tabs>
          <w:tab w:leader="none" w:pos="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together with the related notes,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ectPr>
          <w:pgSz w:w="11900" w:h="16838" w:orient="portrait"/>
          <w:cols w:equalWidth="0" w:num="1">
            <w:col w:w="10560"/>
          </w:cols>
          <w:pgMar w:left="880" w:top="270" w:right="459" w:bottom="1440" w:gutter="0" w:footer="0" w:header="0"/>
        </w:sectPr>
      </w:pPr>
    </w:p>
    <w:bookmarkStart w:id="74" w:name="page75"/>
    <w:bookmarkEnd w:id="74"/>
    <w:p>
      <w:pPr>
        <w:ind w:left="-419" w:right="100" w:firstLine="419"/>
        <w:spacing w:after="0" w:line="253" w:lineRule="auto"/>
        <w:tabs>
          <w:tab w:leader="none" w:pos="2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Except for (i) the issuance of the Securities contemplated by this Agreement, or (ii) as described in the Registration Statement and the SEC Reports, no event, liability, fact, circumstance, occurrence or development has occurred or exists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79" w:lineRule="exact"/>
        <w:rPr>
          <w:rFonts w:ascii="Times New Roman" w:cs="Times New Roman" w:eastAsia="Times New Roman" w:hAnsi="Times New Roman"/>
          <w:sz w:val="18"/>
          <w:szCs w:val="18"/>
          <w:color w:val="auto"/>
        </w:rPr>
      </w:pPr>
    </w:p>
    <w:p>
      <w:pPr>
        <w:ind w:left="-419" w:firstLine="419"/>
        <w:spacing w:after="0" w:line="254" w:lineRule="auto"/>
        <w:tabs>
          <w:tab w:leader="none" w:pos="2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if there were an unfavorable decision, would individually or in the aggregate, reasonably be expected to result in a Material Adverse Effect. None of the Actions described in the Registration Statement and the SEC Reports, (i) adversely affects or challenges the legality, validity or enforceability of any of the Transaction Documents or the Securities or (ii) could, if there were an unfavorable decision, have or reasonably be expected to result in a Material Adverse Effect. The Commission has not issued any stop order or other order suspending the effectiveness of any registration statement filed by the Company under the Securities Act.</w:t>
      </w:r>
    </w:p>
    <w:p>
      <w:pPr>
        <w:spacing w:after="0" w:line="83" w:lineRule="exact"/>
        <w:rPr>
          <w:rFonts w:ascii="Times New Roman" w:cs="Times New Roman" w:eastAsia="Times New Roman" w:hAnsi="Times New Roman"/>
          <w:sz w:val="18"/>
          <w:szCs w:val="18"/>
          <w:color w:val="auto"/>
        </w:rPr>
      </w:pPr>
    </w:p>
    <w:p>
      <w:pPr>
        <w:ind w:left="-419" w:right="60" w:firstLine="419"/>
        <w:spacing w:after="0" w:line="254" w:lineRule="auto"/>
        <w:tabs>
          <w:tab w:leader="none" w:pos="2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or its Subsidiaries,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w:t>
      </w:r>
    </w:p>
    <w:p>
      <w:pPr>
        <w:sectPr>
          <w:pgSz w:w="11900" w:h="16838" w:orient="portrait"/>
          <w:cols w:equalWidth="0" w:num="1">
            <w:col w:w="10141"/>
          </w:cols>
          <w:pgMar w:left="1299" w:top="270" w:right="459" w:bottom="1440" w:gutter="0" w:footer="0" w:header="0"/>
        </w:sectPr>
      </w:pPr>
    </w:p>
    <w:bookmarkStart w:id="75" w:name="page76"/>
    <w:bookmarkEnd w:id="7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68" w:lineRule="exact"/>
        <w:rPr>
          <w:sz w:val="20"/>
          <w:szCs w:val="20"/>
          <w:color w:val="auto"/>
        </w:rPr>
      </w:pPr>
    </w:p>
    <w:p>
      <w:pPr>
        <w:ind w:right="140" w:firstLine="419"/>
        <w:spacing w:after="0" w:line="254" w:lineRule="auto"/>
        <w:tabs>
          <w:tab w:leader="none" w:pos="6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clause (i), (ii) and (iii) as would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86" w:lineRule="exact"/>
        <w:rPr>
          <w:rFonts w:ascii="Times New Roman" w:cs="Times New Roman" w:eastAsia="Times New Roman" w:hAnsi="Times New Roman"/>
          <w:sz w:val="18"/>
          <w:szCs w:val="18"/>
          <w:color w:val="auto"/>
        </w:rPr>
      </w:pPr>
    </w:p>
    <w:p>
      <w:pPr>
        <w:ind w:right="80" w:firstLine="419"/>
        <w:spacing w:after="0" w:line="281" w:lineRule="auto"/>
        <w:tabs>
          <w:tab w:leader="none" w:pos="67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Permits</w:t>
      </w:r>
      <w:r>
        <w:rPr>
          <w:rFonts w:ascii="Times New Roman" w:cs="Times New Roman" w:eastAsia="Times New Roman" w:hAnsi="Times New Roman"/>
          <w:sz w:val="17"/>
          <w:szCs w:val="17"/>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7"/>
          <w:szCs w:val="17"/>
          <w:u w:val="single" w:color="auto"/>
          <w:color w:val="auto"/>
        </w:rPr>
        <w:t>Material Permits</w:t>
      </w:r>
      <w:r>
        <w:rPr>
          <w:rFonts w:ascii="Times New Roman" w:cs="Times New Roman" w:eastAsia="Times New Roman" w:hAnsi="Times New Roman"/>
          <w:sz w:val="17"/>
          <w:szCs w:val="17"/>
          <w:color w:val="auto"/>
        </w:rPr>
        <w:t>”), and neither the Company nor any Subsidiary has received any notice of proceedings relating to the revocation or modification of any Material Permit.</w:t>
      </w:r>
    </w:p>
    <w:p>
      <w:pPr>
        <w:sectPr>
          <w:pgSz w:w="11900" w:h="16838" w:orient="portrait"/>
          <w:cols w:equalWidth="0" w:num="1">
            <w:col w:w="10560"/>
          </w:cols>
          <w:pgMar w:left="880" w:top="270" w:right="459" w:bottom="1440" w:gutter="0" w:footer="0" w:header="0"/>
        </w:sectPr>
      </w:pPr>
    </w:p>
    <w:bookmarkStart w:id="76" w:name="page77"/>
    <w:bookmarkEnd w:id="76"/>
    <w:p>
      <w:pPr>
        <w:ind w:left="-419" w:right="20" w:firstLine="419"/>
        <w:spacing w:after="0" w:line="256" w:lineRule="auto"/>
        <w:tabs>
          <w:tab w:leader="none" w:pos="2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Assets</w:t>
      </w:r>
      <w:r>
        <w:rPr>
          <w:rFonts w:ascii="Times New Roman" w:cs="Times New Roman" w:eastAsia="Times New Roman" w:hAnsi="Times New Roman"/>
          <w:sz w:val="18"/>
          <w:szCs w:val="18"/>
          <w:color w:val="auto"/>
        </w:rPr>
        <w:t>. The Company and the Subsidiaries have good and marketable title to all personal property described in the Registration Statement and SEC Reports as being owned by them, in each case free and clear of all Liens, except such as are described in the Registration Statement and SEC Reports or as would not individually or in the aggregate, result in a Material Adverse Effect. The Company and the Subsidiaries do not own any real property. The property held under lease by the Company and the Subsidiaries are held by them under valid, subsisting and enforceable leases with only such exceptions with respect to any particular lease as do not interfere in any material respect with the conduct of the business of the Company or its Subsidiaries.</w:t>
      </w:r>
    </w:p>
    <w:p>
      <w:pPr>
        <w:spacing w:after="0" w:line="79" w:lineRule="exact"/>
        <w:rPr>
          <w:rFonts w:ascii="Times New Roman" w:cs="Times New Roman" w:eastAsia="Times New Roman" w:hAnsi="Times New Roman"/>
          <w:sz w:val="18"/>
          <w:szCs w:val="18"/>
          <w:color w:val="auto"/>
        </w:rPr>
      </w:pPr>
    </w:p>
    <w:p>
      <w:pPr>
        <w:ind w:left="-419" w:right="40" w:firstLine="419"/>
        <w:spacing w:after="0" w:line="253" w:lineRule="auto"/>
        <w:tabs>
          <w:tab w:leader="none" w:pos="2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there is no existing infringement another Person of any of the Intellectual Property Rights that would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left="-419" w:right="40" w:firstLine="419"/>
        <w:spacing w:after="0" w:line="258" w:lineRule="auto"/>
        <w:tabs>
          <w:tab w:leader="none" w:pos="2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75" w:lineRule="exact"/>
        <w:rPr>
          <w:rFonts w:ascii="Times New Roman" w:cs="Times New Roman" w:eastAsia="Times New Roman" w:hAnsi="Times New Roman"/>
          <w:sz w:val="18"/>
          <w:szCs w:val="18"/>
          <w:color w:val="auto"/>
        </w:rPr>
      </w:pPr>
    </w:p>
    <w:p>
      <w:pPr>
        <w:ind w:left="-419" w:firstLine="419"/>
        <w:spacing w:after="0" w:line="254" w:lineRule="auto"/>
        <w:tabs>
          <w:tab w:leader="none" w:pos="2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ectPr>
          <w:pgSz w:w="11900" w:h="16838" w:orient="portrait"/>
          <w:cols w:equalWidth="0" w:num="1">
            <w:col w:w="10101"/>
          </w:cols>
          <w:pgMar w:left="1299" w:top="270" w:right="499" w:bottom="1440" w:gutter="0" w:footer="0" w:header="0"/>
        </w:sectPr>
      </w:pPr>
    </w:p>
    <w:bookmarkStart w:id="77" w:name="page78"/>
    <w:bookmarkEnd w:id="77"/>
    <w:p>
      <w:pPr>
        <w:ind w:left="4" w:firstLine="419"/>
        <w:spacing w:after="0" w:line="253" w:lineRule="auto"/>
        <w:tabs>
          <w:tab w:leader="none" w:pos="66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Internal Accounting Controls</w:t>
      </w:r>
      <w:r>
        <w:rPr>
          <w:rFonts w:ascii="Times New Roman" w:cs="Times New Roman" w:eastAsia="Times New Roman" w:hAnsi="Times New Roman"/>
          <w:sz w:val="18"/>
          <w:szCs w:val="18"/>
          <w:color w:val="auto"/>
        </w:rPr>
        <w:t>. The Company is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w:t>
      </w:r>
    </w:p>
    <w:p>
      <w:pPr>
        <w:spacing w:after="0" w:line="5" w:lineRule="exact"/>
        <w:rPr>
          <w:rFonts w:ascii="Times New Roman" w:cs="Times New Roman" w:eastAsia="Times New Roman" w:hAnsi="Times New Roman"/>
          <w:sz w:val="18"/>
          <w:szCs w:val="18"/>
          <w:color w:val="auto"/>
        </w:rPr>
      </w:pPr>
    </w:p>
    <w:p>
      <w:pPr>
        <w:ind w:left="4" w:right="60" w:hanging="4"/>
        <w:spacing w:after="0" w:line="267" w:lineRule="auto"/>
        <w:tabs>
          <w:tab w:leader="none" w:pos="30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affected, or is reasonably likely to materially affect, the internal control over financial reporting of the Company.</w:t>
      </w:r>
    </w:p>
    <w:p>
      <w:pPr>
        <w:spacing w:after="0" w:line="74" w:lineRule="exact"/>
        <w:rPr>
          <w:rFonts w:ascii="Times New Roman" w:cs="Times New Roman" w:eastAsia="Times New Roman" w:hAnsi="Times New Roman"/>
          <w:sz w:val="17"/>
          <w:szCs w:val="17"/>
          <w:color w:val="auto"/>
        </w:rPr>
      </w:pPr>
    </w:p>
    <w:p>
      <w:pPr>
        <w:ind w:left="4" w:right="20" w:firstLine="419"/>
        <w:spacing w:after="0" w:line="258" w:lineRule="auto"/>
        <w:tabs>
          <w:tab w:leader="none" w:pos="64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68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w:t>
      </w:r>
    </w:p>
    <w:p>
      <w:pPr>
        <w:sectPr>
          <w:pgSz w:w="11900" w:h="16838" w:orient="portrait"/>
          <w:cols w:equalWidth="0" w:num="1">
            <w:col w:w="10524"/>
          </w:cols>
          <w:pgMar w:left="876" w:top="270" w:right="499" w:bottom="1440" w:gutter="0" w:footer="0" w:header="0"/>
        </w:sectPr>
      </w:pPr>
    </w:p>
    <w:bookmarkStart w:id="78" w:name="page79"/>
    <w:bookmarkEnd w:id="78"/>
    <w:p>
      <w:pPr>
        <w:ind w:left="-419" w:firstLine="419"/>
        <w:spacing w:after="0" w:line="254" w:lineRule="auto"/>
        <w:tabs>
          <w:tab w:leader="none" w:pos="2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80" w:lineRule="exact"/>
        <w:rPr>
          <w:rFonts w:ascii="Times New Roman" w:cs="Times New Roman" w:eastAsia="Times New Roman" w:hAnsi="Times New Roman"/>
          <w:sz w:val="18"/>
          <w:szCs w:val="18"/>
          <w:color w:val="auto"/>
        </w:rPr>
      </w:pPr>
    </w:p>
    <w:p>
      <w:pPr>
        <w:ind w:left="-419" w:right="40" w:firstLine="419"/>
        <w:spacing w:after="0" w:line="256" w:lineRule="auto"/>
        <w:tabs>
          <w:tab w:leader="none" w:pos="2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79" w:lineRule="exact"/>
        <w:rPr>
          <w:rFonts w:ascii="Times New Roman" w:cs="Times New Roman" w:eastAsia="Times New Roman" w:hAnsi="Times New Roman"/>
          <w:sz w:val="18"/>
          <w:szCs w:val="18"/>
          <w:color w:val="auto"/>
        </w:rPr>
      </w:pPr>
    </w:p>
    <w:p>
      <w:pPr>
        <w:ind w:left="-419" w:right="20" w:firstLine="419"/>
        <w:spacing w:after="0" w:line="253" w:lineRule="auto"/>
        <w:tabs>
          <w:tab w:leader="none" w:pos="2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6" w:lineRule="exact"/>
        <w:rPr>
          <w:rFonts w:ascii="Times New Roman" w:cs="Times New Roman" w:eastAsia="Times New Roman" w:hAnsi="Times New Roman"/>
          <w:sz w:val="18"/>
          <w:szCs w:val="18"/>
          <w:color w:val="auto"/>
        </w:rPr>
      </w:pPr>
    </w:p>
    <w:p>
      <w:pPr>
        <w:ind w:left="-419" w:right="160" w:firstLine="419"/>
        <w:spacing w:after="0" w:line="258" w:lineRule="auto"/>
        <w:tabs>
          <w:tab w:leader="none" w:pos="2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ectPr>
          <w:pgSz w:w="11900" w:h="16838" w:orient="portrait"/>
          <w:cols w:equalWidth="0" w:num="1">
            <w:col w:w="10141"/>
          </w:cols>
          <w:pgMar w:left="1299" w:top="270" w:right="459" w:bottom="1440" w:gutter="0" w:footer="0" w:header="0"/>
        </w:sectPr>
      </w:pPr>
    </w:p>
    <w:bookmarkStart w:id="79" w:name="page80"/>
    <w:bookmarkEnd w:id="79"/>
    <w:p>
      <w:pPr>
        <w:ind w:left="4" w:right="60" w:firstLine="419"/>
        <w:spacing w:after="0" w:line="261" w:lineRule="auto"/>
        <w:tabs>
          <w:tab w:leader="none" w:pos="6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w:t>
      </w:r>
    </w:p>
    <w:p>
      <w:pPr>
        <w:spacing w:after="0" w:line="72" w:lineRule="exact"/>
        <w:rPr>
          <w:sz w:val="20"/>
          <w:szCs w:val="20"/>
          <w:color w:val="auto"/>
        </w:rPr>
      </w:pPr>
    </w:p>
    <w:p>
      <w:pPr>
        <w:ind w:left="4" w:right="200" w:firstLine="419"/>
        <w:spacing w:after="0" w:line="270" w:lineRule="auto"/>
        <w:tabs>
          <w:tab w:leader="none" w:pos="751"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7" w:lineRule="exact"/>
        <w:rPr>
          <w:rFonts w:ascii="Times New Roman" w:cs="Times New Roman" w:eastAsia="Times New Roman" w:hAnsi="Times New Roman"/>
          <w:sz w:val="18"/>
          <w:szCs w:val="18"/>
          <w:color w:val="auto"/>
        </w:rPr>
      </w:pPr>
    </w:p>
    <w:p>
      <w:pPr>
        <w:ind w:left="4" w:firstLine="419"/>
        <w:spacing w:after="0" w:line="256" w:lineRule="auto"/>
        <w:tabs>
          <w:tab w:leader="none" w:pos="7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9"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5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Ernst &amp; Young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67"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7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w:t>
      </w:r>
    </w:p>
    <w:p>
      <w:pPr>
        <w:sectPr>
          <w:pgSz w:w="11900" w:h="16838" w:orient="portrait"/>
          <w:cols w:equalWidth="0" w:num="1">
            <w:col w:w="10564"/>
          </w:cols>
          <w:pgMar w:left="876" w:top="270" w:right="459" w:bottom="1440" w:gutter="0" w:footer="0" w:header="0"/>
        </w:sectPr>
      </w:pPr>
    </w:p>
    <w:bookmarkStart w:id="80" w:name="page81"/>
    <w:bookmarkEnd w:id="8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72" w:lineRule="exact"/>
        <w:rPr>
          <w:sz w:val="20"/>
          <w:szCs w:val="20"/>
          <w:color w:val="auto"/>
        </w:rPr>
      </w:pPr>
    </w:p>
    <w:p>
      <w:pPr>
        <w:ind w:right="120" w:firstLine="419"/>
        <w:spacing w:after="0" w:line="252" w:lineRule="auto"/>
        <w:tabs>
          <w:tab w:leader="none" w:pos="7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the Warrants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89" w:lineRule="exact"/>
        <w:rPr>
          <w:rFonts w:ascii="Times New Roman" w:cs="Times New Roman" w:eastAsia="Times New Roman" w:hAnsi="Times New Roman"/>
          <w:sz w:val="18"/>
          <w:szCs w:val="18"/>
          <w:color w:val="auto"/>
        </w:rPr>
      </w:pPr>
    </w:p>
    <w:p>
      <w:pPr>
        <w:ind w:firstLine="419"/>
        <w:spacing w:after="0" w:line="258" w:lineRule="auto"/>
        <w:tabs>
          <w:tab w:leader="none" w:pos="7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75" w:lineRule="exact"/>
        <w:rPr>
          <w:rFonts w:ascii="Times New Roman" w:cs="Times New Roman" w:eastAsia="Times New Roman" w:hAnsi="Times New Roman"/>
          <w:sz w:val="18"/>
          <w:szCs w:val="18"/>
          <w:color w:val="auto"/>
        </w:rPr>
      </w:pPr>
    </w:p>
    <w:p>
      <w:pPr>
        <w:ind w:right="40" w:firstLine="419"/>
        <w:spacing w:after="0" w:line="261" w:lineRule="auto"/>
        <w:tabs>
          <w:tab w:leader="none" w:pos="7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w:t>
      </w:r>
    </w:p>
    <w:p>
      <w:pPr>
        <w:sectPr>
          <w:pgSz w:w="11900" w:h="16838" w:orient="portrait"/>
          <w:cols w:equalWidth="0" w:num="1">
            <w:col w:w="10540"/>
          </w:cols>
          <w:pgMar w:left="880" w:top="270" w:right="479" w:bottom="1440" w:gutter="0" w:footer="0" w:header="0"/>
        </w:sectPr>
      </w:pPr>
    </w:p>
    <w:bookmarkStart w:id="81" w:name="page82"/>
    <w:bookmarkEnd w:id="8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w:t>
      </w:r>
    </w:p>
    <w:p>
      <w:pPr>
        <w:spacing w:after="0" w:line="1" w:lineRule="exact"/>
        <w:rPr>
          <w:sz w:val="20"/>
          <w:szCs w:val="20"/>
          <w:color w:val="auto"/>
        </w:rPr>
      </w:pPr>
    </w:p>
    <w:p>
      <w:pPr>
        <w:ind w:left="4" w:right="20" w:hanging="4"/>
        <w:spacing w:after="0" w:line="251" w:lineRule="auto"/>
        <w:tabs>
          <w:tab w:leader="none" w:pos="2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respects in accordance with all applicable laws, rules and regulations of the FDA, except where the failure to be so conducted would not, individually or in the aggregate, have a Material Adverse Effect.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84" w:lineRule="exact"/>
        <w:rPr>
          <w:rFonts w:ascii="Times New Roman" w:cs="Times New Roman" w:eastAsia="Times New Roman" w:hAnsi="Times New Roman"/>
          <w:sz w:val="18"/>
          <w:szCs w:val="18"/>
          <w:color w:val="auto"/>
        </w:rPr>
      </w:pPr>
    </w:p>
    <w:p>
      <w:pPr>
        <w:ind w:left="4" w:firstLine="419"/>
        <w:spacing w:after="0" w:line="253" w:lineRule="auto"/>
        <w:tabs>
          <w:tab w:leader="none" w:pos="77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have, individually or in the aggregate,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ectPr>
          <w:pgSz w:w="11900" w:h="16838" w:orient="portrait"/>
          <w:cols w:equalWidth="0" w:num="1">
            <w:col w:w="10564"/>
          </w:cols>
          <w:pgMar w:left="876" w:top="270" w:right="459" w:bottom="1440" w:gutter="0" w:footer="0" w:header="0"/>
        </w:sectPr>
      </w:pPr>
    </w:p>
    <w:bookmarkStart w:id="82" w:name="page83"/>
    <w:bookmarkEnd w:id="82"/>
    <w:p>
      <w:pPr>
        <w:ind w:left="-419" w:firstLine="419"/>
        <w:spacing w:after="0" w:line="252" w:lineRule="auto"/>
        <w:tabs>
          <w:tab w:leader="none" w:pos="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(except where the failure to so comply in each clause (i) and (ii)would not have , individually or in the aggregate, a Material Adverse Effect.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Laws; or (iii) is a party to any order, decree, or agreement by or with any court or arbitrator or governmental or regulatory authority that imposed any obligation or liability under any Privacy Law; except in each case of clauses (i), (ii) and (iii) as would not have, individually or in the aggregate, a Material Adverse Effect.</w:t>
      </w:r>
    </w:p>
    <w:p>
      <w:pPr>
        <w:spacing w:after="0" w:line="86"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19" w:right="320" w:firstLine="419"/>
        <w:spacing w:after="0" w:line="266" w:lineRule="auto"/>
        <w:tabs>
          <w:tab w:leader="none" w:pos="3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19" w:right="300" w:firstLine="419"/>
        <w:spacing w:after="0" w:line="282" w:lineRule="auto"/>
        <w:tabs>
          <w:tab w:leader="none" w:pos="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a Purchaser’s request.</w:t>
      </w:r>
    </w:p>
    <w:p>
      <w:pPr>
        <w:spacing w:after="0" w:line="53" w:lineRule="exact"/>
        <w:rPr>
          <w:rFonts w:ascii="Times New Roman" w:cs="Times New Roman" w:eastAsia="Times New Roman" w:hAnsi="Times New Roman"/>
          <w:sz w:val="18"/>
          <w:szCs w:val="18"/>
          <w:color w:val="auto"/>
        </w:rPr>
      </w:pPr>
    </w:p>
    <w:p>
      <w:pPr>
        <w:ind w:left="-419" w:right="160" w:firstLine="419"/>
        <w:spacing w:after="0" w:line="266" w:lineRule="auto"/>
        <w:tabs>
          <w:tab w:leader="none" w:pos="4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owns or controls,</w:t>
      </w:r>
    </w:p>
    <w:p>
      <w:pPr>
        <w:sectPr>
          <w:pgSz w:w="11900" w:h="16838" w:orient="portrait"/>
          <w:cols w:equalWidth="0" w:num="1">
            <w:col w:w="10141"/>
          </w:cols>
          <w:pgMar w:left="1299" w:top="270" w:right="459" w:bottom="1440" w:gutter="0" w:footer="0" w:header="0"/>
        </w:sectPr>
      </w:pPr>
    </w:p>
    <w:bookmarkStart w:id="83" w:name="page84"/>
    <w:bookmarkEnd w:id="83"/>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exercises a controlling influence over the management or policies of a bank or any entity that is subject to the BHCA and to regulation by the Federal Reserve.</w:t>
      </w:r>
    </w:p>
    <w:p>
      <w:pPr>
        <w:spacing w:after="0" w:line="72" w:lineRule="exact"/>
        <w:rPr>
          <w:sz w:val="20"/>
          <w:szCs w:val="20"/>
          <w:color w:val="auto"/>
        </w:rPr>
      </w:pPr>
    </w:p>
    <w:p>
      <w:pPr>
        <w:ind w:left="440" w:firstLine="419"/>
        <w:spacing w:after="0" w:line="258" w:lineRule="auto"/>
        <w:tabs>
          <w:tab w:leader="none" w:pos="12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68" w:lineRule="exact"/>
        <w:rPr>
          <w:sz w:val="20"/>
          <w:szCs w:val="20"/>
          <w:color w:val="auto"/>
        </w:rPr>
      </w:pPr>
    </w:p>
    <w:p>
      <w:pPr>
        <w:ind w:left="440" w:firstLine="419"/>
        <w:spacing w:after="0" w:line="253" w:lineRule="auto"/>
        <w:tabs>
          <w:tab w:leader="none" w:pos="110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ectPr>
          <w:pgSz w:w="11900" w:h="16838" w:orient="portrait"/>
          <w:cols w:equalWidth="0" w:num="1">
            <w:col w:w="11000"/>
          </w:cols>
          <w:pgMar w:left="440" w:top="270" w:right="459" w:bottom="1440" w:gutter="0" w:footer="0" w:header="0"/>
        </w:sectPr>
      </w:pPr>
    </w:p>
    <w:bookmarkStart w:id="84" w:name="page85"/>
    <w:bookmarkEnd w:id="84"/>
    <w:p>
      <w:pPr>
        <w:ind w:left="-419" w:right="60" w:firstLine="419"/>
        <w:spacing w:after="0" w:line="266" w:lineRule="auto"/>
        <w:tabs>
          <w:tab w:leader="none" w:pos="2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501(a)(1), (a)(2), (a)(3), (a)(7), (a)(8), (a)(9), (a)(12), or (a)(13) under the Securities Act.</w:t>
      </w:r>
    </w:p>
    <w:p>
      <w:pPr>
        <w:spacing w:after="0" w:line="67" w:lineRule="exact"/>
        <w:rPr>
          <w:rFonts w:ascii="Times New Roman" w:cs="Times New Roman" w:eastAsia="Times New Roman" w:hAnsi="Times New Roman"/>
          <w:sz w:val="18"/>
          <w:szCs w:val="18"/>
          <w:color w:val="auto"/>
        </w:rPr>
      </w:pPr>
    </w:p>
    <w:p>
      <w:pPr>
        <w:jc w:val="both"/>
        <w:ind w:left="-419" w:right="100" w:firstLine="419"/>
        <w:spacing w:after="0" w:line="261" w:lineRule="auto"/>
        <w:tabs>
          <w:tab w:leader="none" w:pos="2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left="-419" w:firstLine="419"/>
        <w:spacing w:after="0" w:line="253" w:lineRule="auto"/>
        <w:tabs>
          <w:tab w:leader="none" w:pos="2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Registration Statement, the Prospectus, the Prospectus Supplement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79" w:lineRule="exact"/>
        <w:rPr>
          <w:rFonts w:ascii="Times New Roman" w:cs="Times New Roman" w:eastAsia="Times New Roman" w:hAnsi="Times New Roman"/>
          <w:sz w:val="18"/>
          <w:szCs w:val="18"/>
          <w:color w:val="auto"/>
        </w:rPr>
      </w:pPr>
    </w:p>
    <w:p>
      <w:pPr>
        <w:ind w:left="-419" w:firstLine="419"/>
        <w:spacing w:after="0" w:line="254" w:lineRule="auto"/>
        <w:tabs>
          <w:tab w:leader="none" w:pos="2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communication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w:t>
      </w:r>
    </w:p>
    <w:p>
      <w:pPr>
        <w:sectPr>
          <w:pgSz w:w="11900" w:h="16838" w:orient="portrait"/>
          <w:cols w:equalWidth="0" w:num="1">
            <w:col w:w="10121"/>
          </w:cols>
          <w:pgMar w:left="1299" w:top="270" w:right="479" w:bottom="1440" w:gutter="0" w:footer="0" w:header="0"/>
        </w:sectPr>
      </w:pPr>
    </w:p>
    <w:bookmarkStart w:id="85" w:name="page86"/>
    <w:bookmarkEnd w:id="85"/>
    <w:p>
      <w:pPr>
        <w:ind w:left="4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18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Warrants have expired, the Company covenants to use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ectPr>
          <w:pgSz w:w="11900" w:h="16838" w:orient="portrait"/>
          <w:cols w:equalWidth="0" w:num="1">
            <w:col w:w="10960"/>
          </w:cols>
          <w:pgMar w:left="440" w:top="270" w:right="499" w:bottom="1440" w:gutter="0" w:footer="0" w:header="0"/>
        </w:sectPr>
      </w:pPr>
    </w:p>
    <w:bookmarkStart w:id="86" w:name="page87"/>
    <w:bookmarkEnd w:id="86"/>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authorized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and to its knowledge,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w:t>
      </w:r>
    </w:p>
    <w:p>
      <w:pPr>
        <w:spacing w:after="0" w:line="11" w:lineRule="exact"/>
        <w:rPr>
          <w:sz w:val="20"/>
          <w:szCs w:val="20"/>
          <w:color w:val="auto"/>
        </w:rPr>
      </w:pPr>
    </w:p>
    <w:p>
      <w:pPr>
        <w:ind w:left="4" w:right="280" w:hanging="4"/>
        <w:spacing w:after="0" w:line="255" w:lineRule="auto"/>
        <w:tabs>
          <w:tab w:leader="none" w:pos="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8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ectPr>
          <w:pgSz w:w="11900" w:h="16838" w:orient="portrait"/>
          <w:cols w:equalWidth="0" w:num="1">
            <w:col w:w="10984"/>
          </w:cols>
          <w:pgMar w:left="436" w:top="270" w:right="479" w:bottom="1440" w:gutter="0" w:footer="0" w:header="0"/>
        </w:sectPr>
      </w:pPr>
    </w:p>
    <w:bookmarkStart w:id="87" w:name="page88"/>
    <w:bookmarkEnd w:id="87"/>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-1123315</wp:posOffset>
            </wp:positionV>
            <wp:extent cx="285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6" w:lineRule="exact"/>
        <w:rPr>
          <w:sz w:val="20"/>
          <w:szCs w:val="20"/>
          <w:color w:val="auto"/>
        </w:rPr>
      </w:pPr>
    </w:p>
    <w:p>
      <w:pPr>
        <w:ind w:right="4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Except as set forth in the Prospectus Supplement,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w:t>
      </w:r>
    </w:p>
    <w:p>
      <w:pPr>
        <w:sectPr>
          <w:pgSz w:w="11900" w:h="16838" w:orient="portrait"/>
          <w:cols w:equalWidth="0" w:num="1">
            <w:col w:w="11020"/>
          </w:cols>
          <w:pgMar w:left="440" w:top="270" w:right="439" w:bottom="1440" w:gutter="0" w:footer="0" w:header="0"/>
        </w:sectPr>
      </w:pPr>
    </w:p>
    <w:bookmarkStart w:id="88" w:name="page89"/>
    <w:bookmarkEnd w:id="8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of the Common Stock on the Trading Market on which it is currently listed, and concurrently with the Closing, the Company shall apply to list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ectPr>
          <w:pgSz w:w="11900" w:h="16838" w:orient="portrait"/>
          <w:cols w:equalWidth="0" w:num="1">
            <w:col w:w="11020"/>
          </w:cols>
          <w:pgMar w:left="440" w:top="270" w:right="43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40" w:firstLine="419"/>
        <w:spacing w:after="0" w:line="261" w:lineRule="auto"/>
        <w:tabs>
          <w:tab w:leader="none" w:pos="110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the filing of a registration statement on Form S-8 in connection with any employee benefit plan.</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from the date of Closing,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w:t>
      </w:r>
    </w:p>
    <w:p>
      <w:pPr>
        <w:ind w:left="440" w:right="160" w:hanging="4"/>
        <w:spacing w:after="0" w:line="252"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provided, however, sixty (60) days after the Closing Date, shares of Common Stock can be sold and issued pursuant to an existing controlled equity offering sales agreement between the Company and Cantor Fitzgerald &amp; Co. and H.C. Wainwright &amp; Co., LLC under an “at-the-market” offering program. Any Purchaser shall be entitled to obtain injunctive relief against the Company to preclude any such issuance, which remedy shall be in addition to any right to collect damages.</w:t>
      </w:r>
    </w:p>
    <w:p>
      <w:pPr>
        <w:spacing w:after="0" w:line="8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w:t>
      </w:r>
    </w:p>
    <w:p>
      <w:pPr>
        <w:sectPr>
          <w:pgSz w:w="11900" w:h="16838" w:orient="portrait"/>
          <w:cols w:equalWidth="0" w:num="1">
            <w:col w:w="11000"/>
          </w:cols>
          <w:pgMar w:left="440" w:top="270" w:right="459" w:bottom="1440" w:gutter="0" w:footer="0" w:header="0"/>
        </w:sectPr>
      </w:pPr>
    </w:p>
    <w:bookmarkStart w:id="90" w:name="page91"/>
    <w:bookmarkEnd w:id="90"/>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8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4.14 </w:t>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ectPr>
          <w:pgSz w:w="11900" w:h="16838" w:orient="portrait"/>
          <w:cols w:equalWidth="0" w:num="1">
            <w:col w:w="11000"/>
          </w:cols>
          <w:pgMar w:left="440" w:top="270" w:right="459" w:bottom="1440" w:gutter="0" w:footer="0" w:header="0"/>
        </w:sectPr>
      </w:pPr>
    </w:p>
    <w:bookmarkStart w:id="91" w:name="page92"/>
    <w:bookmarkEnd w:id="9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ectPr>
          <w:pgSz w:w="11900" w:h="16838" w:orient="portrait"/>
          <w:cols w:equalWidth="0" w:num="1">
            <w:col w:w="10980"/>
          </w:cols>
          <w:pgMar w:left="440" w:top="270" w:right="479" w:bottom="1440" w:gutter="0" w:footer="0" w:header="0"/>
        </w:sectPr>
      </w:pPr>
    </w:p>
    <w:bookmarkStart w:id="92" w:name="page93"/>
    <w:bookmarkEnd w:id="92"/>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ectPr>
          <w:pgSz w:w="11900" w:h="16838" w:orient="portrait"/>
          <w:cols w:equalWidth="0" w:num="1">
            <w:col w:w="11020"/>
          </w:cols>
          <w:pgMar w:left="440" w:top="270" w:right="43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unless such rescission or withdrawal would materially prejudice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ectPr>
          <w:pgSz w:w="11900" w:h="16838" w:orient="portrait"/>
          <w:cols w:equalWidth="0" w:num="1">
            <w:col w:w="11000"/>
          </w:cols>
          <w:pgMar w:left="440" w:top="270" w:right="459" w:bottom="1440" w:gutter="0" w:footer="0" w:header="0"/>
        </w:sectPr>
      </w:pPr>
    </w:p>
    <w:bookmarkStart w:id="94" w:name="page95"/>
    <w:bookmarkEnd w:id="94"/>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ectPr>
          <w:pgSz w:w="11900" w:h="16838" w:orient="portrait"/>
          <w:cols w:equalWidth="0" w:num="1">
            <w:col w:w="11020"/>
          </w:cols>
          <w:pgMar w:left="440" w:top="270" w:right="439" w:bottom="1440" w:gutter="0" w:footer="0" w:header="0"/>
        </w:sectPr>
      </w:pPr>
    </w:p>
    <w:bookmarkStart w:id="95" w:name="page96"/>
    <w:bookmarkEnd w:id="95"/>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940"/>
          </w:cols>
          <w:pgMar w:left="440" w:top="270" w:right="519" w:bottom="1440" w:gutter="0" w:footer="0" w:header="0"/>
        </w:sectPr>
      </w:pPr>
    </w:p>
    <w:bookmarkStart w:id="96" w:name="page97"/>
    <w:bookmarkEnd w:id="9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100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1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2051 Ringwood Avenue</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San Jose, CA 95131</w:t>
            </w:r>
          </w:p>
        </w:tc>
        <w:tc>
          <w:tcPr>
            <w:tcW w:w="28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000" w:type="dxa"/>
            <w:vAlign w:val="bottom"/>
          </w:tcPr>
          <w:p>
            <w:pPr>
              <w:spacing w:after="0"/>
              <w:rPr>
                <w:sz w:val="24"/>
                <w:szCs w:val="24"/>
                <w:color w:val="auto"/>
              </w:rPr>
            </w:pPr>
          </w:p>
        </w:tc>
        <w:tc>
          <w:tcPr>
            <w:tcW w:w="2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9"/>
              </w:rPr>
              <w:t>E-Mail: talat@ranitherapeutics.com</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Talat Imran</w:t>
            </w:r>
          </w:p>
        </w:tc>
        <w:tc>
          <w:tcPr>
            <w:tcW w:w="1000" w:type="dxa"/>
            <w:vAlign w:val="bottom"/>
          </w:tcPr>
          <w:p>
            <w:pPr>
              <w:spacing w:after="0"/>
              <w:rPr>
                <w:sz w:val="16"/>
                <w:szCs w:val="16"/>
                <w:color w:val="auto"/>
              </w:rPr>
            </w:pPr>
          </w:p>
        </w:tc>
        <w:tc>
          <w:tcPr>
            <w:tcW w:w="25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Cooley LLP</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3175 Hanover Street</w:t>
            </w: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Alto, California 94304-1130</w:t>
            </w: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John T. McKenna and Josh Seidenfeld at</w:t>
            </w: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jmckenna@cooley.com and jseidenfeld@cooley.com</w:t>
            </w: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ectPr>
          <w:pgSz w:w="11900" w:h="16838" w:orient="portrait"/>
          <w:cols w:equalWidth="0" w:num="1">
            <w:col w:w="10820"/>
          </w:cols>
          <w:pgMar w:left="440" w:top="270" w:right="639" w:bottom="1440" w:gutter="0" w:footer="0" w:header="0"/>
        </w:sectPr>
      </w:pPr>
    </w:p>
    <w:bookmarkStart w:id="97" w:name="page98"/>
    <w:bookmarkEnd w:id="97"/>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SIGNATURE PAGES TO RANI SECURITIES PURCHASE AGREEMENT]</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17145</wp:posOffset>
            </wp:positionV>
            <wp:extent cx="59404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1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18415</wp:posOffset>
            </wp:positionV>
            <wp:extent cx="46805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17145</wp:posOffset>
            </wp:positionV>
            <wp:extent cx="5520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17145</wp:posOffset>
            </wp:positionV>
            <wp:extent cx="5520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17145</wp:posOffset>
            </wp:positionV>
            <wp:extent cx="50317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76"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117"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Series A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117"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Series B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52" w:lineRule="exact"/>
        <w:rPr>
          <w:sz w:val="20"/>
          <w:szCs w:val="20"/>
          <w:color w:val="auto"/>
        </w:rPr>
      </w:pPr>
    </w:p>
    <w:p>
      <w:pPr>
        <w:ind w:left="424" w:hanging="424"/>
        <w:spacing w:after="0" w:line="254" w:lineRule="auto"/>
        <w:tabs>
          <w:tab w:leader="none" w:pos="424" w:val="left"/>
        </w:tabs>
        <w:numPr>
          <w:ilvl w:val="0"/>
          <w:numId w:val="8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ectPr>
          <w:pgSz w:w="11900" w:h="16838" w:orient="portrait"/>
          <w:cols w:equalWidth="0" w:num="1">
            <w:col w:w="10964"/>
          </w:cols>
          <w:pgMar w:left="436" w:top="270" w:right="49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PAGES CONTINUE]</w:t>
      </w:r>
    </w:p>
    <w:p>
      <w:pPr>
        <w:sectPr>
          <w:pgSz w:w="11900" w:h="16838" w:orient="portrait"/>
          <w:cols w:equalWidth="0" w:num="1">
            <w:col w:w="9019"/>
          </w:cols>
          <w:pgMar w:left="1440" w:top="270"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18"/>
          <w:szCs w:val="18"/>
          <w:b w:val="1"/>
          <w:bCs w:val="1"/>
          <w:color w:val="auto"/>
        </w:rPr>
        <w:t xml:space="preserve"> A W</w:t>
      </w:r>
      <w:r>
        <w:rPr>
          <w:rFonts w:ascii="Times New Roman" w:cs="Times New Roman" w:eastAsia="Times New Roman" w:hAnsi="Times New Roman"/>
          <w:sz w:val="14"/>
          <w:szCs w:val="14"/>
          <w:b w:val="1"/>
          <w:bCs w:val="1"/>
          <w:color w:val="auto"/>
        </w:rPr>
        <w:t>ARRANT</w:t>
      </w:r>
    </w:p>
    <w:p>
      <w:pPr>
        <w:sectPr>
          <w:pgSz w:w="11900" w:h="16838" w:orient="portrait"/>
          <w:cols w:equalWidth="0" w:num="1">
            <w:col w:w="9019"/>
          </w:cols>
          <w:pgMar w:left="1440" w:top="266"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18"/>
          <w:szCs w:val="18"/>
          <w:b w:val="1"/>
          <w:bCs w:val="1"/>
          <w:color w:val="auto"/>
        </w:rPr>
        <w:t xml:space="preserve"> B W</w:t>
      </w:r>
      <w:r>
        <w:rPr>
          <w:rFonts w:ascii="Times New Roman" w:cs="Times New Roman" w:eastAsia="Times New Roman" w:hAnsi="Times New Roman"/>
          <w:sz w:val="14"/>
          <w:szCs w:val="14"/>
          <w:b w:val="1"/>
          <w:bCs w:val="1"/>
          <w:color w:val="auto"/>
        </w:rPr>
        <w:t>ARRANT</w:t>
      </w:r>
    </w:p>
    <w:p>
      <w:pPr>
        <w:sectPr>
          <w:pgSz w:w="11900" w:h="16838" w:orient="portrait"/>
          <w:cols w:equalWidth="0" w:num="1">
            <w:col w:w="9019"/>
          </w:cols>
          <w:pgMar w:left="1440" w:top="266"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UNDED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p>
    <w:p>
      <w:pPr>
        <w:sectPr>
          <w:pgSz w:w="11900" w:h="16838" w:orient="portrait"/>
          <w:cols w:equalWidth="0" w:num="1">
            <w:col w:w="9019"/>
          </w:cols>
          <w:pgMar w:left="1440" w:top="266"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2"/>
    </w:lvl>
  </w:abstractNum>
  <w:abstractNum w:abstractNumId="4">
    <w:nsid w:val="6DE91B18"/>
    <w:multiLevelType w:val="hybridMultilevel"/>
    <w:lvl w:ilvl="0">
      <w:lvlJc w:val="left"/>
      <w:lvlText w:val="%1)"/>
      <w:numFmt w:val="lowerLetter"/>
      <w:start w:val="4"/>
    </w:lvl>
    <w:lvl w:ilvl="1">
      <w:lvlJc w:val="left"/>
      <w:lvlText w:val="%2."/>
      <w:numFmt w:val="lowerRoman"/>
      <w:start w:val="1"/>
    </w:lvl>
  </w:abstractNum>
  <w:abstractNum w:abstractNumId="5">
    <w:nsid w:val="38437FDB"/>
    <w:multiLevelType w:val="hybridMultilevel"/>
    <w:lvl w:ilvl="0">
      <w:lvlJc w:val="left"/>
      <w:lvlText w:val="%1."/>
      <w:numFmt w:val="lowerRoman"/>
      <w:start w:val="4"/>
    </w:lvl>
  </w:abstractNum>
  <w:abstractNum w:abstractNumId="6">
    <w:nsid w:val="7644A45C"/>
    <w:multiLevelType w:val="hybridMultilevel"/>
    <w:lvl w:ilvl="0">
      <w:lvlJc w:val="left"/>
      <w:lvlText w:val="%1"/>
      <w:numFmt w:val="lowerLetter"/>
      <w:start w:val="1"/>
    </w:lvl>
    <w:lvl w:ilvl="1">
      <w:lvlJc w:val="left"/>
      <w:lvlText w:val="%2."/>
      <w:numFmt w:val="lowerRoman"/>
      <w:start w:val="6"/>
    </w:lvl>
  </w:abstractNum>
  <w:abstractNum w:abstractNumId="7">
    <w:nsid w:val="32FFF902"/>
    <w:multiLevelType w:val="hybridMultilevel"/>
    <w:lvl w:ilvl="0">
      <w:lvlJc w:val="left"/>
      <w:lvlText w:val="%1)"/>
      <w:numFmt w:val="lowerLetter"/>
      <w:start w:val="5"/>
    </w:lvl>
    <w:lvl w:ilvl="1">
      <w:lvlJc w:val="left"/>
      <w:lvlText w:val="%2"/>
      <w:numFmt w:val="lowerRoman"/>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Letter"/>
      <w:start w:val="2"/>
    </w:lvl>
  </w:abstractNum>
  <w:abstractNum w:abstractNumId="10">
    <w:nsid w:val="749ABB43"/>
    <w:multiLevelType w:val="hybridMultilevel"/>
    <w:lvl w:ilvl="0">
      <w:lvlJc w:val="left"/>
      <w:lvlText w:val="%1)"/>
      <w:numFmt w:val="lowerLetter"/>
      <w:start w:val="4"/>
    </w:lvl>
  </w:abstractNum>
  <w:abstractNum w:abstractNumId="11">
    <w:nsid w:val="3DC240FB"/>
    <w:multiLevelType w:val="hybridMultilevel"/>
    <w:lvl w:ilvl="0">
      <w:lvlJc w:val="left"/>
      <w:lvlText w:val="%1)"/>
      <w:numFmt w:val="lowerLetter"/>
      <w:start w:val="5"/>
    </w:lvl>
    <w:lvl w:ilvl="1">
      <w:lvlJc w:val="left"/>
      <w:lvlText w:val="%2."/>
      <w:numFmt w:val="lowerRoman"/>
      <w:start w:val="1"/>
    </w:lvl>
  </w:abstractNum>
  <w:abstractNum w:abstractNumId="12">
    <w:nsid w:val="1BA026FA"/>
    <w:multiLevelType w:val="hybridMultilevel"/>
    <w:lvl w:ilvl="0">
      <w:lvlJc w:val="left"/>
      <w:lvlText w:val="%1"/>
      <w:numFmt w:val="lowerLetter"/>
      <w:start w:val="1"/>
    </w:lvl>
    <w:lvl w:ilvl="1">
      <w:lvlJc w:val="left"/>
      <w:lvlText w:val="%2."/>
      <w:numFmt w:val="lowerRoman"/>
      <w:start w:val="2"/>
    </w:lvl>
  </w:abstractNum>
  <w:abstractNum w:abstractNumId="13">
    <w:nsid w:val="79A1DEAA"/>
    <w:multiLevelType w:val="hybridMultilevel"/>
    <w:lvl w:ilvl="0">
      <w:lvlJc w:val="left"/>
      <w:lvlText w:val="%1)"/>
      <w:numFmt w:val="lowerLetter"/>
      <w:start w:val="7"/>
    </w:lvl>
    <w:lvl w:ilvl="1">
      <w:lvlJc w:val="left"/>
      <w:lvlText w:val="%2"/>
      <w:numFmt w:val="lowerRoman"/>
      <w:start w:val="1"/>
    </w:lvl>
  </w:abstractNum>
  <w:abstractNum w:abstractNumId="14">
    <w:nsid w:val="75C6C33A"/>
    <w:multiLevelType w:val="hybridMultilevel"/>
    <w:lvl w:ilvl="0">
      <w:lvlJc w:val="left"/>
      <w:lvlText w:val="%1)"/>
      <w:numFmt w:val="lowerLetter"/>
      <w:start w:val="1"/>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lowerLetter"/>
      <w:start w:val="2"/>
    </w:lvl>
  </w:abstractNum>
  <w:abstractNum w:abstractNumId="17">
    <w:nsid w:val="520EEDD1"/>
    <w:multiLevelType w:val="hybridMultilevel"/>
    <w:lvl w:ilvl="0">
      <w:lvlJc w:val="left"/>
      <w:lvlText w:val="%1)"/>
      <w:numFmt w:val="lowerLetter"/>
      <w:start w:val="5"/>
    </w:lvl>
  </w:abstractNum>
  <w:abstractNum w:abstractNumId="18">
    <w:nsid w:val="374A3FE6"/>
    <w:multiLevelType w:val="hybridMultilevel"/>
    <w:lvl w:ilvl="0">
      <w:lvlJc w:val="left"/>
      <w:lvlText w:val="%1)"/>
      <w:numFmt w:val="lowerLetter"/>
      <w:start w:val="1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lowerLetter"/>
      <w:start w:val="1"/>
    </w:lvl>
  </w:abstractNum>
  <w:abstractNum w:abstractNumId="21">
    <w:nsid w:val="649BB77C"/>
    <w:multiLevelType w:val="hybridMultilevel"/>
    <w:lvl w:ilvl="0">
      <w:lvlJc w:val="left"/>
      <w:lvlText w:val="%1)"/>
      <w:numFmt w:val="lowerLetter"/>
      <w:start w:val="2"/>
    </w:lvl>
  </w:abstractNum>
  <w:abstractNum w:abstractNumId="22">
    <w:nsid w:val="275AC794"/>
    <w:multiLevelType w:val="hybridMultilevel"/>
    <w:lvl w:ilvl="0">
      <w:lvlJc w:val="left"/>
      <w:lvlText w:val="%1)"/>
      <w:numFmt w:val="lowerLetter"/>
      <w:start w:val="4"/>
    </w:lvl>
    <w:lvl w:ilvl="1">
      <w:lvlJc w:val="left"/>
      <w:lvlText w:val="%2."/>
      <w:numFmt w:val="lowerRoman"/>
      <w:start w:val="1"/>
    </w:lvl>
  </w:abstractNum>
  <w:abstractNum w:abstractNumId="23">
    <w:nsid w:val="39386575"/>
    <w:multiLevelType w:val="hybridMultilevel"/>
    <w:lvl w:ilvl="0">
      <w:lvlJc w:val="left"/>
      <w:lvlText w:val="%1."/>
      <w:numFmt w:val="lowerRoman"/>
      <w:start w:val="4"/>
    </w:lvl>
  </w:abstractNum>
  <w:abstractNum w:abstractNumId="24">
    <w:nsid w:val="1CF10FD8"/>
    <w:multiLevelType w:val="hybridMultilevel"/>
    <w:lvl w:ilvl="0">
      <w:lvlJc w:val="left"/>
      <w:lvlText w:val="%1"/>
      <w:numFmt w:val="lowerLetter"/>
      <w:start w:val="1"/>
    </w:lvl>
    <w:lvl w:ilvl="1">
      <w:lvlJc w:val="left"/>
      <w:lvlText w:val="%2."/>
      <w:numFmt w:val="lowerRoman"/>
      <w:start w:val="6"/>
    </w:lvl>
  </w:abstractNum>
  <w:abstractNum w:abstractNumId="25">
    <w:nsid w:val="180115BE"/>
    <w:multiLevelType w:val="hybridMultilevel"/>
    <w:lvl w:ilvl="0">
      <w:lvlJc w:val="left"/>
      <w:lvlText w:val="%1)"/>
      <w:numFmt w:val="lowerLetter"/>
      <w:start w:val="5"/>
    </w:lvl>
    <w:lvl w:ilvl="1">
      <w:lvlJc w:val="left"/>
      <w:lvlText w:val="%2"/>
      <w:numFmt w:val="lowerRoman"/>
      <w:start w:val="1"/>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1)"/>
      <w:numFmt w:val="lowerLetter"/>
      <w:start w:val="2"/>
    </w:lvl>
  </w:abstractNum>
  <w:abstractNum w:abstractNumId="28">
    <w:nsid w:val="354FE9F9"/>
    <w:multiLevelType w:val="hybridMultilevel"/>
    <w:lvl w:ilvl="0">
      <w:lvlJc w:val="left"/>
      <w:lvlText w:val="%1)"/>
      <w:numFmt w:val="lowerLetter"/>
      <w:start w:val="4"/>
    </w:lvl>
  </w:abstractNum>
  <w:abstractNum w:abstractNumId="29">
    <w:nsid w:val="15B5AF5C"/>
    <w:multiLevelType w:val="hybridMultilevel"/>
    <w:lvl w:ilvl="0">
      <w:lvlJc w:val="left"/>
      <w:lvlText w:val="%1)"/>
      <w:numFmt w:val="lowerLetter"/>
      <w:start w:val="5"/>
    </w:lvl>
    <w:lvl w:ilvl="1">
      <w:lvlJc w:val="left"/>
      <w:lvlText w:val="%2."/>
      <w:numFmt w:val="lowerRoman"/>
      <w:start w:val="1"/>
    </w:lvl>
  </w:abstractNum>
  <w:abstractNum w:abstractNumId="30">
    <w:nsid w:val="741226BB"/>
    <w:multiLevelType w:val="hybridMultilevel"/>
    <w:lvl w:ilvl="0">
      <w:lvlJc w:val="left"/>
      <w:lvlText w:val="%1)"/>
      <w:numFmt w:val="lowerLetter"/>
      <w:start w:val="7"/>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Letter"/>
      <w:start w:val="3"/>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1)"/>
      <w:numFmt w:val="lowerLetter"/>
      <w:start w:val="5"/>
    </w:lvl>
  </w:abstractNum>
  <w:abstractNum w:abstractNumId="35">
    <w:nsid w:val="7E0C57B1"/>
    <w:multiLevelType w:val="hybridMultilevel"/>
    <w:lvl w:ilvl="0">
      <w:lvlJc w:val="left"/>
      <w:lvlText w:val="%1)"/>
      <w:numFmt w:val="lowerLetter"/>
      <w:start w:val="8"/>
    </w:lvl>
  </w:abstractNum>
  <w:abstractNum w:abstractNumId="36">
    <w:nsid w:val="77AE35EB"/>
    <w:multiLevelType w:val="hybridMultilevel"/>
    <w:lvl w:ilvl="0">
      <w:lvlJc w:val="left"/>
      <w:lvlText w:val="(%1)"/>
      <w:numFmt w:val="decimal"/>
      <w:start w:val="1"/>
    </w:lvl>
    <w:lvl w:ilvl="1">
      <w:lvlJc w:val="left"/>
      <w:lvlText w:val="☐"/>
      <w:numFmt w:val="bullet"/>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3"/>
    </w:lvl>
  </w:abstractNum>
  <w:abstractNum w:abstractNumId="39">
    <w:nsid w:val="5FF87E05"/>
    <w:multiLevelType w:val="hybridMultilevel"/>
    <w:lvl w:ilvl="0">
      <w:lvlJc w:val="left"/>
      <w:lvlText w:val="%1)"/>
      <w:numFmt w:val="lowerLetter"/>
      <w:start w:val="4"/>
    </w:lvl>
    <w:lvl w:ilvl="1">
      <w:lvlJc w:val="left"/>
      <w:lvlText w:val="%2."/>
      <w:numFmt w:val="lowerRoman"/>
      <w:start w:val="1"/>
    </w:lvl>
  </w:abstractNum>
  <w:abstractNum w:abstractNumId="40">
    <w:nsid w:val="2F305DEF"/>
    <w:multiLevelType w:val="hybridMultilevel"/>
    <w:lvl w:ilvl="0">
      <w:lvlJc w:val="left"/>
      <w:lvlText w:val="%1."/>
      <w:numFmt w:val="lowerRoman"/>
      <w:start w:val="3"/>
    </w:lvl>
  </w:abstractNum>
  <w:abstractNum w:abstractNumId="41">
    <w:nsid w:val="25A70BF7"/>
    <w:multiLevelType w:val="hybridMultilevel"/>
    <w:lvl w:ilvl="0">
      <w:lvlJc w:val="left"/>
      <w:lvlText w:val="%1"/>
      <w:numFmt w:val="lowerLetter"/>
      <w:start w:val="1"/>
    </w:lvl>
    <w:lvl w:ilvl="1">
      <w:lvlJc w:val="left"/>
      <w:lvlText w:val="%2."/>
      <w:numFmt w:val="lowerRoman"/>
      <w:start w:val="6"/>
    </w:lvl>
  </w:abstractNum>
  <w:abstractNum w:abstractNumId="42">
    <w:nsid w:val="1DBABF00"/>
    <w:multiLevelType w:val="hybridMultilevel"/>
    <w:lvl w:ilvl="0">
      <w:lvlJc w:val="left"/>
      <w:lvlText w:val="%1)"/>
      <w:numFmt w:val="lowerLetter"/>
      <w:start w:val="5"/>
    </w:lvl>
    <w:lvl w:ilvl="1">
      <w:lvlJc w:val="left"/>
      <w:lvlText w:val="%2"/>
      <w:numFmt w:val="lowerRoman"/>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1)"/>
      <w:numFmt w:val="lowerLetter"/>
      <w:start w:val="4"/>
    </w:lvl>
  </w:abstractNum>
  <w:abstractNum w:abstractNumId="46">
    <w:nsid w:val="5DB70AE5"/>
    <w:multiLevelType w:val="hybridMultilevel"/>
    <w:lvl w:ilvl="0">
      <w:lvlJc w:val="left"/>
      <w:lvlText w:val="%1)"/>
      <w:numFmt w:val="lowerLetter"/>
      <w:start w:val="5"/>
    </w:lvl>
    <w:lvl w:ilvl="1">
      <w:lvlJc w:val="left"/>
      <w:lvlText w:val="%2."/>
      <w:numFmt w:val="lowerRoman"/>
      <w:start w:val="1"/>
    </w:lvl>
  </w:abstractNum>
  <w:abstractNum w:abstractNumId="47">
    <w:nsid w:val="100F8FCA"/>
    <w:multiLevelType w:val="hybridMultilevel"/>
    <w:lvl w:ilvl="0">
      <w:lvlJc w:val="left"/>
      <w:lvlText w:val="%1."/>
      <w:numFmt w:val="lowerRoman"/>
      <w:start w:val="2"/>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2"/>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3"/>
    </w:lvl>
  </w:abstractNum>
  <w:abstractNum w:abstractNumId="52">
    <w:nsid w:val="799D0247"/>
    <w:multiLevelType w:val="hybridMultilevel"/>
    <w:lvl w:ilvl="0">
      <w:lvlJc w:val="left"/>
      <w:lvlText w:val="%1)"/>
      <w:numFmt w:val="lowerLetter"/>
      <w:start w:val="5"/>
    </w:lvl>
  </w:abstractNum>
  <w:abstractNum w:abstractNumId="53">
    <w:nsid w:val="6B94764"/>
    <w:multiLevelType w:val="hybridMultilevel"/>
    <w:lvl w:ilvl="0">
      <w:lvlJc w:val="left"/>
      <w:lvlText w:val="%1)"/>
      <w:numFmt w:val="lowerLetter"/>
      <w:start w:val="1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3"/>
    </w:lvl>
  </w:abstractNum>
  <w:abstractNum w:abstractNumId="56">
    <w:nsid w:val="1EBA5D23"/>
    <w:multiLevelType w:val="hybridMultilevel"/>
    <w:lvl w:ilvl="0">
      <w:lvlJc w:val="left"/>
      <w:lvlText w:val="(%1)"/>
      <w:numFmt w:val="lowerRoman"/>
      <w:start w:val="3"/>
    </w:lvl>
  </w:abstractNum>
  <w:abstractNum w:abstractNumId="57">
    <w:nsid w:val="661E3F1E"/>
    <w:multiLevelType w:val="hybridMultilevel"/>
    <w:lvl w:ilvl="0">
      <w:lvlJc w:val="left"/>
      <w:lvlText w:val="%1"/>
      <w:numFmt w:val="lowerLetter"/>
      <w:start w:val="1"/>
    </w:lvl>
    <w:lvl w:ilvl="1">
      <w:lvlJc w:val="left"/>
      <w:lvlText w:val="(%2)"/>
      <w:numFmt w:val="lowerRoman"/>
      <w:start w:val="1"/>
    </w:lvl>
  </w:abstractNum>
  <w:abstractNum w:abstractNumId="58">
    <w:nsid w:val="5DC79EA8"/>
    <w:multiLevelType w:val="hybridMultilevel"/>
    <w:lvl w:ilvl="0">
      <w:lvlJc w:val="left"/>
      <w:lvlText w:val="(%1)"/>
      <w:numFmt w:val="lowerLetter"/>
      <w:start w:val="8"/>
    </w:lvl>
    <w:lvl w:ilvl="1">
      <w:lvlJc w:val="left"/>
      <w:lvlText w:val="(%2)"/>
      <w:numFmt w:val="lowerRoman"/>
      <w:start w:val="4"/>
    </w:lvl>
  </w:abstractNum>
  <w:abstractNum w:abstractNumId="59">
    <w:nsid w:val="540A471C"/>
    <w:multiLevelType w:val="hybridMultilevel"/>
    <w:lvl w:ilvl="0">
      <w:lvlJc w:val="left"/>
      <w:lvlText w:val="(%1)"/>
      <w:numFmt w:val="lowerRoman"/>
      <w:start w:val="2"/>
    </w:lvl>
  </w:abstractNum>
  <w:abstractNum w:abstractNumId="60">
    <w:nsid w:val="7BD3EE7B"/>
    <w:multiLevelType w:val="hybridMultilevel"/>
    <w:lvl w:ilvl="0">
      <w:lvlJc w:val="left"/>
      <w:lvlText w:val="(%1)"/>
      <w:numFmt w:val="lowerLetter"/>
      <w:start w:val="1"/>
    </w:lvl>
    <w:lvl w:ilvl="1">
      <w:lvlJc w:val="left"/>
      <w:lvlText w:val="(%2)"/>
      <w:numFmt w:val="lowerRoman"/>
      <w:start w:val="1"/>
    </w:lvl>
  </w:abstractNum>
  <w:abstractNum w:abstractNumId="61">
    <w:nsid w:val="51D9C564"/>
    <w:multiLevelType w:val="hybridMultilevel"/>
    <w:lvl w:ilvl="0">
      <w:lvlJc w:val="left"/>
      <w:lvlText w:val="%1"/>
      <w:numFmt w:val="lowerLetter"/>
      <w:start w:val="1"/>
    </w:lvl>
    <w:lvl w:ilvl="1">
      <w:lvlJc w:val="left"/>
      <w:lvlText w:val="(%2)"/>
      <w:numFmt w:val="lowerRoman"/>
      <w:start w:val="3"/>
    </w:lvl>
  </w:abstractNum>
  <w:abstractNum w:abstractNumId="62">
    <w:nsid w:val="613EFDC5"/>
    <w:multiLevelType w:val="hybridMultilevel"/>
    <w:lvl w:ilvl="0">
      <w:lvlJc w:val="left"/>
      <w:lvlText w:val="(%1)"/>
      <w:numFmt w:val="lowerLetter"/>
      <w:start w:val="2"/>
    </w:lvl>
    <w:lvl w:ilvl="1">
      <w:lvlJc w:val="left"/>
      <w:lvlText w:val="(%2)"/>
      <w:numFmt w:val="lowerRoman"/>
      <w:start w:val="1"/>
    </w:lvl>
  </w:abstractNum>
  <w:abstractNum w:abstractNumId="63">
    <w:nsid w:val="BF72B14"/>
    <w:multiLevelType w:val="hybridMultilevel"/>
    <w:lvl w:ilvl="0">
      <w:lvlJc w:val="left"/>
      <w:lvlText w:val="(%1)"/>
      <w:numFmt w:val="lowerLetter"/>
      <w:start w:val="1"/>
    </w:lvl>
    <w:lvl w:ilvl="1">
      <w:lvlJc w:val="left"/>
      <w:lvlText w:val="(%2)"/>
      <w:numFmt w:val="lowerLetter"/>
      <w:start w:val="9"/>
    </w:lvl>
  </w:abstractNum>
  <w:abstractNum w:abstractNumId="64">
    <w:nsid w:val="11447B73"/>
    <w:multiLevelType w:val="hybridMultilevel"/>
    <w:lvl w:ilvl="0">
      <w:lvlJc w:val="left"/>
      <w:lvlText w:val="%1"/>
      <w:numFmt w:val="lowerLetter"/>
      <w:start w:val="1"/>
    </w:lvl>
    <w:lvl w:ilvl="1">
      <w:lvlJc w:val="left"/>
      <w:lvlText w:val="(%2)"/>
      <w:numFmt w:val="lowerRoman"/>
      <w:start w:val="2"/>
    </w:lvl>
  </w:abstractNum>
  <w:abstractNum w:abstractNumId="65">
    <w:nsid w:val="42963E5A"/>
    <w:multiLevelType w:val="hybridMultilevel"/>
    <w:lvl w:ilvl="0">
      <w:lvlJc w:val="left"/>
      <w:lvlText w:val="(%1)"/>
      <w:numFmt w:val="lowerLetter"/>
      <w:start w:val="2"/>
    </w:lvl>
    <w:lvl w:ilvl="1">
      <w:lvlJc w:val="left"/>
      <w:lvlText w:val="(%2)"/>
      <w:numFmt w:val="lowerRoman"/>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4"/>
    </w:lvl>
  </w:abstractNum>
  <w:abstractNum w:abstractNumId="68">
    <w:nsid w:val="1A32234B"/>
    <w:multiLevelType w:val="hybridMultilevel"/>
    <w:lvl w:ilvl="0">
      <w:lvlJc w:val="left"/>
      <w:lvlText w:val="(%1)"/>
      <w:numFmt w:val="lowerLetter"/>
      <w:start w:val="7"/>
    </w:lvl>
  </w:abstractNum>
  <w:abstractNum w:abstractNumId="69">
    <w:nsid w:val="3B0FD379"/>
    <w:multiLevelType w:val="hybridMultilevel"/>
    <w:lvl w:ilvl="0">
      <w:lvlJc w:val="left"/>
      <w:lvlText w:val="(%1)"/>
      <w:numFmt w:val="lowerLetter"/>
      <w:start w:val="8"/>
    </w:lvl>
  </w:abstractNum>
  <w:abstractNum w:abstractNumId="70">
    <w:nsid w:val="68EB2F63"/>
    <w:multiLevelType w:val="hybridMultilevel"/>
    <w:lvl w:ilvl="0">
      <w:lvlJc w:val="left"/>
      <w:lvlText w:val="(%1)"/>
      <w:numFmt w:val="lowerLetter"/>
      <w:start w:val="9"/>
    </w:lvl>
  </w:abstractNum>
  <w:abstractNum w:abstractNumId="71">
    <w:nsid w:val="4962813B"/>
    <w:multiLevelType w:val="hybridMultilevel"/>
    <w:lvl w:ilvl="0">
      <w:lvlJc w:val="left"/>
      <w:lvlText w:val="(%1)"/>
      <w:numFmt w:val="lowerLetter"/>
      <w:start w:val="12"/>
    </w:lvl>
  </w:abstractNum>
  <w:abstractNum w:abstractNumId="72">
    <w:nsid w:val="60B6DF70"/>
    <w:multiLevelType w:val="hybridMultilevel"/>
    <w:lvl w:ilvl="0">
      <w:lvlJc w:val="left"/>
      <w:lvlText w:val="(%1)"/>
      <w:numFmt w:val="lowerLetter"/>
      <w:start w:val="15"/>
    </w:lvl>
  </w:abstractNum>
  <w:abstractNum w:abstractNumId="73">
    <w:nsid w:val="6A5EE64"/>
    <w:multiLevelType w:val="hybridMultilevel"/>
    <w:lvl w:ilvl="0">
      <w:lvlJc w:val="left"/>
      <w:lvlText w:val="%1"/>
      <w:numFmt w:val="lowerRoman"/>
      <w:start w:val="1"/>
    </w:lvl>
    <w:lvl w:ilvl="1">
      <w:lvlJc w:val="left"/>
      <w:lvlText w:val="(%2)"/>
      <w:numFmt w:val="lowerLetter"/>
      <w:start w:val="19"/>
    </w:lvl>
  </w:abstractNum>
  <w:abstractNum w:abstractNumId="74">
    <w:nsid w:val="14330624"/>
    <w:multiLevelType w:val="hybridMultilevel"/>
    <w:lvl w:ilvl="0">
      <w:lvlJc w:val="left"/>
      <w:lvlText w:val="(%1)"/>
      <w:numFmt w:val="lowerRoman"/>
      <w:start w:val="4"/>
    </w:lvl>
    <w:lvl w:ilvl="1">
      <w:lvlJc w:val="left"/>
      <w:lvlText w:val="(%2)"/>
      <w:numFmt w:val="lowerLetter"/>
      <w:start w:val="20"/>
    </w:lvl>
  </w:abstractNum>
  <w:abstractNum w:abstractNumId="75">
    <w:nsid w:val="7FFFCA11"/>
    <w:multiLevelType w:val="hybridMultilevel"/>
    <w:lvl w:ilvl="0">
      <w:lvlJc w:val="left"/>
      <w:lvlText w:val="(%1)"/>
      <w:numFmt w:val="lowerLetter"/>
      <w:start w:val="22"/>
    </w:lvl>
  </w:abstractNum>
  <w:abstractNum w:abstractNumId="76">
    <w:nsid w:val="1A27709E"/>
    <w:multiLevelType w:val="hybridMultilevel"/>
    <w:lvl w:ilvl="0">
      <w:lvlJc w:val="left"/>
      <w:lvlText w:val="(%1)"/>
      <w:numFmt w:val="lowerLetter"/>
      <w:start w:val="26"/>
    </w:lvl>
  </w:abstractNum>
  <w:abstractNum w:abstractNumId="77">
    <w:nsid w:val="71EA1109"/>
    <w:multiLevelType w:val="hybridMultilevel"/>
    <w:lvl w:ilvl="0">
      <w:lvlJc w:val="left"/>
      <w:lvlText w:val="%1"/>
      <w:numFmt w:val="lowerLetter"/>
      <w:start w:val="1"/>
    </w:lvl>
    <w:lvl w:ilvl="1">
      <w:lvlJc w:val="left"/>
      <w:lvlText w:val="(%2)"/>
      <w:numFmt w:val="lowerLetter"/>
      <w:start w:val="27"/>
    </w:lvl>
  </w:abstractNum>
  <w:abstractNum w:abstractNumId="78">
    <w:nsid w:val="100F59DC"/>
    <w:multiLevelType w:val="hybridMultilevel"/>
    <w:lvl w:ilvl="0">
      <w:lvlJc w:val="left"/>
      <w:lvlText w:val="(%1)"/>
      <w:numFmt w:val="lowerLetter"/>
      <w:start w:val="61"/>
    </w:lvl>
    <w:lvl w:ilvl="1">
      <w:lvlJc w:val="left"/>
      <w:lvlText w:val="(%2)"/>
      <w:numFmt w:val="lowerLetter"/>
      <w:start w:val="28"/>
    </w:lvl>
  </w:abstractNum>
  <w:abstractNum w:abstractNumId="79">
    <w:nsid w:val="7FB7E0AA"/>
    <w:multiLevelType w:val="hybridMultilevel"/>
    <w:lvl w:ilvl="0">
      <w:lvlJc w:val="left"/>
      <w:lvlText w:val="(%1)"/>
      <w:numFmt w:val="lowerLetter"/>
      <w:start w:val="31"/>
    </w:lvl>
  </w:abstractNum>
  <w:abstractNum w:abstractNumId="80">
    <w:nsid w:val="6EB5BD4"/>
    <w:multiLevelType w:val="hybridMultilevel"/>
    <w:lvl w:ilvl="0">
      <w:lvlJc w:val="left"/>
      <w:lvlText w:val="(%1)"/>
      <w:numFmt w:val="lowerLetter"/>
      <w:start w:val="35"/>
    </w:lvl>
    <w:lvl w:ilvl="1">
      <w:lvlJc w:val="left"/>
      <w:lvlText w:val="(%2)"/>
      <w:numFmt w:val="lowerLetter"/>
      <w:start w:val="34"/>
    </w:lvl>
  </w:abstractNum>
  <w:abstractNum w:abstractNumId="81">
    <w:nsid w:val="6F6DD9AC"/>
    <w:multiLevelType w:val="hybridMultilevel"/>
    <w:lvl w:ilvl="0">
      <w:lvlJc w:val="left"/>
      <w:lvlText w:val="(%1)"/>
      <w:numFmt w:val="lowerLetter"/>
      <w:start w:val="35"/>
    </w:lvl>
  </w:abstractNum>
  <w:abstractNum w:abstractNumId="82">
    <w:nsid w:val="94211F2"/>
    <w:multiLevelType w:val="hybridMultilevel"/>
    <w:lvl w:ilvl="0">
      <w:lvlJc w:val="left"/>
      <w:lvlText w:val="(%1)"/>
      <w:numFmt w:val="lowerLetter"/>
      <w:start w:val="40"/>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lowerLetter"/>
      <w:start w:val="3"/>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1"/>
      <w:numFmt w:val="lowerLetter"/>
      <w:start w:val="1"/>
    </w:lvl>
    <w:lvl w:ilvl="1">
      <w:lvlJc w:val="left"/>
      <w:lvlText w:val="(%2)"/>
      <w:numFmt w:val="lowerLetter"/>
      <w:start w:val="1"/>
    </w:lvl>
  </w:abstractNum>
  <w:abstractNum w:abstractNumId="87">
    <w:nsid w:val="14E17E33"/>
    <w:multiLevelType w:val="hybridMultilevel"/>
    <w:lvl w:ilvl="0">
      <w:lvlJc w:val="left"/>
      <w:lvlText w:val="(%1)"/>
      <w:numFmt w:val="lowerLetter"/>
      <w:start w:val="35"/>
    </w:lvl>
    <w:lvl w:ilvl="1">
      <w:lvlJc w:val="left"/>
      <w:lvlText w:val="(%2)"/>
      <w:numFmt w:val="lowerLetter"/>
      <w:start w:val="3"/>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2024-07-23T05:29:47Z</dcterms:created>
  <dcterms:modified xsi:type="dcterms:W3CDTF">2024-07-23T05:29:47Z</dcterms:modified>
</cp:coreProperties>
</file>