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26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3" w:lineRule="exact"/>
        <w:rPr>
          <w:sz w:val="24"/>
          <w:szCs w:val="24"/>
          <w:color w:val="auto"/>
        </w:rPr>
      </w:pPr>
    </w:p>
    <w:p>
      <w:pPr>
        <w:ind w:left="2880" w:right="1600" w:hanging="2859"/>
        <w:spacing w:after="0" w:line="281"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001-40672</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-257810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p>
      <w:pPr>
        <w:spacing w:after="0" w:line="4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86-3114789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700" w:space="240"/>
            <w:col w:w="3300"/>
          </w:cols>
          <w:pgMar w:left="320" w:top="512"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3960" w:type="dxa"/>
            <w:vAlign w:val="bottom"/>
          </w:tcPr>
          <w:p>
            <w:pPr>
              <w:jc w:val="center"/>
              <w:ind w:left="1604"/>
              <w:spacing w:after="0"/>
              <w:rPr>
                <w:sz w:val="20"/>
                <w:szCs w:val="20"/>
                <w:color w:val="auto"/>
              </w:rPr>
            </w:pPr>
            <w:r>
              <w:rPr>
                <w:rFonts w:ascii="Arial" w:cs="Arial" w:eastAsia="Arial" w:hAnsi="Arial"/>
                <w:sz w:val="18"/>
                <w:szCs w:val="18"/>
                <w:b w:val="1"/>
                <w:bCs w:val="1"/>
                <w:color w:val="auto"/>
                <w:w w:val="89"/>
              </w:rPr>
              <w:t>2051 Ringwood Avenue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Pr>
          <w:p>
            <w:pPr>
              <w:jc w:val="center"/>
              <w:ind w:left="1584"/>
              <w:spacing w:after="0"/>
              <w:rPr>
                <w:sz w:val="20"/>
                <w:szCs w:val="20"/>
                <w:color w:val="auto"/>
              </w:rPr>
            </w:pPr>
            <w:r>
              <w:rPr>
                <w:rFonts w:ascii="Arial" w:cs="Arial" w:eastAsia="Arial" w:hAnsi="Arial"/>
                <w:sz w:val="18"/>
                <w:szCs w:val="18"/>
                <w:b w:val="1"/>
                <w:bCs w:val="1"/>
                <w:color w:val="auto"/>
                <w:w w:val="89"/>
              </w:rPr>
              <w:t>San Jose, California</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40" w:type="dxa"/>
            <w:vAlign w:val="bottom"/>
          </w:tcPr>
          <w:p>
            <w:pPr>
              <w:jc w:val="right"/>
              <w:ind w:right="2506"/>
              <w:spacing w:after="0"/>
              <w:rPr>
                <w:sz w:val="20"/>
                <w:szCs w:val="20"/>
                <w:color w:val="auto"/>
              </w:rPr>
            </w:pPr>
            <w:r>
              <w:rPr>
                <w:rFonts w:ascii="Arial" w:cs="Arial" w:eastAsia="Arial" w:hAnsi="Arial"/>
                <w:sz w:val="18"/>
                <w:szCs w:val="18"/>
                <w:b w:val="1"/>
                <w:bCs w:val="1"/>
                <w:color w:val="auto"/>
              </w:rPr>
              <w:t>95131</w:t>
            </w:r>
          </w:p>
        </w:tc>
        <w:tc>
          <w:tcPr>
            <w:tcW w:w="0" w:type="dxa"/>
            <w:vAlign w:val="bottom"/>
          </w:tcPr>
          <w:p>
            <w:pPr>
              <w:spacing w:after="0"/>
              <w:rPr>
                <w:sz w:val="1"/>
                <w:szCs w:val="1"/>
                <w:color w:val="auto"/>
              </w:rPr>
            </w:pPr>
          </w:p>
        </w:tc>
      </w:tr>
      <w:tr>
        <w:trPr>
          <w:trHeight w:val="171"/>
        </w:trPr>
        <w:tc>
          <w:tcPr>
            <w:tcW w:w="3960" w:type="dxa"/>
            <w:vAlign w:val="bottom"/>
          </w:tcPr>
          <w:p>
            <w:pPr>
              <w:jc w:val="center"/>
              <w:ind w:left="160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40" w:type="dxa"/>
            <w:vAlign w:val="bottom"/>
          </w:tcPr>
          <w:p>
            <w:pPr>
              <w:jc w:val="center"/>
              <w:ind w:right="2106"/>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34"/>
        </w:trPr>
        <w:tc>
          <w:tcPr>
            <w:tcW w:w="11240" w:type="dxa"/>
            <w:vAlign w:val="bottom"/>
            <w:gridSpan w:val="9"/>
          </w:tcPr>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457-3700</w:t>
            </w: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960" w:type="dxa"/>
            <w:vAlign w:val="bottom"/>
          </w:tcPr>
          <w:p>
            <w:pPr>
              <w:spacing w:after="0"/>
              <w:rPr>
                <w:sz w:val="18"/>
                <w:szCs w:val="18"/>
                <w:color w:val="auto"/>
              </w:rPr>
            </w:pPr>
          </w:p>
        </w:tc>
        <w:tc>
          <w:tcPr>
            <w:tcW w:w="3840" w:type="dxa"/>
            <w:vAlign w:val="bottom"/>
            <w:gridSpan w:val="7"/>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3"/>
                <w:szCs w:val="13"/>
                <w:b w:val="1"/>
                <w:bCs w:val="1"/>
                <w:color w:val="auto"/>
                <w:w w:val="88"/>
              </w:rPr>
              <w:t>Trading</w:t>
            </w:r>
          </w:p>
        </w:tc>
        <w:tc>
          <w:tcPr>
            <w:tcW w:w="10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Title of each class</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5"/>
              </w:rPr>
              <w:t>Symbol(s)</w:t>
            </w: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2"/>
          </w:tcPr>
          <w:p>
            <w:pPr>
              <w:ind w:left="800"/>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77"/>
        </w:trPr>
        <w:tc>
          <w:tcPr>
            <w:tcW w:w="396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vMerge w:val="restart"/>
          </w:tcPr>
          <w:p>
            <w:pPr>
              <w:jc w:val="center"/>
              <w:ind w:right="740"/>
              <w:spacing w:after="0"/>
              <w:rPr>
                <w:sz w:val="20"/>
                <w:szCs w:val="20"/>
                <w:color w:val="auto"/>
              </w:rPr>
            </w:pPr>
            <w:r>
              <w:rPr>
                <w:rFonts w:ascii="Arial" w:cs="Arial" w:eastAsia="Arial" w:hAnsi="Arial"/>
                <w:sz w:val="14"/>
                <w:szCs w:val="14"/>
                <w:color w:val="auto"/>
              </w:rPr>
              <w:t>RANI</w:t>
            </w:r>
          </w:p>
        </w:tc>
        <w:tc>
          <w:tcPr>
            <w:tcW w:w="1060" w:type="dxa"/>
            <w:vAlign w:val="bottom"/>
          </w:tcPr>
          <w:p>
            <w:pPr>
              <w:spacing w:after="0"/>
              <w:rPr>
                <w:sz w:val="15"/>
                <w:szCs w:val="15"/>
                <w:color w:val="auto"/>
              </w:rPr>
            </w:pPr>
          </w:p>
        </w:tc>
        <w:tc>
          <w:tcPr>
            <w:tcW w:w="3440" w:type="dxa"/>
            <w:vAlign w:val="bottom"/>
            <w:vMerge w:val="restart"/>
          </w:tcPr>
          <w:p>
            <w:pP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42"/>
        </w:trPr>
        <w:tc>
          <w:tcPr>
            <w:tcW w:w="3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1060" w:type="dxa"/>
            <w:vAlign w:val="bottom"/>
          </w:tcPr>
          <w:p>
            <w:pPr>
              <w:spacing w:after="0"/>
              <w:rPr>
                <w:sz w:val="3"/>
                <w:szCs w:val="3"/>
                <w:color w:val="auto"/>
              </w:rPr>
            </w:pPr>
          </w:p>
        </w:tc>
        <w:tc>
          <w:tcPr>
            <w:tcW w:w="3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3840" w:type="dxa"/>
            <w:vAlign w:val="bottom"/>
            <w:gridSpan w:val="7"/>
          </w:tcPr>
          <w:p>
            <w:pPr>
              <w:jc w:val="center"/>
              <w:ind w:left="28"/>
              <w:spacing w:after="0" w:line="148" w:lineRule="exact"/>
              <w:rPr>
                <w:sz w:val="20"/>
                <w:szCs w:val="20"/>
                <w:color w:val="auto"/>
              </w:rPr>
            </w:pPr>
            <w:r>
              <w:rPr>
                <w:rFonts w:ascii="Arial" w:cs="Arial" w:eastAsia="Arial" w:hAnsi="Arial"/>
                <w:sz w:val="14"/>
                <w:szCs w:val="14"/>
                <w:color w:val="auto"/>
                <w:w w:val="93"/>
              </w:rPr>
              <w:t>Securities registered pursuant to Section 12(g) of the Act: None.</w:t>
            </w:r>
          </w:p>
        </w:tc>
        <w:tc>
          <w:tcPr>
            <w:tcW w:w="3440" w:type="dxa"/>
            <w:vAlign w:val="bottom"/>
            <w:vMerge w:val="restart"/>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3"/>
        </w:trPr>
        <w:tc>
          <w:tcPr>
            <w:tcW w:w="7800" w:type="dxa"/>
            <w:vAlign w:val="bottom"/>
            <w:gridSpan w:val="8"/>
          </w:tcPr>
          <w:p>
            <w:pPr>
              <w:ind w:left="60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00" w:type="dxa"/>
            <w:vAlign w:val="bottom"/>
            <w:gridSpan w:val="8"/>
          </w:tcPr>
          <w:p>
            <w:pPr>
              <w:ind w:left="60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344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0" w:firstLine="599"/>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40" w:firstLine="599"/>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59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10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640" w:firstLine="599"/>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599"/>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599"/>
        <w:spacing w:after="0" w:line="17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599"/>
        <w:spacing w:after="0" w:line="17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300" w:val="left"/>
          <w:tab w:leader="none" w:pos="78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ind w:right="220" w:firstLine="599"/>
        <w:spacing w:after="0" w:line="251" w:lineRule="auto"/>
        <w:rPr>
          <w:sz w:val="20"/>
          <w:szCs w:val="20"/>
          <w:color w:val="auto"/>
        </w:rPr>
      </w:pPr>
      <w:r>
        <w:rPr>
          <w:rFonts w:ascii="Arial" w:cs="Arial" w:eastAsia="Arial" w:hAnsi="Arial"/>
          <w:sz w:val="13"/>
          <w:szCs w:val="13"/>
          <w:color w:val="auto"/>
        </w:rPr>
        <w:t>The aggregate market value of the registrant’s voting and non-voting common equity held by non-affiliates as of June 30, 2022, the last business day of the registrant’s most recently completed second fiscal quarter, was approximately $128.2 million, based on the closing price of the registrant’s common stock on the Nasdaq Global Select Market of $10.33 per share.</w:t>
      </w:r>
    </w:p>
    <w:p>
      <w:pPr>
        <w:spacing w:after="0" w:line="1" w:lineRule="exact"/>
        <w:rPr>
          <w:sz w:val="24"/>
          <w:szCs w:val="24"/>
          <w:color w:val="auto"/>
        </w:rPr>
      </w:pPr>
    </w:p>
    <w:p>
      <w:pPr>
        <w:ind w:right="40" w:firstLine="599"/>
        <w:spacing w:after="0" w:line="229" w:lineRule="auto"/>
        <w:rPr>
          <w:sz w:val="20"/>
          <w:szCs w:val="20"/>
          <w:color w:val="auto"/>
        </w:rPr>
      </w:pPr>
      <w:r>
        <w:rPr>
          <w:rFonts w:ascii="Arial" w:cs="Arial" w:eastAsia="Arial" w:hAnsi="Arial"/>
          <w:sz w:val="14"/>
          <w:szCs w:val="14"/>
          <w:color w:val="auto"/>
        </w:rPr>
        <w:t>As of March 16, 2023, the registrant had 25,295,159 shares of Class A common stock, $0.0001 par value per share, outstanding, 24,116,444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 w:lineRule="exact"/>
        <w:rPr>
          <w:sz w:val="24"/>
          <w:szCs w:val="24"/>
          <w:color w:val="auto"/>
        </w:rPr>
      </w:pPr>
    </w:p>
    <w:p>
      <w:pPr>
        <w:ind w:right="140" w:firstLine="599"/>
        <w:spacing w:after="0" w:line="238" w:lineRule="auto"/>
        <w:rPr>
          <w:sz w:val="20"/>
          <w:szCs w:val="20"/>
          <w:color w:val="auto"/>
        </w:rPr>
      </w:pPr>
      <w:r>
        <w:rPr>
          <w:rFonts w:ascii="Arial" w:cs="Arial" w:eastAsia="Arial" w:hAnsi="Arial"/>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2023, which definitive proxy statement shall be filed with the Securities and Exchange Commission within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2120" w:type="dxa"/>
            <w:vAlign w:val="bottom"/>
            <w:gridSpan w:val="7"/>
            <w:vMerge w:val="restart"/>
          </w:tcPr>
          <w:p>
            <w:pPr>
              <w:spacing w:after="0"/>
              <w:rPr>
                <w:sz w:val="20"/>
                <w:szCs w:val="20"/>
                <w:color w:val="auto"/>
              </w:rPr>
            </w:pPr>
            <w:r>
              <w:rPr>
                <w:rFonts w:ascii="Arial" w:cs="Arial" w:eastAsia="Arial" w:hAnsi="Arial"/>
                <w:sz w:val="18"/>
                <w:szCs w:val="18"/>
                <w:color w:val="0000FF"/>
                <w:w w:val="90"/>
              </w:rPr>
              <w:t>Forward-Looking Statements</w:t>
            </w:r>
          </w:p>
        </w:tc>
        <w:tc>
          <w:tcPr>
            <w:tcW w:w="8320" w:type="dxa"/>
            <w:vAlign w:val="bottom"/>
            <w:gridSpan w:val="17"/>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2120" w:type="dxa"/>
            <w:vAlign w:val="bottom"/>
            <w:tcBorders>
              <w:bottom w:val="single" w:sz="8" w:color="0000FF"/>
            </w:tcBorders>
            <w:gridSpan w:val="7"/>
            <w:vMerge w:val="continue"/>
          </w:tcPr>
          <w:p>
            <w:pPr>
              <w:spacing w:after="0"/>
              <w:rPr>
                <w:sz w:val="14"/>
                <w:szCs w:val="14"/>
                <w:color w:val="auto"/>
              </w:rPr>
            </w:pPr>
          </w:p>
        </w:tc>
        <w:tc>
          <w:tcPr>
            <w:tcW w:w="832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79"/>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w:t>
            </w:r>
          </w:p>
        </w:tc>
        <w:tc>
          <w:tcPr>
            <w:tcW w:w="9280" w:type="dxa"/>
            <w:vAlign w:val="bottom"/>
            <w:gridSpan w:val="22"/>
          </w:tcPr>
          <w:p>
            <w:pPr>
              <w:spacing w:after="0" w:line="190"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2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1B.</w:t>
            </w:r>
          </w:p>
        </w:tc>
        <w:tc>
          <w:tcPr>
            <w:tcW w:w="928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80" w:type="dxa"/>
            <w:vAlign w:val="bottom"/>
            <w:gridSpan w:val="22"/>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8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8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79"/>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5.</w:t>
            </w:r>
          </w:p>
        </w:tc>
        <w:tc>
          <w:tcPr>
            <w:tcW w:w="9280" w:type="dxa"/>
            <w:vAlign w:val="bottom"/>
            <w:gridSpan w:val="22"/>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280" w:type="dxa"/>
            <w:vAlign w:val="bottom"/>
            <w:gridSpan w:val="22"/>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7.</w:t>
            </w:r>
          </w:p>
        </w:tc>
        <w:tc>
          <w:tcPr>
            <w:tcW w:w="928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7A.</w:t>
            </w:r>
          </w:p>
        </w:tc>
        <w:tc>
          <w:tcPr>
            <w:tcW w:w="92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8.</w:t>
            </w:r>
          </w:p>
        </w:tc>
        <w:tc>
          <w:tcPr>
            <w:tcW w:w="928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9.</w:t>
            </w:r>
          </w:p>
        </w:tc>
        <w:tc>
          <w:tcPr>
            <w:tcW w:w="928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9A.</w:t>
            </w:r>
          </w:p>
        </w:tc>
        <w:tc>
          <w:tcPr>
            <w:tcW w:w="9280" w:type="dxa"/>
            <w:vAlign w:val="bottom"/>
            <w:gridSpan w:val="22"/>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9B.</w:t>
            </w:r>
          </w:p>
        </w:tc>
        <w:tc>
          <w:tcPr>
            <w:tcW w:w="92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9C.</w:t>
            </w:r>
          </w:p>
        </w:tc>
        <w:tc>
          <w:tcPr>
            <w:tcW w:w="92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79"/>
        </w:trPr>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Item 10.</w:t>
            </w:r>
          </w:p>
        </w:tc>
        <w:tc>
          <w:tcPr>
            <w:tcW w:w="9280" w:type="dxa"/>
            <w:vAlign w:val="bottom"/>
            <w:gridSpan w:val="22"/>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11.</w:t>
            </w:r>
          </w:p>
        </w:tc>
        <w:tc>
          <w:tcPr>
            <w:tcW w:w="928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12.</w:t>
            </w:r>
          </w:p>
        </w:tc>
        <w:tc>
          <w:tcPr>
            <w:tcW w:w="928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13.</w:t>
            </w:r>
          </w:p>
        </w:tc>
        <w:tc>
          <w:tcPr>
            <w:tcW w:w="928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14.</w:t>
            </w:r>
          </w:p>
        </w:tc>
        <w:tc>
          <w:tcPr>
            <w:tcW w:w="928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15.</w:t>
            </w:r>
          </w:p>
        </w:tc>
        <w:tc>
          <w:tcPr>
            <w:tcW w:w="9280" w:type="dxa"/>
            <w:vAlign w:val="bottom"/>
            <w:gridSpan w:val="22"/>
          </w:tcPr>
          <w:p>
            <w:pPr>
              <w:spacing w:after="0"/>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16.</w:t>
            </w:r>
          </w:p>
        </w:tc>
        <w:tc>
          <w:tcPr>
            <w:tcW w:w="9280" w:type="dxa"/>
            <w:vAlign w:val="bottom"/>
            <w:gridSpan w:val="22"/>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11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40" w:firstLine="1018"/>
        <w:spacing w:after="0" w:line="286" w:lineRule="auto"/>
        <w:rPr>
          <w:sz w:val="20"/>
          <w:szCs w:val="20"/>
          <w:color w:val="auto"/>
        </w:rPr>
      </w:pPr>
      <w:r>
        <w:rPr>
          <w:rFonts w:ascii="Arial" w:cs="Arial" w:eastAsia="Arial" w:hAnsi="Arial"/>
          <w:sz w:val="17"/>
          <w:szCs w:val="17"/>
          <w:i w:val="1"/>
          <w:iCs w:val="1"/>
          <w:color w:val="auto"/>
        </w:rPr>
        <w:t>Unless otherwise stated or the context otherwise requires, throughout this Annual Report on Form 10-K, the terms “we,” “us,” and “our,” and similar references refer to Rani Therapeutics Holdings, Inc. (“Rani Holdings”) and its consolidated subsidiary, Rani Therapeutics, LLC (“Rani LLC”) and, prior to December 15, 2022, Rani Management Systems, Inc. (“RMS”). RMS was dissolved as of December 15, 2022.</w:t>
      </w:r>
    </w:p>
    <w:p>
      <w:pPr>
        <w:spacing w:after="0" w:line="165" w:lineRule="exact"/>
        <w:rPr>
          <w:sz w:val="20"/>
          <w:szCs w:val="20"/>
          <w:color w:val="auto"/>
        </w:rPr>
      </w:pPr>
    </w:p>
    <w:p>
      <w:pPr>
        <w:ind w:right="40" w:firstLine="1018"/>
        <w:spacing w:after="0" w:line="286" w:lineRule="auto"/>
        <w:rPr>
          <w:sz w:val="20"/>
          <w:szCs w:val="20"/>
          <w:color w:val="auto"/>
        </w:rPr>
      </w:pPr>
      <w:r>
        <w:rPr>
          <w:rFonts w:ascii="Arial" w:cs="Arial" w:eastAsia="Arial" w:hAnsi="Arial"/>
          <w:sz w:val="16"/>
          <w:szCs w:val="16"/>
          <w:i w:val="1"/>
          <w:iCs w:val="1"/>
          <w:color w:val="auto"/>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Arial" w:cs="Arial" w:eastAsia="Arial" w:hAnsi="Arial"/>
          <w:sz w:val="18"/>
          <w:szCs w:val="18"/>
          <w:i w:val="1"/>
          <w:iCs w:val="1"/>
          <w:color w:val="auto"/>
          <w:vertAlign w:val="superscript"/>
        </w:rPr>
        <w:t>®</w:t>
      </w:r>
      <w:r>
        <w:rPr>
          <w:rFonts w:ascii="Arial" w:cs="Arial" w:eastAsia="Arial" w:hAnsi="Arial"/>
          <w:sz w:val="16"/>
          <w:szCs w:val="16"/>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1018"/>
        <w:spacing w:after="0" w:line="290" w:lineRule="auto"/>
        <w:rPr>
          <w:sz w:val="20"/>
          <w:szCs w:val="20"/>
          <w:color w:val="auto"/>
        </w:rPr>
      </w:pPr>
      <w:r>
        <w:rPr>
          <w:rFonts w:ascii="Arial" w:cs="Arial" w:eastAsia="Arial" w:hAnsi="Arial"/>
          <w:sz w:val="16"/>
          <w:szCs w:val="16"/>
          <w:color w:val="auto"/>
        </w:rPr>
        <w:t>This Annual Report on Form 10-K, including the section titled "</w:t>
      </w:r>
      <w:r>
        <w:rPr>
          <w:rFonts w:ascii="Arial" w:cs="Arial" w:eastAsia="Arial" w:hAnsi="Arial"/>
          <w:sz w:val="16"/>
          <w:szCs w:val="16"/>
          <w:i w:val="1"/>
          <w:iCs w:val="1"/>
          <w:color w:val="auto"/>
        </w:rPr>
        <w:t>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of Operations</w:t>
      </w:r>
      <w:r>
        <w:rPr>
          <w:rFonts w:ascii="Arial" w:cs="Arial" w:eastAsia="Arial" w:hAnsi="Arial"/>
          <w:sz w:val="16"/>
          <w:szCs w:val="16"/>
          <w:color w:val="auto"/>
        </w:rPr>
        <w:t>," contains forward-looking statements. All statements other than statements of historical facts 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60" w:firstLine="1018"/>
        <w:spacing w:after="0" w:line="311"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spacing w:after="0" w:line="149"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progress and focus of our current and future clinical trials in the United States and abroad, and the reporting of data from those trials;</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25"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70" w:lineRule="exact"/>
        <w:rPr>
          <w:rFonts w:ascii="Arial" w:cs="Arial" w:eastAsia="Arial" w:hAnsi="Arial"/>
          <w:sz w:val="18"/>
          <w:szCs w:val="18"/>
          <w:color w:val="auto"/>
        </w:rPr>
      </w:pPr>
    </w:p>
    <w:p>
      <w:pPr>
        <w:jc w:val="both"/>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currently used for our product candidates;</w:t>
      </w:r>
    </w:p>
    <w:p>
      <w:pPr>
        <w:spacing w:after="0" w:line="18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25"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36" w:lineRule="exact"/>
        <w:rPr>
          <w:rFonts w:ascii="Arial" w:cs="Arial" w:eastAsia="Arial" w:hAnsi="Arial"/>
          <w:sz w:val="17"/>
          <w:szCs w:val="17"/>
          <w:color w:val="auto"/>
        </w:rPr>
      </w:pPr>
    </w:p>
    <w:p>
      <w:pPr>
        <w:ind w:left="1020" w:right="2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sufficiency of our existing cash and cash equivalents to fund our future operating expenses and capital expenditure requirements;</w:t>
      </w:r>
    </w:p>
    <w:p>
      <w:pPr>
        <w:spacing w:after="0" w:line="236"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and the conflict between Ukraine and Russia on our business;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25" w:lineRule="exact"/>
        <w:rPr>
          <w:rFonts w:ascii="Arial" w:cs="Arial" w:eastAsia="Arial" w:hAnsi="Arial"/>
          <w:sz w:val="18"/>
          <w:szCs w:val="18"/>
          <w:color w:val="auto"/>
        </w:rPr>
      </w:pPr>
    </w:p>
    <w:p>
      <w:pPr>
        <w:ind w:left="1020" w:right="38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123" w:lineRule="exact"/>
        <w:rPr>
          <w:rFonts w:ascii="Arial" w:cs="Arial" w:eastAsia="Arial" w:hAnsi="Arial"/>
          <w:sz w:val="16"/>
          <w:szCs w:val="16"/>
          <w:color w:val="auto"/>
        </w:rPr>
      </w:pPr>
    </w:p>
    <w:p>
      <w:pPr>
        <w:ind w:left="1020" w:right="5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(the “JOBS Act”).</w:t>
      </w:r>
    </w:p>
    <w:p>
      <w:pPr>
        <w:spacing w:after="0" w:line="197" w:lineRule="exact"/>
        <w:rPr>
          <w:sz w:val="20"/>
          <w:szCs w:val="20"/>
          <w:color w:val="auto"/>
        </w:rPr>
      </w:pPr>
    </w:p>
    <w:p>
      <w:pPr>
        <w:ind w:firstLine="1018"/>
        <w:spacing w:after="0" w:line="255" w:lineRule="auto"/>
        <w:rPr>
          <w:sz w:val="20"/>
          <w:szCs w:val="20"/>
          <w:color w:val="auto"/>
        </w:rPr>
      </w:pPr>
      <w:r>
        <w:rPr>
          <w:rFonts w:ascii="Arial" w:cs="Arial" w:eastAsia="Arial" w:hAnsi="Arial"/>
          <w:sz w:val="18"/>
          <w:szCs w:val="18"/>
          <w:color w:val="auto"/>
        </w:rPr>
        <w:t xml:space="preserve">These forward-looking statements are subject to a number of risks, uncertainties, and assumptions described in the section 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and elsewhere in this Annual Report on Form 10-K. Because forward-looking statements are inherently subject to risks and uncertainties,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92"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spacing w:after="0" w:line="188" w:lineRule="exact"/>
        <w:rPr>
          <w:sz w:val="20"/>
          <w:szCs w:val="20"/>
          <w:color w:val="auto"/>
        </w:rPr>
      </w:pPr>
    </w:p>
    <w:p>
      <w:pPr>
        <w:ind w:left="1020" w:hanging="503"/>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ind w:left="544" w:right="18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rFonts w:ascii="Arial" w:cs="Arial" w:eastAsia="Arial" w:hAnsi="Arial"/>
          <w:sz w:val="18"/>
          <w:szCs w:val="18"/>
          <w:color w:val="auto"/>
        </w:rPr>
      </w:pPr>
    </w:p>
    <w:p>
      <w:pPr>
        <w:ind w:left="544" w:right="54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we are unable to raise additional capital when needed on acceptable terms, we may be forced to delay, limit, reduce or terminate our product development programs, commercialization efforts or other operations.</w:t>
      </w:r>
    </w:p>
    <w:p>
      <w:pPr>
        <w:spacing w:after="0" w:line="170" w:lineRule="exact"/>
        <w:rPr>
          <w:rFonts w:ascii="Arial" w:cs="Arial" w:eastAsia="Arial" w:hAnsi="Arial"/>
          <w:sz w:val="18"/>
          <w:szCs w:val="18"/>
          <w:color w:val="auto"/>
        </w:rPr>
      </w:pPr>
    </w:p>
    <w:p>
      <w:pPr>
        <w:ind w:left="544" w:right="14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existing indebtedness contains restrictions that limit our flexibility in operating our business. In addition, we may be required to make a prepayment or repay our outstanding indebtedness earlier than we expect.</w:t>
      </w:r>
    </w:p>
    <w:p>
      <w:pPr>
        <w:spacing w:after="0" w:line="170" w:lineRule="exact"/>
        <w:rPr>
          <w:rFonts w:ascii="Arial" w:cs="Arial" w:eastAsia="Arial" w:hAnsi="Arial"/>
          <w:sz w:val="18"/>
          <w:szCs w:val="18"/>
          <w:color w:val="auto"/>
        </w:rPr>
      </w:pPr>
    </w:p>
    <w:p>
      <w:pPr>
        <w:ind w:left="544" w:right="100" w:hanging="503"/>
        <w:spacing w:after="0" w:line="259"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86" w:lineRule="exact"/>
        <w:rPr>
          <w:rFonts w:ascii="Arial" w:cs="Arial" w:eastAsia="Arial" w:hAnsi="Arial"/>
          <w:sz w:val="18"/>
          <w:szCs w:val="18"/>
          <w:color w:val="auto"/>
        </w:rPr>
      </w:pPr>
    </w:p>
    <w:p>
      <w:pPr>
        <w:ind w:left="544" w:right="52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70" w:lineRule="exact"/>
        <w:rPr>
          <w:rFonts w:ascii="Arial" w:cs="Arial" w:eastAsia="Arial" w:hAnsi="Arial"/>
          <w:sz w:val="18"/>
          <w:szCs w:val="18"/>
          <w:color w:val="auto"/>
        </w:rPr>
      </w:pPr>
    </w:p>
    <w:p>
      <w:pPr>
        <w:ind w:left="544" w:hanging="503"/>
        <w:spacing w:after="0" w:line="286" w:lineRule="auto"/>
        <w:tabs>
          <w:tab w:leader="none" w:pos="544" w:val="left"/>
        </w:tabs>
        <w:numPr>
          <w:ilvl w:val="1"/>
          <w:numId w:val="6"/>
        </w:numPr>
        <w:rPr>
          <w:rFonts w:ascii="Arial" w:cs="Arial" w:eastAsia="Arial" w:hAnsi="Arial"/>
          <w:sz w:val="17"/>
          <w:szCs w:val="17"/>
          <w:color w:val="auto"/>
        </w:rPr>
      </w:pPr>
      <w:r>
        <w:rPr>
          <w:rFonts w:ascii="Arial" w:cs="Arial" w:eastAsia="Arial" w:hAnsi="Arial"/>
          <w:sz w:val="17"/>
          <w:szCs w:val="17"/>
          <w:color w:val="auto"/>
        </w:rPr>
        <w:t>As an organization, we have conducted limited early clinical development, have not submitted an investigational new drug application, (“IND”), to the U.S. Food and Drug Administration (“FDA”), and we have never conducted later-stage clinical trials or submitted a Biologics License Application (“BLA”) or New Drug Application (“NDA”), and may be unable to do so for any of our product candidates.</w:t>
      </w:r>
    </w:p>
    <w:p>
      <w:pPr>
        <w:spacing w:after="0" w:line="165" w:lineRule="exact"/>
        <w:rPr>
          <w:rFonts w:ascii="Arial" w:cs="Arial" w:eastAsia="Arial" w:hAnsi="Arial"/>
          <w:sz w:val="17"/>
          <w:szCs w:val="17"/>
          <w:color w:val="auto"/>
        </w:rPr>
      </w:pPr>
    </w:p>
    <w:p>
      <w:pPr>
        <w:ind w:left="544" w:right="160" w:hanging="503"/>
        <w:spacing w:after="0" w:line="263"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3" w:lineRule="exact"/>
        <w:rPr>
          <w:rFonts w:ascii="Arial" w:cs="Arial" w:eastAsia="Arial" w:hAnsi="Arial"/>
          <w:sz w:val="18"/>
          <w:szCs w:val="18"/>
          <w:color w:val="auto"/>
        </w:rPr>
      </w:pPr>
    </w:p>
    <w:p>
      <w:pPr>
        <w:ind w:left="544" w:right="40" w:hanging="503"/>
        <w:spacing w:after="0" w:line="259"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6" w:lineRule="exact"/>
        <w:rPr>
          <w:rFonts w:ascii="Arial" w:cs="Arial" w:eastAsia="Arial" w:hAnsi="Arial"/>
          <w:sz w:val="18"/>
          <w:szCs w:val="18"/>
          <w:color w:val="auto"/>
        </w:rPr>
      </w:pPr>
    </w:p>
    <w:p>
      <w:pPr>
        <w:ind w:left="544" w:hanging="503"/>
        <w:spacing w:after="0"/>
        <w:tabs>
          <w:tab w:leader="none" w:pos="544"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have limited clinical data on our product candidates to indicate whether they are safe or effective for long-term use in humans.</w:t>
      </w:r>
    </w:p>
    <w:p>
      <w:pPr>
        <w:spacing w:after="0" w:line="236" w:lineRule="exact"/>
        <w:rPr>
          <w:rFonts w:ascii="Arial" w:cs="Arial" w:eastAsia="Arial" w:hAnsi="Arial"/>
          <w:sz w:val="17"/>
          <w:szCs w:val="17"/>
          <w:color w:val="auto"/>
        </w:rPr>
      </w:pPr>
    </w:p>
    <w:p>
      <w:pPr>
        <w:ind w:left="564" w:right="20" w:hanging="564"/>
        <w:spacing w:after="0" w:line="279" w:lineRule="auto"/>
        <w:tabs>
          <w:tab w:leader="none" w:pos="564"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third-party suppliers for key materials used in our manufacturing processes as well as for the manufacturing of active pharmaceutical ingredients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71" w:lineRule="exact"/>
        <w:rPr>
          <w:rFonts w:ascii="Arial" w:cs="Arial" w:eastAsia="Arial" w:hAnsi="Arial"/>
          <w:sz w:val="17"/>
          <w:szCs w:val="17"/>
          <w:color w:val="auto"/>
        </w:rPr>
      </w:pPr>
    </w:p>
    <w:p>
      <w:pPr>
        <w:ind w:left="544" w:right="6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170" w:lineRule="exact"/>
        <w:rPr>
          <w:rFonts w:ascii="Arial" w:cs="Arial" w:eastAsia="Arial" w:hAnsi="Arial"/>
          <w:sz w:val="18"/>
          <w:szCs w:val="18"/>
          <w:color w:val="auto"/>
        </w:rPr>
      </w:pPr>
    </w:p>
    <w:p>
      <w:pPr>
        <w:ind w:left="544" w:right="140" w:hanging="503"/>
        <w:spacing w:after="0" w:line="263"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inability to develop, or difficulties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183" w:lineRule="exact"/>
        <w:rPr>
          <w:rFonts w:ascii="Arial" w:cs="Arial" w:eastAsia="Arial" w:hAnsi="Arial"/>
          <w:sz w:val="18"/>
          <w:szCs w:val="18"/>
          <w:color w:val="auto"/>
        </w:rPr>
      </w:pPr>
    </w:p>
    <w:p>
      <w:pPr>
        <w:ind w:left="544" w:right="30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rFonts w:ascii="Arial" w:cs="Arial" w:eastAsia="Arial" w:hAnsi="Arial"/>
          <w:sz w:val="18"/>
          <w:szCs w:val="18"/>
          <w:color w:val="auto"/>
        </w:rPr>
      </w:pPr>
    </w:p>
    <w:p>
      <w:pPr>
        <w:ind w:left="544" w:right="160" w:hanging="503"/>
        <w:spacing w:after="0" w:line="277" w:lineRule="auto"/>
        <w:tabs>
          <w:tab w:leader="none" w:pos="544"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70" w:lineRule="exact"/>
        <w:rPr>
          <w:rFonts w:ascii="Arial" w:cs="Arial" w:eastAsia="Arial" w:hAnsi="Arial"/>
          <w:sz w:val="18"/>
          <w:szCs w:val="18"/>
          <w:color w:val="auto"/>
        </w:rPr>
      </w:pPr>
    </w:p>
    <w:p>
      <w:pPr>
        <w:jc w:val="both"/>
        <w:ind w:left="544" w:right="100" w:hanging="503"/>
        <w:spacing w:after="0" w:line="342" w:lineRule="auto"/>
        <w:tabs>
          <w:tab w:leader="none" w:pos="544" w:val="left"/>
        </w:tabs>
        <w:numPr>
          <w:ilvl w:val="1"/>
          <w:numId w:val="6"/>
        </w:numPr>
        <w:rPr>
          <w:rFonts w:ascii="Arial" w:cs="Arial" w:eastAsia="Arial" w:hAnsi="Arial"/>
          <w:sz w:val="16"/>
          <w:szCs w:val="16"/>
          <w:color w:val="auto"/>
        </w:rPr>
      </w:pPr>
      <w:r>
        <w:rPr>
          <w:rFonts w:ascii="Arial" w:cs="Arial" w:eastAsia="Arial" w:hAnsi="Arial"/>
          <w:sz w:val="16"/>
          <w:szCs w:val="16"/>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4"/>
          </w:cols>
          <w:pgMar w:left="796" w:top="557" w:right="339" w:bottom="1440" w:gutter="0" w:footer="0" w:header="0"/>
        </w:sectPr>
      </w:pPr>
    </w:p>
    <w:bookmarkStart w:id="5" w:name="page6"/>
    <w:bookmarkEnd w:id="5"/>
    <w:p>
      <w:pPr>
        <w:ind w:left="503" w:hanging="503"/>
        <w:spacing w:after="0"/>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25" w:lineRule="exact"/>
        <w:rPr>
          <w:rFonts w:ascii="Arial" w:cs="Arial" w:eastAsia="Arial" w:hAnsi="Arial"/>
          <w:sz w:val="18"/>
          <w:szCs w:val="18"/>
          <w:color w:val="auto"/>
        </w:rPr>
      </w:pPr>
    </w:p>
    <w:p>
      <w:pPr>
        <w:ind w:left="503" w:right="140" w:hanging="503"/>
        <w:spacing w:after="0" w:line="263" w:lineRule="auto"/>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83" w:lineRule="exact"/>
        <w:rPr>
          <w:rFonts w:ascii="Arial" w:cs="Arial" w:eastAsia="Arial" w:hAnsi="Arial"/>
          <w:sz w:val="18"/>
          <w:szCs w:val="18"/>
          <w:color w:val="auto"/>
        </w:rPr>
      </w:pPr>
    </w:p>
    <w:p>
      <w:pPr>
        <w:ind w:left="503" w:right="20" w:hanging="503"/>
        <w:spacing w:after="0" w:line="301"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57" w:lineRule="exact"/>
        <w:rPr>
          <w:rFonts w:ascii="Arial" w:cs="Arial" w:eastAsia="Arial" w:hAnsi="Arial"/>
          <w:sz w:val="16"/>
          <w:szCs w:val="16"/>
          <w:color w:val="auto"/>
        </w:rPr>
      </w:pPr>
    </w:p>
    <w:p>
      <w:pPr>
        <w:ind w:left="503" w:right="280" w:hanging="503"/>
        <w:spacing w:after="0" w:line="277" w:lineRule="auto"/>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170" w:lineRule="exact"/>
        <w:rPr>
          <w:rFonts w:ascii="Arial" w:cs="Arial" w:eastAsia="Arial" w:hAnsi="Arial"/>
          <w:sz w:val="18"/>
          <w:szCs w:val="18"/>
          <w:color w:val="auto"/>
        </w:rPr>
      </w:pPr>
    </w:p>
    <w:p>
      <w:pPr>
        <w:ind w:left="503" w:right="220" w:hanging="503"/>
        <w:spacing w:after="0" w:line="308" w:lineRule="auto"/>
        <w:tabs>
          <w:tab w:leader="none" w:pos="503"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5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20" w:firstLine="1018"/>
        <w:spacing w:after="0" w:line="263"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84"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We are developing and clinically testing a drug-agnostic oral delivery platform, the RaniPill capsule, which is designed to deliver a wide variety of drug substances, including large molecules such as peptides, proteins, and antibodies. The current RaniPill capsule, the RaniPill GO, is designed to deliver up to a 3 mg dose of drug with high bioavailability. We are also developing a high-capacity version known as the RaniPill HC, which is in preclinical stage and which is intended to enable delivery of drug payloads up to 20 mg with high bioavailability. The RaniPill GO is optimized to orally deliver a variety of therapeutics, and we are advancing development of the RaniPill HC to address biologics and drugs with higher dosing requirements. We believe that, together, the RaniPill GO and RaniPill HC could enable us to deliver most biologics currently on the market via a convenient, oral daily dose.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Overview</w:t>
      </w:r>
    </w:p>
    <w:p>
      <w:pPr>
        <w:spacing w:after="0" w:line="225" w:lineRule="exact"/>
        <w:rPr>
          <w:sz w:val="20"/>
          <w:szCs w:val="20"/>
          <w:color w:val="auto"/>
        </w:rPr>
      </w:pPr>
    </w:p>
    <w:p>
      <w:pPr>
        <w:ind w:right="80" w:firstLine="1018"/>
        <w:spacing w:after="0" w:line="272" w:lineRule="auto"/>
        <w:rPr>
          <w:sz w:val="20"/>
          <w:szCs w:val="20"/>
          <w:color w:val="auto"/>
        </w:rPr>
      </w:pPr>
      <w:r>
        <w:rPr>
          <w:rFonts w:ascii="Arial" w:cs="Arial" w:eastAsia="Arial" w:hAnsi="Arial"/>
          <w:sz w:val="17"/>
          <w:szCs w:val="17"/>
          <w:color w:val="auto"/>
        </w:rPr>
        <w:t>We have completed two Phase 1 clinical trials with the RaniPill capsule technology. In 2022, we completed a Phase 1 clinical trial with RT-102, a RaniPill GO capsule containing our proprietary formulation of parathyroid hormone (1-34) (“PTH”), in Australia. The study involved a single-ascending dose portion and a seven-day repeat-dose portion. The Phase 1 study met all of its endpoints, RT-102 was well tolerated and delivered PTH with high bioavailability (more than 300% greater bioavailability than subcutaneous injection of Forteo (teriparatide)). No serious adverse events were reported in the study. In 2019, we completed a Phase 1 study with RT-101, a RaniPill GO capsule containing our proprietary formulation of octreotide, in Australia. The Phase 1 study met all of its endpoints, RT-101 was well tolerated and delivered octreotide with high bioavailability (comparable to subcutaneous injection of octreotide). No serious adverse events were reported in the study.</w:t>
      </w:r>
    </w:p>
    <w:p>
      <w:pPr>
        <w:spacing w:after="0" w:line="177" w:lineRule="exact"/>
        <w:rPr>
          <w:sz w:val="20"/>
          <w:szCs w:val="20"/>
          <w:color w:val="auto"/>
        </w:rPr>
      </w:pPr>
    </w:p>
    <w:p>
      <w:pPr>
        <w:ind w:right="80" w:firstLine="1018"/>
        <w:spacing w:after="0" w:line="311" w:lineRule="auto"/>
        <w:rPr>
          <w:sz w:val="20"/>
          <w:szCs w:val="20"/>
          <w:color w:val="auto"/>
        </w:rPr>
      </w:pPr>
      <w:r>
        <w:rPr>
          <w:rFonts w:ascii="Arial" w:cs="Arial" w:eastAsia="Arial" w:hAnsi="Arial"/>
          <w:sz w:val="16"/>
          <w:szCs w:val="16"/>
          <w:color w:val="auto"/>
        </w:rPr>
        <w:t>As of December 31, 2022, we have administered the RaniPill capsule 185 times to 98 human subjects in clinical trials, including seven-day repeat-dosing in ten subjects in our Phase 1 study of RT-102. This is in addition to oral administrations of the RaniPill capsule, without a drug or needle, in non-significant risk studies. In our clinical studies, our product candidates were generally well tolerated and no serious adverse events were observed.</w:t>
      </w:r>
    </w:p>
    <w:p>
      <w:pPr>
        <w:spacing w:after="0" w:line="149" w:lineRule="exact"/>
        <w:rPr>
          <w:sz w:val="20"/>
          <w:szCs w:val="20"/>
          <w:color w:val="auto"/>
        </w:rPr>
      </w:pPr>
    </w:p>
    <w:p>
      <w:pPr>
        <w:ind w:right="260" w:firstLine="1018"/>
        <w:spacing w:after="0" w:line="311" w:lineRule="auto"/>
        <w:rPr>
          <w:sz w:val="20"/>
          <w:szCs w:val="20"/>
          <w:color w:val="auto"/>
        </w:rPr>
      </w:pPr>
      <w:r>
        <w:rPr>
          <w:rFonts w:ascii="Arial" w:cs="Arial" w:eastAsia="Arial" w:hAnsi="Arial"/>
          <w:sz w:val="16"/>
          <w:szCs w:val="16"/>
          <w:color w:val="auto"/>
        </w:rPr>
        <w:t>Preclinically, we have tested 12 molecules in the RaniPill capsule, including five antibodies, six peptides and one large protein. We have conducted preclinical testing of more than 1,700 RaniPill capsules in vitro and more than 1,300 RaniPill capsules in vivo, including two good laboratory practice (“GLP”) seven-day repeat-dose studies which supported advancement of our product candidates, RT-101 and RT-102, into clinical studies.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225" w:lineRule="exact"/>
        <w:rPr>
          <w:sz w:val="20"/>
          <w:szCs w:val="20"/>
          <w:color w:val="auto"/>
        </w:rPr>
      </w:pPr>
    </w:p>
    <w:p>
      <w:pPr>
        <w:ind w:right="380" w:firstLine="1018"/>
        <w:spacing w:after="0" w:line="257"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500" w:firstLine="1018"/>
        <w:spacing w:after="0" w:line="277" w:lineRule="auto"/>
        <w:rPr>
          <w:sz w:val="20"/>
          <w:szCs w:val="20"/>
          <w:color w:val="auto"/>
        </w:rPr>
      </w:pPr>
      <w:r>
        <w:rPr>
          <w:rFonts w:ascii="Arial" w:cs="Arial" w:eastAsia="Arial" w:hAnsi="Arial"/>
          <w:sz w:val="18"/>
          <w:szCs w:val="18"/>
          <w:color w:val="auto"/>
        </w:rPr>
        <w:t>Below is a summary of our product candidate pipeline. We envision complementing these programs with robust partnering activities to maximize the value inherent in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117475</wp:posOffset>
            </wp:positionV>
            <wp:extent cx="6026150" cy="2108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2615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RT-XXX refers to the RaniPill capsule containing a biologic or drug.</w:t>
      </w:r>
    </w:p>
    <w:p>
      <w:pPr>
        <w:spacing w:after="0" w:line="23" w:lineRule="exact"/>
        <w:rPr>
          <w:sz w:val="20"/>
          <w:szCs w:val="20"/>
          <w:color w:val="auto"/>
        </w:rPr>
      </w:pPr>
    </w:p>
    <w:p>
      <w:pPr>
        <w:ind w:left="900" w:right="4800" w:firstLine="6"/>
        <w:spacing w:after="0" w:line="281" w:lineRule="auto"/>
        <w:tabs>
          <w:tab w:leader="none" w:pos="103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Clinical timelines are subject to potential regulatory agency review delays. ** Each of these indications will require separate regulatory approvals.</w:t>
      </w:r>
    </w:p>
    <w:p>
      <w:pPr>
        <w:spacing w:after="0" w:line="1" w:lineRule="exact"/>
        <w:rPr>
          <w:rFonts w:ascii="Arial" w:cs="Arial" w:eastAsia="Arial" w:hAnsi="Arial"/>
          <w:sz w:val="16"/>
          <w:szCs w:val="16"/>
          <w:i w:val="1"/>
          <w:iCs w:val="1"/>
          <w:color w:val="auto"/>
        </w:rPr>
      </w:pPr>
    </w:p>
    <w:p>
      <w:pPr>
        <w:ind w:left="900" w:right="400"/>
        <w:spacing w:after="0" w:line="323" w:lineRule="auto"/>
        <w:rPr>
          <w:rFonts w:ascii="Arial" w:cs="Arial" w:eastAsia="Arial" w:hAnsi="Arial"/>
          <w:sz w:val="16"/>
          <w:szCs w:val="16"/>
          <w:i w:val="1"/>
          <w:iCs w:val="1"/>
          <w:color w:val="auto"/>
        </w:rPr>
      </w:pPr>
      <w:r>
        <w:rPr>
          <w:rFonts w:ascii="Arial" w:cs="Arial" w:eastAsia="Arial" w:hAnsi="Arial"/>
          <w:sz w:val="16"/>
          <w:szCs w:val="16"/>
          <w:i w:val="1"/>
          <w:iCs w:val="1"/>
          <w:color w:val="auto"/>
        </w:rPr>
        <w:t>*** Partnered with Celltrion, Inc. Celltrion, Inc. supplies ustekinumab pursuant to a license and supply agreement and has a right of first negotiation for development and commercial rights following completion of a Phase 1 clinical trial that meets its primary endpoint(s).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RT-102</w:t>
      </w:r>
    </w:p>
    <w:p>
      <w:pPr>
        <w:spacing w:after="0" w:line="225" w:lineRule="exact"/>
        <w:rPr>
          <w:sz w:val="20"/>
          <w:szCs w:val="20"/>
          <w:color w:val="auto"/>
        </w:rPr>
      </w:pPr>
    </w:p>
    <w:p>
      <w:pPr>
        <w:jc w:val="both"/>
        <w:ind w:right="20" w:firstLine="1018"/>
        <w:spacing w:after="0" w:line="286" w:lineRule="auto"/>
        <w:rPr>
          <w:sz w:val="20"/>
          <w:szCs w:val="20"/>
          <w:color w:val="auto"/>
        </w:rPr>
      </w:pPr>
      <w:r>
        <w:rPr>
          <w:rFonts w:ascii="Arial" w:cs="Arial" w:eastAsia="Arial" w:hAnsi="Arial"/>
          <w:sz w:val="17"/>
          <w:szCs w:val="17"/>
          <w:color w:val="auto"/>
        </w:rPr>
        <w:t>In August 2022, we announced positive topline results from Part 1 (“Study Part 1”) of the Phase 1 study of RT-102, which is being developed for the potential treatment of osteoporosis. The study met all of its endpoints and RT-102 was generally well tolerated. In the study, RT-102 orally delivered 20 µg and 80 µg of PTH with 300-400% greater bioavailability than subcutaneous Forteo (teriparatide) 20 µg.</w:t>
      </w:r>
    </w:p>
    <w:p>
      <w:pPr>
        <w:spacing w:after="0" w:line="165"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In December 2022, we announced positive topline results from Part 2 (“Study Part 2”) of the Phase 1 study of RT-102. The study met all of its endpoints. The study evaluated the safety and tolerability of once-daily administration of RT-102 containing 20 µg of PTH given repeatedly for seven consecutive days in ten healthy female volunteers. RT-102 was well tolerated with no serious adverse events noted, and delivered 20 µg of PTH with high bioavailability, confirming the high bioavailability observed in Study Part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Part 1 - Topline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Study Design</w:t>
      </w:r>
    </w:p>
    <w:p>
      <w:pPr>
        <w:spacing w:after="0" w:line="225"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7"/>
          <w:szCs w:val="17"/>
          <w:color w:val="auto"/>
        </w:rPr>
        <w:t>The single-center, open label, Study Part 1 was conducted in Australia. The study evaluated the safety, tolerability, and pharmacokinetics (“PK”) of RT-102 in healthy adult female volunteers. Of the 39 participants, 15 were administered RT-102 containing a single 20 μg dose of PTH and 14 were administered RT-102 containing a single 80 μg dose of PTH, while a control group of ten participants received a single 20 μg subcutaneous injection (SC) of Forteo (teriparatide), a commercial formulation of PTH for subcutaneous (“SC”) administration. The endpoints of the study were safety and tolerability, and measurements of serum concentrations of RT-102 in healthy adult female volunteers.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Data</w:t>
      </w:r>
    </w:p>
    <w:p>
      <w:pPr>
        <w:spacing w:after="0" w:line="225"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Study Part 1, RT-102 was generally well tolerated, with no RaniPill-related adverse events (“AEs”) observed in study participants:</w:t>
      </w:r>
    </w:p>
    <w:p>
      <w:pPr>
        <w:spacing w:after="0" w:line="236"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o</w:t>
      </w:r>
      <w:r>
        <w:rPr>
          <w:rFonts w:ascii="Arial" w:cs="Arial" w:eastAsia="Arial" w:hAnsi="Arial"/>
          <w:sz w:val="16"/>
          <w:szCs w:val="16"/>
          <w:color w:val="auto"/>
        </w:rPr>
        <w:t>0% (0/15) of participants dosed with RT-102 20 μg experienced drug-related AEs.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 (2/14) of participants dosed with of RT-102 80 μg experienced drug-related AEs.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 (5/10) of participants dosed with 20 μg of Forteo SC experienced drug-related AEs.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were no serious adverse events (“SAEs”) noted during Study Part 1.</w:t>
      </w:r>
    </w:p>
    <w:p>
      <w:pPr>
        <w:spacing w:after="0" w:line="225" w:lineRule="exact"/>
        <w:rPr>
          <w:sz w:val="20"/>
          <w:szCs w:val="20"/>
          <w:color w:val="auto"/>
        </w:rPr>
      </w:pPr>
    </w:p>
    <w:p>
      <w:pPr>
        <w:ind w:right="100" w:firstLine="1018"/>
        <w:spacing w:after="0" w:line="311" w:lineRule="auto"/>
        <w:rPr>
          <w:sz w:val="20"/>
          <w:szCs w:val="20"/>
          <w:color w:val="auto"/>
        </w:rPr>
      </w:pPr>
      <w:r>
        <w:rPr>
          <w:rFonts w:ascii="Arial" w:cs="Arial" w:eastAsia="Arial" w:hAnsi="Arial"/>
          <w:sz w:val="16"/>
          <w:szCs w:val="16"/>
          <w:color w:val="auto"/>
        </w:rPr>
        <w:t>Per protocol, in instances where the RaniPill capsule did not exit the stomach within seven hours, participants were excluded from the study. Based on the exclusion criteria, three participants were excluded from Study Part 1, one of whom experienced bloating, and one additional subject was excluded due to vomiting the capsule intact. In all instances, the capsule remnants passed from all participants who ingested the RaniPill capsule.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Pharmacokinetics</w:t>
      </w:r>
    </w:p>
    <w:p>
      <w:pPr>
        <w:spacing w:after="0" w:line="225" w:lineRule="exact"/>
        <w:rPr>
          <w:sz w:val="20"/>
          <w:szCs w:val="20"/>
          <w:color w:val="auto"/>
        </w:rPr>
      </w:pPr>
    </w:p>
    <w:p>
      <w:pPr>
        <w:ind w:left="1020" w:right="20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Study Part 1, RT-102 (20 μg and 80 μg) orally delivered PTH with 300%-400% greater bioavailability than PTH delivered by Forteo SC (20 μg).</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RT-102 20 μg delivered PTH with lower, more sustained peak serum levels and higher area under the curve (“AUC”) than Forteo SC 20 μg.</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820" w:type="dxa"/>
            <w:vAlign w:val="bottom"/>
            <w:tcBorders>
              <w:bottom w:val="single" w:sz="8" w:color="auto"/>
              <w:right w:val="single" w:sz="8" w:color="auto"/>
            </w:tcBorders>
          </w:tcPr>
          <w:p>
            <w:pPr>
              <w:spacing w:after="0"/>
              <w:rPr>
                <w:sz w:val="21"/>
                <w:szCs w:val="21"/>
                <w:color w:val="auto"/>
              </w:rPr>
            </w:pP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Forteo SC 20 μg</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RT-102</w:t>
            </w:r>
          </w:p>
        </w:tc>
        <w:tc>
          <w:tcPr>
            <w:tcW w:w="1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20 μg</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RT-102</w:t>
            </w:r>
          </w:p>
        </w:tc>
        <w:tc>
          <w:tcPr>
            <w:tcW w:w="1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80 μg</w:t>
            </w:r>
          </w:p>
        </w:tc>
      </w:tr>
      <w:tr>
        <w:trPr>
          <w:trHeight w:val="237"/>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Cmax (pg/mL)</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128 ± 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 ±</w:t>
            </w:r>
          </w:p>
        </w:tc>
        <w:tc>
          <w:tcPr>
            <w:tcW w:w="1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223</w:t>
            </w:r>
          </w:p>
        </w:tc>
      </w:tr>
      <w:tr>
        <w:trPr>
          <w:trHeight w:val="237"/>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Tmax (hr)</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0.217</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1.13</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0.994</w:t>
            </w:r>
          </w:p>
        </w:tc>
      </w:tr>
      <w:tr>
        <w:trPr>
          <w:trHeight w:val="236"/>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AUC (h*pg/mL)</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126 ± 64</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342 ± 36</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2600 ± 649</w:t>
            </w:r>
          </w:p>
        </w:tc>
      </w:tr>
      <w:tr>
        <w:trPr>
          <w:trHeight w:val="237"/>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Relative BA (5)</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~300%</w:t>
            </w:r>
          </w:p>
        </w:tc>
        <w:tc>
          <w:tcPr>
            <w:tcW w:w="2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~400%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Device Performance</w:t>
      </w:r>
    </w:p>
    <w:p>
      <w:pPr>
        <w:spacing w:after="0" w:line="225" w:lineRule="exact"/>
        <w:rPr>
          <w:sz w:val="20"/>
          <w:szCs w:val="20"/>
          <w:color w:val="auto"/>
        </w:rPr>
      </w:pPr>
    </w:p>
    <w:p>
      <w:pPr>
        <w:ind w:left="1020" w:right="2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versions of the RaniPill capsule were used during Study Part 1: Version C, which was used in Rani’s prior Phase 1 study of octreotide (which also utilized a Version A and Version B); and Version D, the latest iteration of the RaniPill capsule.</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RaniPill Version D demonstrated a higher drug delivery success rate than Version C:</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95% (20/21) of participants received successful drug delivery when ingesting RaniPill Version D.</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75% (6/8) of participants received successful drug delivery when ingesting RaniPill Version C.</w:t>
      </w:r>
    </w:p>
    <w:p>
      <w:pPr>
        <w:spacing w:after="0" w:line="225" w:lineRule="exact"/>
        <w:rPr>
          <w:sz w:val="20"/>
          <w:szCs w:val="20"/>
          <w:color w:val="auto"/>
        </w:rPr>
      </w:pPr>
    </w:p>
    <w:p>
      <w:pPr>
        <w:ind w:right="260" w:firstLine="1018"/>
        <w:spacing w:after="0" w:line="277" w:lineRule="auto"/>
        <w:rPr>
          <w:sz w:val="20"/>
          <w:szCs w:val="20"/>
          <w:color w:val="auto"/>
        </w:rPr>
      </w:pPr>
      <w:r>
        <w:rPr>
          <w:rFonts w:ascii="Arial" w:cs="Arial" w:eastAsia="Arial" w:hAnsi="Arial"/>
          <w:sz w:val="18"/>
          <w:szCs w:val="18"/>
          <w:color w:val="auto"/>
        </w:rPr>
        <w:t>The device performance analysis does not include participants excluded from the study per protocol, as drug delivery was not measured in such participants.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Study Part 2 - Topline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Study Design</w:t>
      </w:r>
    </w:p>
    <w:p>
      <w:pPr>
        <w:spacing w:after="0" w:line="225" w:lineRule="exact"/>
        <w:rPr>
          <w:sz w:val="20"/>
          <w:szCs w:val="20"/>
          <w:color w:val="auto"/>
        </w:rPr>
      </w:pPr>
    </w:p>
    <w:p>
      <w:pPr>
        <w:jc w:val="both"/>
        <w:ind w:right="120" w:firstLine="1018"/>
        <w:spacing w:after="0" w:line="311" w:lineRule="auto"/>
        <w:rPr>
          <w:sz w:val="20"/>
          <w:szCs w:val="20"/>
          <w:color w:val="auto"/>
        </w:rPr>
      </w:pPr>
      <w:r>
        <w:rPr>
          <w:rFonts w:ascii="Arial" w:cs="Arial" w:eastAsia="Arial" w:hAnsi="Arial"/>
          <w:sz w:val="16"/>
          <w:szCs w:val="16"/>
          <w:color w:val="auto"/>
        </w:rPr>
        <w:t>Study Part 2 was a continuation of Rani’s single-center, open-label Phase 1 study of RT-102 conducted in Australia. The study evaluated the safety and tolerability of once-daily administration of RT-102 containing 20 μg of PTH given repeatedly for seven consecutive days in ten healthy female volunteers (five of whom were post-menopausal). Complete pharmacokinetic profiles of PTH were obtained for each subject on Day 7.</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Data</w:t>
      </w:r>
    </w:p>
    <w:p>
      <w:pPr>
        <w:spacing w:after="0" w:line="225"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RT-102 was generally well tolerated, with no serious adverse events noted during the study</w:t>
      </w:r>
    </w:p>
    <w:p>
      <w:pPr>
        <w:spacing w:after="0" w:line="225" w:lineRule="exact"/>
        <w:rPr>
          <w:rFonts w:ascii="Arial" w:cs="Arial" w:eastAsia="Arial" w:hAnsi="Arial"/>
          <w:sz w:val="18"/>
          <w:szCs w:val="18"/>
          <w:color w:val="auto"/>
        </w:rPr>
      </w:pPr>
    </w:p>
    <w:p>
      <w:pPr>
        <w:ind w:left="1540" w:right="560" w:hanging="509"/>
        <w:spacing w:after="0" w:line="277" w:lineRule="auto"/>
        <w:rPr>
          <w:rFonts w:ascii="Arial" w:cs="Arial" w:eastAsia="Arial" w:hAnsi="Arial"/>
          <w:sz w:val="18"/>
          <w:szCs w:val="18"/>
          <w:color w:val="auto"/>
        </w:rPr>
      </w:pPr>
      <w:r>
        <w:rPr>
          <w:rFonts w:ascii="Arial" w:cs="Arial" w:eastAsia="Arial" w:hAnsi="Arial"/>
          <w:sz w:val="18"/>
          <w:szCs w:val="18"/>
          <w:color w:val="auto"/>
        </w:rPr>
        <w:t>oNone of the participants withdrew from the repeat-dose study due to any adverse event related to the RaniPill capsule or due to difficulty swallowing the capsule</w:t>
      </w:r>
    </w:p>
    <w:p>
      <w:pPr>
        <w:spacing w:after="0" w:line="170"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Two subjects had transient, mild-to-moderate adverse events which resolved without any intervention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Device remnants were excreted without sequelae in all subjects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Pharmacokinetics</w:t>
      </w:r>
    </w:p>
    <w:p>
      <w:pPr>
        <w:spacing w:after="0" w:line="225" w:lineRule="exact"/>
        <w:rPr>
          <w:sz w:val="20"/>
          <w:szCs w:val="20"/>
          <w:color w:val="auto"/>
        </w:rPr>
      </w:pPr>
    </w:p>
    <w:p>
      <w:pPr>
        <w:ind w:left="1020" w:right="36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RT-102 delivered 20 µg of PTH with high bioavailability (relative to 20 µg SC Forteo (teriparatide) in Study Part 1), confirming the high bioavailability of PTH delivered via the RaniPill capsule observed during Study Part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Device Performance</w:t>
      </w:r>
    </w:p>
    <w:p>
      <w:pPr>
        <w:spacing w:after="0" w:line="225" w:lineRule="exact"/>
        <w:rPr>
          <w:sz w:val="20"/>
          <w:szCs w:val="20"/>
          <w:color w:val="auto"/>
        </w:rPr>
      </w:pPr>
    </w:p>
    <w:p>
      <w:pPr>
        <w:ind w:left="1020" w:right="340" w:hanging="503"/>
        <w:spacing w:after="0" w:line="342"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all ten participants who completed seven days of daily, consecutive dosing, the RaniPill capsule demonstrated an overall drug delivery success rate of 91% over the seven days (drug sampling was done at three, six and nine hours after capsule swallowing on Days 1-6).</w:t>
      </w:r>
    </w:p>
    <w:p>
      <w:pPr>
        <w:spacing w:after="0" w:line="123"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Day 7, with more frequent, serial drug sampling after capsule swallowing on that day, the drug delivery success rate was 100%.</w:t>
      </w:r>
    </w:p>
    <w:p>
      <w:pPr>
        <w:spacing w:after="0" w:line="236" w:lineRule="exact"/>
        <w:rPr>
          <w:rFonts w:ascii="Arial" w:cs="Arial" w:eastAsia="Arial" w:hAnsi="Arial"/>
          <w:sz w:val="17"/>
          <w:szCs w:val="17"/>
          <w:color w:val="auto"/>
        </w:rPr>
      </w:pPr>
    </w:p>
    <w:p>
      <w:pPr>
        <w:ind w:left="1020" w:right="2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Days 1 through 6, participants ate food three hours after administration of the RaniPill capsule. The number of successful deployments was comparable before and after food was consumed.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w:t>
      </w:r>
    </w:p>
    <w:p>
      <w:pPr>
        <w:spacing w:after="0" w:line="225"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In January 2023, Rani announced that it completed a pre-IND meeting with the FDA with respect to RT-102. Following feedback from the meeting, Rani believes that a 505(b)(2) pathway is suitable for the development of RT-102 in the U.S. In addition, Rani obtained guidance from the FDA on its preclinical and clinical development plans for RT-102, including the Phase 2 clinical trial which is expected to initiate in the second half of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Pharmacodynamics - Rodent Study</w:t>
      </w:r>
    </w:p>
    <w:p>
      <w:pPr>
        <w:spacing w:after="0" w:line="225"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We also conducted a 6-week pharmacodynamic (“PD”) study of the RT-102 drug substance (“DS”) PTH (1-34) to evaluate the effect of daily RT-102 DS intraperitoneal (“IP”) injections on bone mineral density (“BMD”) in a rodent model of osteoporosis. The study compared two control groups of rodents undergoing sham surgery (N=10) and ovariectomy (“OVX”) (N=10) receiving no drug, to three OVX groups each dosed with 5 mcg/kg per day of either RT-102 DS (N=10), teriparatide (N=10), or abaloparatide (N=10).</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study found that, following six weeks of treatment:</w:t>
      </w:r>
    </w:p>
    <w:p>
      <w:pPr>
        <w:spacing w:after="0" w:line="225"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RT-102 DS increased BMD in a rat model of osteoporosis.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RT-102 DS delivered via the IP route of administration was biologically active comparable to SC injected PTH analogs.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RT-111</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 October 2022, we announced that we had begun preclinical development with RT-111, the RaniPill capsule containing an ustekinumab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biosimilar.</w:t>
      </w:r>
    </w:p>
    <w:p>
      <w:pPr>
        <w:spacing w:after="0" w:line="211" w:lineRule="exact"/>
        <w:rPr>
          <w:sz w:val="20"/>
          <w:szCs w:val="20"/>
          <w:color w:val="auto"/>
        </w:rPr>
      </w:pPr>
    </w:p>
    <w:p>
      <w:pPr>
        <w:ind w:right="280" w:firstLine="1018"/>
        <w:spacing w:after="0" w:line="286" w:lineRule="auto"/>
        <w:rPr>
          <w:sz w:val="20"/>
          <w:szCs w:val="20"/>
          <w:color w:val="auto"/>
        </w:rPr>
      </w:pPr>
      <w:r>
        <w:rPr>
          <w:rFonts w:ascii="Arial" w:cs="Arial" w:eastAsia="Arial" w:hAnsi="Arial"/>
          <w:sz w:val="17"/>
          <w:szCs w:val="17"/>
          <w:color w:val="auto"/>
        </w:rPr>
        <w:t>In January 2023, we announced entering into a License and Supply Agreement with Celltrion, Inc.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(the “Celltrion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RaniPill HC</w:t>
      </w:r>
    </w:p>
    <w:p>
      <w:pPr>
        <w:spacing w:after="0" w:line="225"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We continue to develop the RaniPill HC, a high-capacity RaniPill capsule designed to deliver drug payloads up to 20 mg, 500%-plus higher than the payload capacity of the RaniPill GO. We are conducting preclinical studies with a fully-autonomous RaniPill HC.</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RT-109</w:t>
      </w:r>
    </w:p>
    <w:p>
      <w:pPr>
        <w:spacing w:after="0" w:line="225" w:lineRule="exact"/>
        <w:rPr>
          <w:sz w:val="20"/>
          <w:szCs w:val="20"/>
          <w:color w:val="auto"/>
        </w:rPr>
      </w:pPr>
    </w:p>
    <w:p>
      <w:pPr>
        <w:ind w:firstLine="1018"/>
        <w:spacing w:after="0" w:line="342" w:lineRule="auto"/>
        <w:rPr>
          <w:sz w:val="20"/>
          <w:szCs w:val="20"/>
          <w:color w:val="auto"/>
        </w:rPr>
      </w:pPr>
      <w:r>
        <w:rPr>
          <w:rFonts w:ascii="Arial" w:cs="Arial" w:eastAsia="Arial" w:hAnsi="Arial"/>
          <w:sz w:val="16"/>
          <w:szCs w:val="16"/>
          <w:color w:val="auto"/>
        </w:rPr>
        <w:t>Following a strategic priority review in 2022, we decided not to continue active development of RT-109, a RaniPill capsule containing human growth hormone. We remain open to partnering opportunities with respect to RT-109, but intend to focus internal efforts on our other pipeline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and Our Strategy</w:t>
      </w:r>
    </w:p>
    <w:p>
      <w:pPr>
        <w:spacing w:after="0" w:line="229"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More than half of the adult population of the U.S. has one or more chronic diseases. The affected population is expected to continue to grow as the population ages. Chronic conditions, including autoimmune diseases, metabolic disorders, cancers, and cardiovascular diseases are increasingly being treated with biologics. In 2021, six of the ten highest revenue-producing drugs in the world were biologics. Current treatments using biologics are primarily via injections.</w:t>
      </w:r>
    </w:p>
    <w:p>
      <w:pPr>
        <w:spacing w:after="0" w:line="187" w:lineRule="exact"/>
        <w:rPr>
          <w:sz w:val="20"/>
          <w:szCs w:val="20"/>
          <w:color w:val="auto"/>
        </w:rPr>
      </w:pPr>
    </w:p>
    <w:p>
      <w:pPr>
        <w:jc w:val="both"/>
        <w:ind w:right="20" w:firstLine="1018"/>
        <w:spacing w:after="0" w:line="259" w:lineRule="auto"/>
        <w:rPr>
          <w:sz w:val="20"/>
          <w:szCs w:val="20"/>
          <w:color w:val="auto"/>
        </w:rPr>
      </w:pPr>
      <w:r>
        <w:rPr>
          <w:rFonts w:ascii="Arial" w:cs="Arial" w:eastAsia="Arial" w:hAnsi="Arial"/>
          <w:sz w:val="18"/>
          <w:szCs w:val="18"/>
          <w:color w:val="auto"/>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In 2020, worldwide sales of biologics were estimated to have reached approximately $253.4 billion and are projected to reach $420.6 billion by 2025.</w:t>
      </w:r>
    </w:p>
    <w:p>
      <w:pPr>
        <w:spacing w:after="0" w:line="187"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7"/>
          <w:szCs w:val="17"/>
          <w:color w:val="auto"/>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(“GI”) environment before they can be absorbed into the bloodstream.</w:t>
      </w:r>
    </w:p>
    <w:p>
      <w:pPr>
        <w:spacing w:after="0" w:line="176"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Our solution is a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biologics dosed via the RaniPill capsule that is generally comparable to the bioavailability of biologics dosed subcutaneously, with high dosing accuracy: this level of bioavailability is significantly higher than any that has been demonstrated with respect to others’ attempts at oral delivery of biologics.</w:t>
      </w:r>
    </w:p>
    <w:p>
      <w:pPr>
        <w:spacing w:after="0" w:line="188"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We are pursuing a number of clinical and preclinical pipeline programs utilizing our RaniPill capsule. In addition, our newly designed high-capacity oral biologic delivery device, the RaniPill HC, has the potential to deliver 500%-plus higher payloads than our current RaniPill GO capsule. We believe this is a significant breakthrough in drug delivery with the potential to provide expansive opportunities for the company, such that we could potentially pursue a daily dosing option for over 50 additional biologics, for internal development or through partnership, including such biologics as pembrolizumab, etanercept, trastuzumab and secukinumab. We believe that oral biologics utilizing our RaniPill technology have the potential to disrupt the large and growing biologics market.</w:t>
      </w:r>
    </w:p>
    <w:p>
      <w:pPr>
        <w:spacing w:after="0" w:line="192" w:lineRule="exact"/>
        <w:rPr>
          <w:sz w:val="20"/>
          <w:szCs w:val="20"/>
          <w:color w:val="auto"/>
        </w:rPr>
      </w:pPr>
    </w:p>
    <w:p>
      <w:pPr>
        <w:jc w:val="both"/>
        <w:ind w:right="460" w:firstLine="1018"/>
        <w:spacing w:after="0" w:line="311" w:lineRule="auto"/>
        <w:rPr>
          <w:sz w:val="20"/>
          <w:szCs w:val="20"/>
          <w:color w:val="auto"/>
        </w:rPr>
      </w:pPr>
      <w:r>
        <w:rPr>
          <w:rFonts w:ascii="Arial" w:cs="Arial" w:eastAsia="Arial" w:hAnsi="Arial"/>
          <w:sz w:val="16"/>
          <w:szCs w:val="16"/>
          <w:color w:val="auto"/>
        </w:rPr>
        <w:t>Our strategic vision is to disrupt and expand the market currently served by injectable only therapeutic biologics. We plan to do this by developing and advancing oral biologics therapies, directly ourselves and through partnering. We believe that the RaniPill capsule has the potential to improve the lives of millions of patients with chronic diseases who currently depend on biologics and drugs available only as injections.</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strategy includes the following aspects.</w:t>
      </w:r>
    </w:p>
    <w:p>
      <w:pPr>
        <w:spacing w:after="0" w:line="221" w:lineRule="exact"/>
        <w:rPr>
          <w:sz w:val="20"/>
          <w:szCs w:val="20"/>
          <w:color w:val="auto"/>
        </w:rPr>
      </w:pPr>
    </w:p>
    <w:p>
      <w:pPr>
        <w:ind w:left="1280" w:right="60" w:hanging="367"/>
        <w:spacing w:after="0" w:line="261"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Pursue validated and commercially established market opportunities. </w:t>
      </w:r>
      <w:r>
        <w:rPr>
          <w:rFonts w:ascii="Arial" w:cs="Arial" w:eastAsia="Arial" w:hAnsi="Arial"/>
          <w:sz w:val="18"/>
          <w:szCs w:val="18"/>
          <w:color w:val="auto"/>
        </w:rPr>
        <w:t>We intend to pursue high-value markets with biologics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w:t>
      </w:r>
    </w:p>
    <w:p>
      <w:pPr>
        <w:spacing w:after="0" w:line="179" w:lineRule="exact"/>
        <w:rPr>
          <w:rFonts w:ascii="Arial" w:cs="Arial" w:eastAsia="Arial" w:hAnsi="Arial"/>
          <w:sz w:val="18"/>
          <w:szCs w:val="18"/>
          <w:color w:val="auto"/>
        </w:rPr>
      </w:pPr>
    </w:p>
    <w:p>
      <w:pPr>
        <w:ind w:left="1280" w:right="380" w:hanging="367"/>
        <w:spacing w:after="0" w:line="282"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Expand in-house manufacturing of the RaniPill capsule. </w:t>
      </w:r>
      <w:r>
        <w:rPr>
          <w:rFonts w:ascii="Arial" w:cs="Arial" w:eastAsia="Arial" w:hAnsi="Arial"/>
          <w:sz w:val="18"/>
          <w:szCs w:val="18"/>
          <w:color w:val="auto"/>
        </w:rPr>
        <w:t>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w:t>
      </w:r>
    </w:p>
    <w:p>
      <w:pPr>
        <w:spacing w:after="0" w:line="161" w:lineRule="exact"/>
        <w:rPr>
          <w:rFonts w:ascii="Arial" w:cs="Arial" w:eastAsia="Arial" w:hAnsi="Arial"/>
          <w:sz w:val="18"/>
          <w:szCs w:val="18"/>
          <w:color w:val="auto"/>
        </w:rPr>
      </w:pPr>
    </w:p>
    <w:p>
      <w:pPr>
        <w:ind w:left="1280" w:right="40" w:hanging="367"/>
        <w:spacing w:after="0" w:line="266"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Invest in RaniPill capsule capabilities. </w:t>
      </w:r>
      <w:r>
        <w:rPr>
          <w:rFonts w:ascii="Arial" w:cs="Arial" w:eastAsia="Arial" w:hAnsi="Arial"/>
          <w:sz w:val="18"/>
          <w:szCs w:val="18"/>
          <w:color w:val="auto"/>
        </w:rPr>
        <w:t>We intend to become a leader in oral biologics by continuing to invest in our technology,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by expanding payload capacity and developing novel biologic formulations to maximize the number of therapeutic targets and addressable markets.</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1280" w:right="400" w:hanging="367"/>
        <w:spacing w:after="0" w:line="312"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Expand our reach by selectively entering into strategic partnerships. </w:t>
      </w:r>
      <w:r>
        <w:rPr>
          <w:rFonts w:ascii="Arial" w:cs="Arial" w:eastAsia="Arial" w:hAnsi="Arial"/>
          <w:sz w:val="17"/>
          <w:szCs w:val="17"/>
          <w:color w:val="auto"/>
        </w:rPr>
        <w:t>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39" w:lineRule="exact"/>
        <w:rPr>
          <w:rFonts w:ascii="Arial" w:cs="Arial" w:eastAsia="Arial" w:hAnsi="Arial"/>
          <w:sz w:val="17"/>
          <w:szCs w:val="17"/>
          <w:color w:val="auto"/>
        </w:rPr>
      </w:pPr>
    </w:p>
    <w:p>
      <w:pPr>
        <w:ind w:left="1280" w:right="40" w:hanging="367"/>
        <w:spacing w:after="0" w:line="266"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Continue to strengthen our intellectual property portfolio. </w:t>
      </w:r>
      <w:r>
        <w:rPr>
          <w:rFonts w:ascii="Arial" w:cs="Arial" w:eastAsia="Arial" w:hAnsi="Arial"/>
          <w:sz w:val="18"/>
          <w:szCs w:val="18"/>
          <w:color w:val="auto"/>
        </w:rPr>
        <w:t>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80" w:lineRule="exact"/>
        <w:rPr>
          <w:sz w:val="20"/>
          <w:szCs w:val="20"/>
          <w:color w:val="auto"/>
        </w:rPr>
      </w:pPr>
    </w:p>
    <w:p>
      <w:pPr>
        <w:ind w:right="220" w:firstLine="1018"/>
        <w:spacing w:after="0" w:line="263" w:lineRule="auto"/>
        <w:rPr>
          <w:sz w:val="20"/>
          <w:szCs w:val="20"/>
          <w:color w:val="auto"/>
        </w:rPr>
      </w:pPr>
      <w:r>
        <w:rPr>
          <w:rFonts w:ascii="Arial" w:cs="Arial" w:eastAsia="Arial" w:hAnsi="Arial"/>
          <w:sz w:val="18"/>
          <w:szCs w:val="18"/>
          <w:color w:val="auto"/>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Technology</w:t>
      </w:r>
    </w:p>
    <w:p>
      <w:pPr>
        <w:spacing w:after="0" w:line="229" w:lineRule="exact"/>
        <w:rPr>
          <w:sz w:val="20"/>
          <w:szCs w:val="20"/>
          <w:color w:val="auto"/>
        </w:rPr>
      </w:pPr>
    </w:p>
    <w:p>
      <w:pPr>
        <w:ind w:right="480" w:firstLine="1018"/>
        <w:spacing w:after="0" w:line="277" w:lineRule="auto"/>
        <w:rPr>
          <w:sz w:val="20"/>
          <w:szCs w:val="20"/>
          <w:color w:val="auto"/>
        </w:rPr>
      </w:pPr>
      <w:r>
        <w:rPr>
          <w:rFonts w:ascii="Arial" w:cs="Arial" w:eastAsia="Arial" w:hAnsi="Arial"/>
          <w:sz w:val="18"/>
          <w:szCs w:val="18"/>
          <w:color w:val="auto"/>
        </w:rPr>
        <w:t>Each of our product candidates is a RaniPill capsule containing a biologic. We may use the term RaniPill platform herein to refer to the physical structure and/or mechanisms of the RaniPill capsule absent a biologic.</w:t>
      </w:r>
    </w:p>
    <w:p>
      <w:pPr>
        <w:spacing w:after="0" w:line="170"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Our clinically tested RaniPill delivery platform described below is intended to be capable of delivering up to a 3 mg dose of any drug. We are also developing a high-capacity version known as the RaniPill HC, and which is intended to enable delivery of drug payloads up to 20 mg and is in preclinical testing stage.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RaniPill capsule</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RaniPill capsule is a versatile, drug-agnostic, orally ingestible pill approximately the size of a fish oil or calcium pill or a ‘000’-sized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142875</wp:posOffset>
            </wp:positionV>
            <wp:extent cx="2785745" cy="1894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57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RaniPill capsule in purple next to fish oil pills (gold) and calcium pills (white).</w:t>
      </w:r>
    </w:p>
    <w:p>
      <w:pPr>
        <w:spacing w:after="0" w:line="225" w:lineRule="exact"/>
        <w:rPr>
          <w:sz w:val="20"/>
          <w:szCs w:val="20"/>
          <w:color w:val="auto"/>
        </w:rPr>
      </w:pPr>
    </w:p>
    <w:p>
      <w:pPr>
        <w:ind w:right="260" w:firstLine="1018"/>
        <w:spacing w:after="0" w:line="263" w:lineRule="auto"/>
        <w:rPr>
          <w:sz w:val="20"/>
          <w:szCs w:val="20"/>
          <w:color w:val="auto"/>
        </w:rPr>
      </w:pPr>
      <w:r>
        <w:rPr>
          <w:rFonts w:ascii="Arial" w:cs="Arial" w:eastAsia="Arial" w:hAnsi="Arial"/>
          <w:sz w:val="18"/>
          <w:szCs w:val="18"/>
          <w:color w:val="auto"/>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right="160" w:firstLine="1018"/>
        <w:spacing w:after="0" w:line="277" w:lineRule="auto"/>
        <w:rPr>
          <w:sz w:val="20"/>
          <w:szCs w:val="20"/>
          <w:color w:val="auto"/>
        </w:rPr>
      </w:pPr>
      <w:r>
        <w:rPr>
          <w:rFonts w:ascii="Arial" w:cs="Arial" w:eastAsia="Arial" w:hAnsi="Arial"/>
          <w:sz w:val="18"/>
          <w:szCs w:val="18"/>
          <w:color w:val="auto"/>
        </w:rPr>
        <w:t>The following illustrations depict the clinically tested RaniPill GO capsule traversing through and deploying within a lumen of the intestine illustrated in cross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280035</wp:posOffset>
            </wp:positionV>
            <wp:extent cx="6866255" cy="814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625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80"/>
        <w:spacing w:after="0"/>
        <w:tabs>
          <w:tab w:leader="none" w:pos="3940" w:val="left"/>
          <w:tab w:leader="none" w:pos="6800" w:val="left"/>
          <w:tab w:leader="none" w:pos="9580" w:val="left"/>
        </w:tabs>
        <w:rPr>
          <w:sz w:val="20"/>
          <w:szCs w:val="20"/>
          <w:color w:val="auto"/>
        </w:rPr>
      </w:pPr>
      <w:r>
        <w:rPr>
          <w:rFonts w:ascii="Arial" w:cs="Arial" w:eastAsia="Arial" w:hAnsi="Arial"/>
          <w:sz w:val="18"/>
          <w:szCs w:val="18"/>
          <w:color w:val="auto"/>
        </w:rPr>
        <w:t>Panel A</w:t>
      </w:r>
      <w:r>
        <w:rPr>
          <w:sz w:val="20"/>
          <w:szCs w:val="20"/>
          <w:color w:val="auto"/>
        </w:rPr>
        <w:tab/>
      </w:r>
      <w:r>
        <w:rPr>
          <w:rFonts w:ascii="Arial" w:cs="Arial" w:eastAsia="Arial" w:hAnsi="Arial"/>
          <w:sz w:val="18"/>
          <w:szCs w:val="18"/>
          <w:color w:val="auto"/>
        </w:rPr>
        <w:t>Panel B</w:t>
      </w:r>
      <w:r>
        <w:rPr>
          <w:sz w:val="20"/>
          <w:szCs w:val="20"/>
          <w:color w:val="auto"/>
        </w:rPr>
        <w:tab/>
      </w:r>
      <w:r>
        <w:rPr>
          <w:rFonts w:ascii="Arial" w:cs="Arial" w:eastAsia="Arial" w:hAnsi="Arial"/>
          <w:sz w:val="18"/>
          <w:szCs w:val="18"/>
          <w:color w:val="auto"/>
        </w:rPr>
        <w:t>Panel C</w:t>
      </w:r>
      <w:r>
        <w:rPr>
          <w:sz w:val="20"/>
          <w:szCs w:val="20"/>
          <w:color w:val="auto"/>
        </w:rPr>
        <w:tab/>
      </w:r>
      <w:r>
        <w:rPr>
          <w:rFonts w:ascii="Arial" w:cs="Arial" w:eastAsia="Arial" w:hAnsi="Arial"/>
          <w:sz w:val="16"/>
          <w:szCs w:val="16"/>
          <w:color w:val="auto"/>
        </w:rPr>
        <w:t>Panel D</w:t>
      </w:r>
    </w:p>
    <w:p>
      <w:pPr>
        <w:spacing w:after="0" w:line="279" w:lineRule="exact"/>
        <w:rPr>
          <w:sz w:val="20"/>
          <w:szCs w:val="20"/>
          <w:color w:val="auto"/>
        </w:rPr>
      </w:pPr>
    </w:p>
    <w:p>
      <w:pPr>
        <w:ind w:left="760" w:right="120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around 6.5 in the jejunum begins to dissolve the coating.</w:t>
      </w:r>
    </w:p>
    <w:p>
      <w:pPr>
        <w:spacing w:after="0" w:line="170" w:lineRule="exact"/>
        <w:rPr>
          <w:sz w:val="20"/>
          <w:szCs w:val="20"/>
          <w:color w:val="auto"/>
        </w:rPr>
      </w:pPr>
    </w:p>
    <w:p>
      <w:pPr>
        <w:ind w:left="760" w:right="1300"/>
        <w:spacing w:after="0" w:line="277" w:lineRule="auto"/>
        <w:rPr>
          <w:sz w:val="20"/>
          <w:szCs w:val="20"/>
          <w:color w:val="auto"/>
        </w:rPr>
      </w:pPr>
      <w:r>
        <w:rPr>
          <w:rFonts w:ascii="Arial" w:cs="Arial" w:eastAsia="Arial" w:hAnsi="Arial"/>
          <w:sz w:val="18"/>
          <w:szCs w:val="18"/>
          <w:u w:val="single" w:color="auto"/>
          <w:color w:val="auto"/>
        </w:rPr>
        <w:t>Panel B</w:t>
      </w:r>
      <w:r>
        <w:rPr>
          <w:rFonts w:ascii="Arial" w:cs="Arial" w:eastAsia="Arial" w:hAnsi="Arial"/>
          <w:sz w:val="18"/>
          <w:szCs w:val="18"/>
          <w:color w:val="auto"/>
        </w:rPr>
        <w:t>: Dissolution of the coating exposes a balloon in the RaniPill capsule to intestinal fluid which results in the balloon self-inflating.</w:t>
      </w:r>
    </w:p>
    <w:p>
      <w:pPr>
        <w:spacing w:after="0" w:line="170" w:lineRule="exact"/>
        <w:rPr>
          <w:sz w:val="20"/>
          <w:szCs w:val="20"/>
          <w:color w:val="auto"/>
        </w:rPr>
      </w:pPr>
    </w:p>
    <w:p>
      <w:pPr>
        <w:ind w:left="760" w:right="800"/>
        <w:spacing w:after="0" w:line="311" w:lineRule="auto"/>
        <w:rPr>
          <w:sz w:val="20"/>
          <w:szCs w:val="20"/>
          <w:color w:val="auto"/>
        </w:rPr>
      </w:pPr>
      <w:r>
        <w:rPr>
          <w:rFonts w:ascii="Arial" w:cs="Arial" w:eastAsia="Arial" w:hAnsi="Arial"/>
          <w:sz w:val="16"/>
          <w:szCs w:val="16"/>
          <w:u w:val="single" w:color="auto"/>
          <w:color w:val="auto"/>
        </w:rPr>
        <w:t>Panel C</w:t>
      </w:r>
      <w:r>
        <w:rPr>
          <w:rFonts w:ascii="Arial" w:cs="Arial" w:eastAsia="Arial" w:hAnsi="Arial"/>
          <w:sz w:val="16"/>
          <w:szCs w:val="16"/>
          <w:color w:val="auto"/>
        </w:rPr>
        <w:t>: Inflation of the balloon orients a microneedle contained within the balloon approximately perpendicular to the intestinal wall. The pressure in the balloon delivers the microneedle, which is smaller than a grain of rice, into the intestinal wall. The microneedle dissolves in the moist tissue environment, and the drug is absorbed into the vasculature and thereby into the bloodstream.</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and advantages of the RaniPill capsule</w:t>
      </w:r>
    </w:p>
    <w:p>
      <w:pPr>
        <w:spacing w:after="0" w:line="225" w:lineRule="exact"/>
        <w:rPr>
          <w:sz w:val="20"/>
          <w:szCs w:val="20"/>
          <w:color w:val="auto"/>
        </w:rPr>
      </w:pPr>
    </w:p>
    <w:p>
      <w:pPr>
        <w:ind w:right="20" w:firstLine="1018"/>
        <w:spacing w:after="0" w:line="311" w:lineRule="auto"/>
        <w:rPr>
          <w:sz w:val="20"/>
          <w:szCs w:val="20"/>
          <w:color w:val="auto"/>
        </w:rPr>
      </w:pPr>
      <w:r>
        <w:rPr>
          <w:rFonts w:ascii="Arial" w:cs="Arial" w:eastAsia="Arial" w:hAnsi="Arial"/>
          <w:sz w:val="16"/>
          <w:szCs w:val="16"/>
          <w:color w:val="auto"/>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spacing w:after="0" w:line="149" w:lineRule="exact"/>
        <w:rPr>
          <w:sz w:val="20"/>
          <w:szCs w:val="20"/>
          <w:color w:val="auto"/>
        </w:rPr>
      </w:pPr>
    </w:p>
    <w:p>
      <w:pPr>
        <w:ind w:left="1280" w:right="60" w:hanging="374"/>
        <w:spacing w:after="0" w:line="301"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i w:val="1"/>
          <w:iCs w:val="1"/>
          <w:u w:val="single" w:color="auto"/>
          <w:color w:val="auto"/>
        </w:rPr>
        <w:t>High bioavailability and high dosing accuracy</w:t>
      </w:r>
      <w:r>
        <w:rPr>
          <w:rFonts w:ascii="Arial" w:cs="Arial" w:eastAsia="Arial" w:hAnsi="Arial"/>
          <w:sz w:val="16"/>
          <w:szCs w:val="16"/>
          <w:i w:val="1"/>
          <w:iCs w:val="1"/>
          <w:color w:val="auto"/>
        </w:rPr>
        <w:t xml:space="preserve"> </w:t>
      </w:r>
      <w:r>
        <w:rPr>
          <w:rFonts w:ascii="Arial" w:cs="Arial" w:eastAsia="Arial" w:hAnsi="Arial"/>
          <w:sz w:val="16"/>
          <w:szCs w:val="16"/>
          <w:color w:val="auto"/>
        </w:rPr>
        <w:t>– Our studies conducted to date have demonstrated that the RaniPill capsule delivers</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biologics with bioavailability that is generally comparable to subcutaneous injection, with high dosing accuracy. This level of bioavailability is similar to subcutaneous injection and is significantly higher than that of currently marketed chemistry-based oral biologics, the best attempts of which to our awareness have resulted in peptides being delivered with only low single-digit bioavailability.</w:t>
      </w:r>
    </w:p>
    <w:p>
      <w:pPr>
        <w:spacing w:after="0" w:line="157" w:lineRule="exact"/>
        <w:rPr>
          <w:rFonts w:ascii="Arial" w:cs="Arial" w:eastAsia="Arial" w:hAnsi="Arial"/>
          <w:sz w:val="16"/>
          <w:szCs w:val="16"/>
          <w:color w:val="auto"/>
        </w:rPr>
      </w:pPr>
    </w:p>
    <w:p>
      <w:pPr>
        <w:ind w:left="1280" w:right="520" w:hanging="374"/>
        <w:spacing w:after="0" w:line="342" w:lineRule="auto"/>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i w:val="1"/>
          <w:iCs w:val="1"/>
          <w:u w:val="single" w:color="auto"/>
          <w:color w:val="auto"/>
        </w:rPr>
        <w:t>Protective coating avoids deployment in the stomach</w:t>
      </w:r>
      <w:r>
        <w:rPr>
          <w:rFonts w:ascii="Arial" w:cs="Arial" w:eastAsia="Arial" w:hAnsi="Arial"/>
          <w:sz w:val="16"/>
          <w:szCs w:val="16"/>
          <w:i w:val="1"/>
          <w:iCs w:val="1"/>
          <w:color w:val="auto"/>
        </w:rPr>
        <w:t xml:space="preserve"> – </w:t>
      </w:r>
      <w:r>
        <w:rPr>
          <w:rFonts w:ascii="Arial" w:cs="Arial" w:eastAsia="Arial" w:hAnsi="Arial"/>
          <w:sz w:val="16"/>
          <w:szCs w:val="16"/>
          <w:color w:val="auto"/>
        </w:rPr>
        <w:t>The proprietary protective coating formulation is pH-sensitive, enabling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RaniPill capsule to maintain its integrity through the acidic environment in the stomach for deployment in the small intestine.</w:t>
      </w:r>
    </w:p>
    <w:p>
      <w:pPr>
        <w:spacing w:after="0" w:line="123" w:lineRule="exact"/>
        <w:rPr>
          <w:rFonts w:ascii="Arial" w:cs="Arial" w:eastAsia="Arial" w:hAnsi="Arial"/>
          <w:sz w:val="16"/>
          <w:szCs w:val="16"/>
          <w:color w:val="auto"/>
        </w:rPr>
      </w:pPr>
    </w:p>
    <w:p>
      <w:pPr>
        <w:ind w:left="1280" w:right="140" w:hanging="374"/>
        <w:spacing w:after="0" w:line="259"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Protection of the drug prior to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 The microneedle is protected from intestinal fluid until delivery, and then the rapid injection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microneedle into the intestinal wall during delivery provides for little or no exposure of the microneedle to intestinal fluid. This technique serves to overcome the body’s natural mechanisms that break biologics down in the harsh GI environment and thus block biologics from reaching the blood stream from within the intestine.</w:t>
      </w:r>
    </w:p>
    <w:p>
      <w:pPr>
        <w:spacing w:after="0" w:line="186" w:lineRule="exact"/>
        <w:rPr>
          <w:rFonts w:ascii="Arial" w:cs="Arial" w:eastAsia="Arial" w:hAnsi="Arial"/>
          <w:sz w:val="18"/>
          <w:szCs w:val="18"/>
          <w:color w:val="auto"/>
        </w:rPr>
      </w:pPr>
    </w:p>
    <w:p>
      <w:pPr>
        <w:ind w:left="1280" w:right="40" w:hanging="374"/>
        <w:spacing w:after="0" w:line="279"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preserves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proprietary dissolvable microneedle is made from injectable-grade, sterile materials. The microneedle is designed to accommodate in its hollow interior a biologic formed into a microtablet of up to 3 mg. Once exposed to body fluids, the microneedle begins to dissolve and expose the biologic for absorption into the vasculature. The sealed microneedle preserves the integrity and sterility of the biologic until the microneedle dissolves.</w:t>
      </w:r>
    </w:p>
    <w:p>
      <w:pPr>
        <w:spacing w:after="0" w:line="171" w:lineRule="exact"/>
        <w:rPr>
          <w:rFonts w:ascii="Arial" w:cs="Arial" w:eastAsia="Arial" w:hAnsi="Arial"/>
          <w:sz w:val="17"/>
          <w:szCs w:val="17"/>
          <w:color w:val="auto"/>
        </w:rPr>
      </w:pPr>
    </w:p>
    <w:p>
      <w:pPr>
        <w:ind w:left="1280" w:right="100" w:hanging="374"/>
        <w:spacing w:after="0" w:line="263"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of the microneedle in both fed and fasted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the microneedle even if the patient</w:t>
      </w:r>
      <w:r>
        <w:rPr>
          <w:rFonts w:ascii="Arial" w:cs="Arial" w:eastAsia="Arial" w:hAnsi="Arial"/>
          <w:sz w:val="18"/>
          <w:szCs w:val="18"/>
          <w:i w:val="1"/>
          <w:iCs w:val="1"/>
          <w:color w:val="auto"/>
        </w:rPr>
        <w:t xml:space="preserve"> </w:t>
      </w:r>
      <w:r>
        <w:rPr>
          <w:rFonts w:ascii="Arial" w:cs="Arial" w:eastAsia="Arial" w:hAnsi="Arial"/>
          <w:sz w:val="18"/>
          <w:szCs w:val="18"/>
          <w:color w:val="auto"/>
        </w:rPr>
        <w:t>ingests the RaniPill capsule with or without food, which we expect will allow for more flexible dosing regimens and improved patient adherence to a given regimen.</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left="1280" w:right="100" w:hanging="374"/>
        <w:spacing w:after="0" w:line="259"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ensures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proprietary self-inflating balloon is designed to provide optimal pressure to deliver</w:t>
      </w:r>
      <w:r>
        <w:rPr>
          <w:rFonts w:ascii="Arial" w:cs="Arial" w:eastAsia="Arial" w:hAnsi="Arial"/>
          <w:sz w:val="18"/>
          <w:szCs w:val="18"/>
          <w:i w:val="1"/>
          <w:iCs w:val="1"/>
          <w:color w:val="auto"/>
        </w:rPr>
        <w:t xml:space="preserve"> </w:t>
      </w:r>
      <w:r>
        <w:rPr>
          <w:rFonts w:ascii="Arial" w:cs="Arial" w:eastAsia="Arial" w:hAnsi="Arial"/>
          <w:sz w:val="18"/>
          <w:szCs w:val="18"/>
          <w:color w:val="auto"/>
        </w:rPr>
        <w:t>the microneedle. In addition, the novel design of the balloon positions the microneedle approximately perpendicular to the intestinal wall for reliable drug delivery, with greater than 90% drug delivery success observed in our Phase 1 clinical trial of RT-102. The self-inflating balloon has been designed to minimize GI discomfort.</w:t>
      </w:r>
    </w:p>
    <w:p>
      <w:pPr>
        <w:spacing w:after="0" w:line="186" w:lineRule="exact"/>
        <w:rPr>
          <w:rFonts w:ascii="Arial" w:cs="Arial" w:eastAsia="Arial" w:hAnsi="Arial"/>
          <w:sz w:val="18"/>
          <w:szCs w:val="18"/>
          <w:color w:val="auto"/>
        </w:rPr>
      </w:pPr>
    </w:p>
    <w:p>
      <w:pPr>
        <w:ind w:left="1280" w:right="400" w:hanging="374"/>
        <w:spacing w:after="0" w:line="277"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provides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irrespective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molecular mass. This allows a single platform design to be used with multiple drugs.</w:t>
      </w:r>
    </w:p>
    <w:p>
      <w:pPr>
        <w:spacing w:after="0" w:line="170" w:lineRule="exact"/>
        <w:rPr>
          <w:rFonts w:ascii="Arial" w:cs="Arial" w:eastAsia="Arial" w:hAnsi="Arial"/>
          <w:sz w:val="18"/>
          <w:szCs w:val="18"/>
          <w:color w:val="auto"/>
        </w:rPr>
      </w:pPr>
    </w:p>
    <w:p>
      <w:pPr>
        <w:ind w:left="1280" w:right="100" w:hanging="374"/>
        <w:spacing w:after="0" w:line="255" w:lineRule="auto"/>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i w:val="1"/>
          <w:iCs w:val="1"/>
          <w:u w:val="single" w:color="auto"/>
          <w:color w:val="auto"/>
        </w:rPr>
        <w:t>Optimized dosing regimen</w:t>
      </w:r>
      <w:r>
        <w:rPr>
          <w:rFonts w:ascii="Arial" w:cs="Arial" w:eastAsia="Arial" w:hAnsi="Arial"/>
          <w:sz w:val="18"/>
          <w:szCs w:val="18"/>
          <w:i w:val="1"/>
          <w:iCs w:val="1"/>
          <w:color w:val="auto"/>
        </w:rPr>
        <w:t xml:space="preserve"> </w:t>
      </w:r>
      <w:r>
        <w:rPr>
          <w:rFonts w:ascii="Arial" w:cs="Arial" w:eastAsia="Arial" w:hAnsi="Arial"/>
          <w:sz w:val="18"/>
          <w:szCs w:val="18"/>
          <w:color w:val="auto"/>
        </w:rPr>
        <w:t>– Based on the confirmed patient preference for oral delivery alternatives, we expect better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adherence with oral dosing versus injections, thus enabling a more physician-selectable dosing regimen. For example, the RaniPill capsule may enable a regimen of small daily doses, versus larger less-frequent doses for injections, to improve treatment adherence. In addition, small daily dosing may allow for therapeutic exposures to be maintained within a narrow range, whereas larger less frequent injection dosing can lead to large variations in therapeutic exposure, which can directly contribute to adverse events, loss of efficacy, and increased propensity for immunogenic response.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study in humans confirming reliable deployment in fed and fasted states</w:t>
      </w:r>
    </w:p>
    <w:p>
      <w:pPr>
        <w:spacing w:after="0" w:line="225" w:lineRule="exact"/>
        <w:rPr>
          <w:sz w:val="20"/>
          <w:szCs w:val="20"/>
          <w:color w:val="auto"/>
        </w:rPr>
      </w:pPr>
    </w:p>
    <w:p>
      <w:pPr>
        <w:ind w:right="60" w:firstLine="1018"/>
        <w:spacing w:after="0" w:line="255" w:lineRule="auto"/>
        <w:rPr>
          <w:sz w:val="20"/>
          <w:szCs w:val="20"/>
          <w:color w:val="auto"/>
        </w:rPr>
      </w:pPr>
      <w:r>
        <w:rPr>
          <w:rFonts w:ascii="Arial" w:cs="Arial" w:eastAsia="Arial" w:hAnsi="Arial"/>
          <w:sz w:val="18"/>
          <w:szCs w:val="18"/>
          <w:color w:val="auto"/>
        </w:rPr>
        <w:t>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92"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spacing w:after="0" w:line="187"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No volunteers reported difficulty in swallowing the capsule, nor did any study participant report experiencing pain or sensing an awareness upon balloon deployment.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25" w:lineRule="exact"/>
        <w:rPr>
          <w:sz w:val="20"/>
          <w:szCs w:val="20"/>
          <w:color w:val="auto"/>
        </w:rPr>
      </w:pPr>
    </w:p>
    <w:p>
      <w:pPr>
        <w:ind w:right="220" w:firstLine="1018"/>
        <w:spacing w:after="0" w:line="259" w:lineRule="auto"/>
        <w:rPr>
          <w:sz w:val="20"/>
          <w:szCs w:val="20"/>
          <w:color w:val="auto"/>
        </w:rPr>
      </w:pPr>
      <w:r>
        <w:rPr>
          <w:rFonts w:ascii="Arial" w:cs="Arial" w:eastAsia="Arial" w:hAnsi="Arial"/>
          <w:sz w:val="18"/>
          <w:szCs w:val="18"/>
          <w:color w:val="auto"/>
        </w:rPr>
        <w:t>Octreotide, developed by Novartis AG and sold under the brand name Sandostatin®, is a truncated and modified form of the human somatostatin. Somatostatin is a peptide hormone involved in the regulation of the endocrine system. It acts as an inhibitory hormone and influences hGH release, insulin and glucagon secretion, regional blood flow, gastric acid secretion, intestinal mobility, and neuronal activity. Octreotide is a more potent mimetic with a significantly longer half-life than naturally occurring somatostatin.</w:t>
      </w:r>
    </w:p>
    <w:p>
      <w:pPr>
        <w:spacing w:after="0" w:line="187" w:lineRule="exact"/>
        <w:rPr>
          <w:sz w:val="20"/>
          <w:szCs w:val="20"/>
          <w:color w:val="auto"/>
        </w:rPr>
      </w:pPr>
    </w:p>
    <w:p>
      <w:pPr>
        <w:ind w:right="40" w:firstLine="1018"/>
        <w:spacing w:after="0" w:line="254" w:lineRule="auto"/>
        <w:rPr>
          <w:sz w:val="20"/>
          <w:szCs w:val="20"/>
          <w:color w:val="auto"/>
        </w:rPr>
      </w:pPr>
      <w:r>
        <w:rPr>
          <w:rFonts w:ascii="Arial" w:cs="Arial" w:eastAsia="Arial" w:hAnsi="Arial"/>
          <w:sz w:val="18"/>
          <w:szCs w:val="18"/>
          <w:color w:val="auto"/>
        </w:rPr>
        <w:t>Octreotide is currently approved by the FDA and EMA for the symptomatic treatment of acromegaly, a disorder involving the secretion of excessive growth hormone, as well as carcinoid syndrome, a condition involving neuroendocrine tumors (“NETs”) of the GI tract. Current treatment using octreotide involves painful subcutaneous injections administered three to four times daily or an extended-release formulation via painful, deep intramuscular injections every four weeks. Despite the inconvenience of the current route of administration, the worldwide market for octreotide in 2020 was approximately $2.7 billion. A chemistry-based attempt to develop an oral version of octreotide for treatment of acromegaly (MYCAPSSA from Amryt Pharma Plc) resulted in a product with less than 1% bioavailability, which, due to this low bioavailability, was approved only for maintenance therapy of acromegaly patients on a low (100 µg) dose.</w:t>
      </w:r>
    </w:p>
    <w:p>
      <w:pPr>
        <w:spacing w:after="0" w:line="195"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The total patient population of NETs and acromegaly in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Our solution: RT-101</w:t>
      </w:r>
    </w:p>
    <w:p>
      <w:pPr>
        <w:spacing w:after="0" w:line="225"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We are developing RT-101, the RaniPill capsule containing a novel formulation of octreotide, for oral treatment of NETs and acromegaly. We have worldwide commercial rights to RT-101. We believe that the oral delivery route provided by RT-101 has the potential to take market share from injectables and expand oral delivery of octreotide beyond the limited reach of MYCAPSSA.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RT-101 Pharmacokinetic study</w:t>
      </w:r>
    </w:p>
    <w:p>
      <w:pPr>
        <w:spacing w:after="0" w:line="252" w:lineRule="exact"/>
        <w:rPr>
          <w:sz w:val="20"/>
          <w:szCs w:val="20"/>
          <w:color w:val="auto"/>
        </w:rPr>
      </w:pPr>
    </w:p>
    <w:p>
      <w:pPr>
        <w:ind w:right="100" w:firstLine="1018"/>
        <w:spacing w:after="0" w:line="279" w:lineRule="auto"/>
        <w:rPr>
          <w:sz w:val="20"/>
          <w:szCs w:val="20"/>
          <w:color w:val="auto"/>
        </w:rPr>
      </w:pPr>
      <w:r>
        <w:rPr>
          <w:rFonts w:ascii="Arial" w:cs="Arial" w:eastAsia="Arial" w:hAnsi="Arial"/>
          <w:sz w:val="17"/>
          <w:szCs w:val="17"/>
          <w:color w:val="auto"/>
        </w:rPr>
        <w:t>Pharmacokinetic profiles of octreotide delivered as RT-101 were obtained in conscious canines, and compared to that of an equivalent intravenous (“IV”) dose of the commercially available product, Sandostatin. All animals receiving RT-101 tolerated the oral administration of the capsule. For the RT-101 group, the average maximum concentration (“Cmax”) was 9.9 ± 1.2 ng/ml and average time to maximum concentration (“Tmax”) for the group was 22 ± 3 minutes after payload delivery. The average absolute bioavailability of octreotide delivered via RT-101 was 78%.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RT-101 seven-day, repeat-dose GLP study</w:t>
      </w:r>
    </w:p>
    <w:p>
      <w:pPr>
        <w:spacing w:after="0" w:line="225" w:lineRule="exact"/>
        <w:rPr>
          <w:sz w:val="20"/>
          <w:szCs w:val="20"/>
          <w:color w:val="auto"/>
        </w:rPr>
      </w:pPr>
    </w:p>
    <w:p>
      <w:pPr>
        <w:ind w:right="20" w:firstLine="1018"/>
        <w:spacing w:after="0" w:line="253" w:lineRule="auto"/>
        <w:rPr>
          <w:sz w:val="20"/>
          <w:szCs w:val="20"/>
          <w:color w:val="auto"/>
        </w:rPr>
      </w:pPr>
      <w:r>
        <w:rPr>
          <w:rFonts w:ascii="Arial" w:cs="Arial" w:eastAsia="Arial" w:hAnsi="Arial"/>
          <w:sz w:val="18"/>
          <w:szCs w:val="18"/>
          <w:color w:val="auto"/>
        </w:rPr>
        <w:t>Tolerability and reliability of RT-101 was assessed in a seven-day administration study in canines, under GLP guidelines. RT-101 was orally administered daily to test group animals, and control group animals received an enteric-coated capsule containing nonpareil sugar. Blood samples were collected after each RT-101 dose was administered to confirm successful payload delivery by measuring plasma concentrations of the drug. Plasma samples analyzed from test group animals showed that 77% of the administered devices successfully delivered the drug, with seven of eight animals having at least five successful payload deliveries over the seven-day dosing period. RT-101 was well 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deploys within the targeted region of the small intestine without causing any adverse clinical effects, and remnants get excreted without complications.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Endoscopic delivery of octreotide into the jejunum of healthy volunteers</w:t>
      </w:r>
    </w:p>
    <w:p>
      <w:pPr>
        <w:spacing w:after="0" w:line="225"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To obtain early proof-of-concept data, we evaluated PK of Sandostatin (a commercial formulation of octreotide) delivered via a direct injection into the jejunal wall to mimic the intended route of delivery by the RaniPill capsule. Results from this study, which involved five healthy volunteers, showed a highly similar PK profile of octreotide delivered by a direct injection into the intestinal wall to that obtained with RT-101 in its Phase 1 clinical trial. (</w:t>
      </w:r>
      <w:r>
        <w:rPr>
          <w:rFonts w:ascii="Arial" w:cs="Arial" w:eastAsia="Arial" w:hAnsi="Arial"/>
          <w:sz w:val="18"/>
          <w:szCs w:val="18"/>
          <w:i w:val="1"/>
          <w:iCs w:val="1"/>
          <w:color w:val="auto"/>
        </w:rPr>
        <w:t>See below RT-101 Phase 1 study</w:t>
      </w:r>
      <w:r>
        <w:rPr>
          <w:rFonts w:ascii="Arial" w:cs="Arial" w:eastAsia="Arial" w:hAnsi="Arial"/>
          <w:sz w:val="18"/>
          <w:szCs w:val="18"/>
          <w:color w:val="auto"/>
        </w:rPr>
        <w:t>). These data indicate that a change in formulation of octreotide from liquid to solid form did not significantly affect the PK of the drug.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RT-101 Phase 1 study</w:t>
      </w:r>
    </w:p>
    <w:p>
      <w:pPr>
        <w:spacing w:after="0" w:line="225" w:lineRule="exact"/>
        <w:rPr>
          <w:sz w:val="20"/>
          <w:szCs w:val="20"/>
          <w:color w:val="auto"/>
        </w:rPr>
      </w:pPr>
    </w:p>
    <w:p>
      <w:pPr>
        <w:ind w:right="280" w:firstLine="1018"/>
        <w:spacing w:after="0" w:line="296" w:lineRule="auto"/>
        <w:rPr>
          <w:sz w:val="20"/>
          <w:szCs w:val="20"/>
          <w:color w:val="auto"/>
        </w:rPr>
      </w:pPr>
      <w:r>
        <w:rPr>
          <w:rFonts w:ascii="Arial" w:cs="Arial" w:eastAsia="Arial" w:hAnsi="Arial"/>
          <w:sz w:val="16"/>
          <w:szCs w:val="16"/>
          <w:color w:val="auto"/>
        </w:rPr>
        <w:t>We conducted a Phase 1 clinical trial with RT-101 in 62 healthy subjects to evaluate safety and tolerability as primary endpoints and bioavailability as a secondary endpoint. Bioavailability of octreotide delivered via RT-101 was 65% relative to an intravenous control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and at levels of octreotide comparable to subcutaneous injection. In addition, the results indicate that the RaniPill capsule may be used for other biologics.</w:t>
      </w:r>
    </w:p>
    <w:p>
      <w:pPr>
        <w:spacing w:after="0" w:line="161" w:lineRule="exact"/>
        <w:rPr>
          <w:sz w:val="20"/>
          <w:szCs w:val="20"/>
          <w:color w:val="auto"/>
        </w:rPr>
      </w:pPr>
    </w:p>
    <w:p>
      <w:pPr>
        <w:ind w:right="60" w:firstLine="1018"/>
        <w:spacing w:after="0" w:line="277" w:lineRule="auto"/>
        <w:rPr>
          <w:sz w:val="20"/>
          <w:szCs w:val="20"/>
          <w:color w:val="auto"/>
        </w:rPr>
      </w:pPr>
      <w:r>
        <w:rPr>
          <w:rFonts w:ascii="Arial" w:cs="Arial" w:eastAsia="Arial" w:hAnsi="Arial"/>
          <w:sz w:val="18"/>
          <w:szCs w:val="18"/>
          <w:color w:val="auto"/>
        </w:rPr>
        <w:t>A similar study conducted in awake canines shows that the data from the canine model were consistent with the PK data obtained in humans, indicating that the canine is an appropriate model for octreotide.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clinical trials</w:t>
      </w:r>
    </w:p>
    <w:p>
      <w:pPr>
        <w:spacing w:after="0" w:line="225" w:lineRule="exact"/>
        <w:rPr>
          <w:sz w:val="20"/>
          <w:szCs w:val="20"/>
          <w:color w:val="auto"/>
        </w:rPr>
      </w:pPr>
    </w:p>
    <w:p>
      <w:pPr>
        <w:ind w:right="140" w:firstLine="1018"/>
        <w:spacing w:after="0" w:line="342" w:lineRule="auto"/>
        <w:rPr>
          <w:sz w:val="20"/>
          <w:szCs w:val="20"/>
          <w:color w:val="auto"/>
        </w:rPr>
      </w:pPr>
      <w:r>
        <w:rPr>
          <w:rFonts w:ascii="Arial" w:cs="Arial" w:eastAsia="Arial" w:hAnsi="Arial"/>
          <w:sz w:val="16"/>
          <w:szCs w:val="16"/>
          <w:color w:val="auto"/>
        </w:rPr>
        <w:t>We are currently optimizing the formulation for RT-101, to potentially enable once daily dosing. Once optimized, we will test and verify the formulation in appropriate animal models. Once the formulation is validated, we plan to initiate additional clinical trials for the development of RT-101.</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RT-102: Parathyroid hormone (PTH) for the treatment of osteoporosis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25"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with age.</w:t>
      </w:r>
    </w:p>
    <w:p>
      <w:pPr>
        <w:spacing w:after="0" w:line="184"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7"/>
          <w:szCs w:val="17"/>
          <w:color w:val="auto"/>
        </w:rPr>
        <w:t>PTH is an effective bone-building treatment for osteoporosis. PTH is a hormone secreted by the parathyroid glands that regulates serum calcium concentration and promotes bone growth. PTH therapies are delivered by daily subcutaneous injections for up to two years. Approximately ten million Americans suffer from osteoporosis; however, we estimate that only a small fraction of this population is being treated with a form of PTH. While there may be other reasons for this, we believe that patient aversion to daily injections may be a major factor. As a result, non-bone-building and less effective antiresorptive drugs are used as first line therapies because they are available in oral form.</w:t>
      </w:r>
    </w:p>
    <w:p>
      <w:pPr>
        <w:spacing w:after="0" w:line="176"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Teriparatide, a synthetic form of the natural human parathyroid hormone hPTH(1-34), is a PTH analog administered as a once-daily injection to treat osteoporosis, first developed by Eli Lilly and Company and sold under the brand name Forteo. Another PTH analog injectable is Tymlos by Radius Health, Inc., approved in 2017. A teriparatide biosimilar injectable by Pfenex, Inc. was approved in 2019. Annual sales revenue of PTH analogs and biosimilars globally in 2021 was approximately $2.0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We are developing RT-102, the RaniPill capsule containing our novel formulation of PTH, for oral treatment of osteoporosis. We have worldwide commercial rights to RT-102. In addition to the existing market, we believe there is an opportunity to expand the market by advancing RT-102 as a first line therapy for osteoporosis.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Dose escalation study</w:t>
      </w:r>
    </w:p>
    <w:p>
      <w:pPr>
        <w:spacing w:after="0" w:line="225"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We conducted a preclinical study with RT-102 where PK of PTH was determined in awake canines at varying dosage levels of teriparatide formulation. Reference PK curves were also generated using Forteo administered at the approved dose and route of delivery of 20 µg subcutaneous liquid injection.</w:t>
      </w:r>
    </w:p>
    <w:p>
      <w:pPr>
        <w:spacing w:after="0" w:line="184" w:lineRule="exact"/>
        <w:rPr>
          <w:sz w:val="20"/>
          <w:szCs w:val="20"/>
          <w:color w:val="auto"/>
        </w:rPr>
      </w:pPr>
    </w:p>
    <w:p>
      <w:pPr>
        <w:jc w:val="both"/>
        <w:ind w:right="120" w:firstLine="1018"/>
        <w:spacing w:after="0" w:line="311" w:lineRule="auto"/>
        <w:rPr>
          <w:sz w:val="20"/>
          <w:szCs w:val="20"/>
          <w:color w:val="auto"/>
        </w:rPr>
      </w:pPr>
      <w:r>
        <w:rPr>
          <w:rFonts w:ascii="Arial" w:cs="Arial" w:eastAsia="Arial" w:hAnsi="Arial"/>
          <w:sz w:val="16"/>
          <w:szCs w:val="16"/>
          <w:color w:val="auto"/>
        </w:rPr>
        <w:t>RT-102 yielded steep increases in concentration of PTH followed by a rapid decline to baseline levels, similar to the subcutaneous controls. Such a profile is desirable to produce an osteoanabolic effect. The overall duration of drug exposures remained short with drug concentrations returning to baseline levels within three hours. RT-102 was well tolerated by all animals with no significant adverse events noted at any of the doses tested.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Pharmacodynamics - rodent study</w:t>
      </w:r>
    </w:p>
    <w:p>
      <w:pPr>
        <w:spacing w:after="0" w:line="225" w:lineRule="exact"/>
        <w:rPr>
          <w:sz w:val="20"/>
          <w:szCs w:val="20"/>
          <w:color w:val="auto"/>
        </w:rPr>
      </w:pPr>
    </w:p>
    <w:p>
      <w:pPr>
        <w:ind w:right="200" w:firstLine="1018"/>
        <w:spacing w:after="0" w:line="259" w:lineRule="auto"/>
        <w:rPr>
          <w:sz w:val="20"/>
          <w:szCs w:val="20"/>
          <w:color w:val="auto"/>
        </w:rPr>
      </w:pPr>
      <w:r>
        <w:rPr>
          <w:rFonts w:ascii="Arial" w:cs="Arial" w:eastAsia="Arial" w:hAnsi="Arial"/>
          <w:sz w:val="18"/>
          <w:szCs w:val="18"/>
          <w:color w:val="auto"/>
        </w:rPr>
        <w:t>We conducted a 6-week pharmacodynamic study of the RT-102 drug substance PTH (1-34) to evaluate the effect of daily RT-102 DS intraperitoneal injections on bone mineral density in a rodent model of osteoporosis. The study compared two control groups of rodents undergoing sham surgery (N=10) and ovariectomy (N=10) receiving no drug, to three OVX groups each dosed with 5 mcg/kg per day of either RT-102 DS (N=10), teriparatide (N=10), or abaloparatide (N=10).</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study found that, following six weeks of treatment:</w:t>
      </w:r>
    </w:p>
    <w:p>
      <w:pPr>
        <w:spacing w:after="0" w:line="225"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RT-102 DS increased BMD in a rat model of osteoporosis.</w:t>
      </w:r>
    </w:p>
    <w:p>
      <w:pPr>
        <w:spacing w:after="0" w:line="225" w:lineRule="exact"/>
        <w:rPr>
          <w:rFonts w:ascii="Arial" w:cs="Arial" w:eastAsia="Arial" w:hAnsi="Arial"/>
          <w:sz w:val="18"/>
          <w:szCs w:val="18"/>
          <w:color w:val="auto"/>
        </w:rPr>
      </w:pPr>
    </w:p>
    <w:p>
      <w:pPr>
        <w:ind w:right="1580" w:firstLine="517"/>
        <w:spacing w:after="0" w:line="516" w:lineRule="auto"/>
        <w:tabs>
          <w:tab w:leader="none" w:pos="10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RT-102 DS delivered via the IP route of administration was biologically active comparable to SC injected PTH analogs. </w:t>
      </w:r>
      <w:r>
        <w:rPr>
          <w:rFonts w:ascii="Arial" w:cs="Arial" w:eastAsia="Arial" w:hAnsi="Arial"/>
          <w:sz w:val="18"/>
          <w:szCs w:val="18"/>
          <w:u w:val="single" w:color="auto"/>
          <w:color w:val="auto"/>
        </w:rPr>
        <w:t>Seven-day, repeat-dose GLP study with RT-102</w:t>
      </w:r>
    </w:p>
    <w:p>
      <w:pPr>
        <w:spacing w:after="0" w:line="1" w:lineRule="exact"/>
        <w:rPr>
          <w:sz w:val="20"/>
          <w:szCs w:val="20"/>
          <w:color w:val="auto"/>
        </w:rPr>
      </w:pPr>
    </w:p>
    <w:p>
      <w:pPr>
        <w:ind w:right="200" w:firstLine="1018"/>
        <w:spacing w:after="0" w:line="257" w:lineRule="auto"/>
        <w:rPr>
          <w:sz w:val="20"/>
          <w:szCs w:val="20"/>
          <w:color w:val="auto"/>
        </w:rPr>
      </w:pPr>
      <w:r>
        <w:rPr>
          <w:rFonts w:ascii="Arial" w:cs="Arial" w:eastAsia="Arial" w:hAnsi="Arial"/>
          <w:sz w:val="18"/>
          <w:szCs w:val="18"/>
          <w:color w:val="auto"/>
        </w:rPr>
        <w:t>Tolerability and reliability of RT-102 was assessed in a multi-day administration study in canines, under GLP guidelines. RT-102 was administered daily to eight test animals, and another four control animals received an enteric coated capsule containing nonpareil sugar followed by a seven-day washout period. Blood samples were collected after each RT-102 dose was administered to determine payload delivery by measuring plasma concentrations of the drug. The RaniPill capsule was well tolerated by all animals in the study. Plasma samples analyzed from test group animals showed that 61% of the administered devices successfully delivered the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drug. There were no clinical adverse effects observed in either group throughout the study duration. The GI tract was critically evaluated in all animals and no significant macroscopic abnormalities were observed in any animal.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In 2022, we completed a Phase 1 clinical trial with RT-102 in Australia. The study involved a single-ascending dose portion and a seven-day repeat-dose portion. The Phase 1 study met all of its endpoints, RT-102 was well tolerated and delivery achieved high bioavailability (more than 300% greater bioavailability than subcutaneous injection). No serious adverse events were reported in the study. See the section entitled “Clinical Update – RT-102” above for more information on the Phase 1 study of RT-102.</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plan to initiate a Phase 2 clinical trial of RT-102 in the second half of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25" w:lineRule="exact"/>
        <w:rPr>
          <w:sz w:val="20"/>
          <w:szCs w:val="20"/>
          <w:color w:val="auto"/>
        </w:rPr>
      </w:pPr>
    </w:p>
    <w:p>
      <w:pPr>
        <w:jc w:val="both"/>
        <w:ind w:right="60" w:firstLine="1018"/>
        <w:spacing w:after="0" w:line="293" w:lineRule="auto"/>
        <w:rPr>
          <w:sz w:val="20"/>
          <w:szCs w:val="20"/>
          <w:color w:val="auto"/>
        </w:rPr>
      </w:pPr>
      <w:r>
        <w:rPr>
          <w:rFonts w:ascii="Arial" w:cs="Arial" w:eastAsia="Arial" w:hAnsi="Arial"/>
          <w:sz w:val="16"/>
          <w:szCs w:val="16"/>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$21.2 billion in 2022. Adalimumab is approved by the FDA and EMA to treat a range of autoimmune conditions, including psoriasis, rheumatoid arthritis, and Crohn’s disease. In the U.S. alone, there are an estimated one and one-half million patients with rheumatoid arthritis, seven million with psoriasis, and three million with Crohn’s disease or ulcerative colitis. Currently, eight Humira biosimilars have been approved by the FDA, and are expected to enter the U.S. market over the course of 2023, prevented from entering earlier per licensing agreements with the originator.</w:t>
      </w:r>
    </w:p>
    <w:p>
      <w:pPr>
        <w:spacing w:after="0" w:line="164" w:lineRule="exact"/>
        <w:rPr>
          <w:sz w:val="20"/>
          <w:szCs w:val="20"/>
          <w:color w:val="auto"/>
        </w:rPr>
      </w:pPr>
    </w:p>
    <w:p>
      <w:pPr>
        <w:ind w:right="360" w:firstLine="1018"/>
        <w:spacing w:after="0" w:line="277" w:lineRule="auto"/>
        <w:rPr>
          <w:sz w:val="20"/>
          <w:szCs w:val="20"/>
          <w:color w:val="auto"/>
        </w:rPr>
      </w:pPr>
      <w:r>
        <w:rPr>
          <w:rFonts w:ascii="Arial" w:cs="Arial" w:eastAsia="Arial" w:hAnsi="Arial"/>
          <w:sz w:val="18"/>
          <w:szCs w:val="18"/>
          <w:color w:val="auto"/>
        </w:rPr>
        <w:t>Patients who use adalimumab administer the drug through a subcutaneous injection once every two weeks. Despite the painful injections required to administer it, adalimumab was the best-selling drug globally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right="220" w:firstLine="1018"/>
        <w:spacing w:after="0" w:line="259" w:lineRule="auto"/>
        <w:rPr>
          <w:sz w:val="20"/>
          <w:szCs w:val="20"/>
          <w:color w:val="auto"/>
        </w:rPr>
      </w:pPr>
      <w:r>
        <w:rPr>
          <w:rFonts w:ascii="Arial" w:cs="Arial" w:eastAsia="Arial" w:hAnsi="Arial"/>
          <w:sz w:val="18"/>
          <w:szCs w:val="18"/>
          <w:color w:val="auto"/>
        </w:rPr>
        <w:t>We are developing RT-105, the RaniPill capsule containing a formulation of adalimumab, for oral treatment of a host of inflammatory conditions, beginning with treatment of psoriatic arthritis and later expanding to other indications for which TNF-alpha inhibitors are approved. We have worldwide commercial rights to RT-105. We believe that the development of an orally administered anti-TNF-alpha antibody represents a significant market opportunity.</w:t>
      </w:r>
    </w:p>
    <w:p>
      <w:pPr>
        <w:spacing w:after="0" w:line="187" w:lineRule="exact"/>
        <w:rPr>
          <w:sz w:val="20"/>
          <w:szCs w:val="20"/>
          <w:color w:val="auto"/>
        </w:rPr>
      </w:pPr>
    </w:p>
    <w:p>
      <w:pPr>
        <w:ind w:right="360" w:firstLine="1018"/>
        <w:spacing w:after="0" w:line="259" w:lineRule="auto"/>
        <w:rPr>
          <w:sz w:val="20"/>
          <w:szCs w:val="20"/>
          <w:color w:val="auto"/>
        </w:rPr>
      </w:pPr>
      <w:r>
        <w:rPr>
          <w:rFonts w:ascii="Arial" w:cs="Arial" w:eastAsia="Arial" w:hAnsi="Arial"/>
          <w:sz w:val="18"/>
          <w:szCs w:val="18"/>
          <w:color w:val="auto"/>
        </w:rPr>
        <w:t>Our preclinical studies and clinical trials with adalimumab have demonstrated the successful delivery of a large antibody via the RaniPill platform. Moreover, our studies indicate that serum concentrations comparable to the approved subcutaneous dosing method can achieved for antibody therapies using the RaniPill platform, providing compelling evidence that the RaniPill capsule could be a viable alternative to painful subcutaneous antibody injection therapies.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Endoscopic administration of adalimumab into the jejunum of healthy human volunteers</w:t>
      </w:r>
    </w:p>
    <w:p>
      <w:pPr>
        <w:spacing w:after="0" w:line="225" w:lineRule="exact"/>
        <w:rPr>
          <w:sz w:val="20"/>
          <w:szCs w:val="20"/>
          <w:color w:val="auto"/>
        </w:rPr>
      </w:pPr>
    </w:p>
    <w:p>
      <w:pPr>
        <w:ind w:right="180" w:firstLine="1018"/>
        <w:spacing w:after="0" w:line="279" w:lineRule="auto"/>
        <w:rPr>
          <w:sz w:val="20"/>
          <w:szCs w:val="20"/>
          <w:color w:val="auto"/>
        </w:rPr>
      </w:pPr>
      <w:r>
        <w:rPr>
          <w:rFonts w:ascii="Arial" w:cs="Arial" w:eastAsia="Arial" w:hAnsi="Arial"/>
          <w:sz w:val="17"/>
          <w:szCs w:val="17"/>
          <w:color w:val="auto"/>
        </w:rPr>
        <w:t>To assess whether the observations from preclinical studies regarding absorption of adalimumab through the intestinal wall translate to clinical trials, we conducted an endoscopic study in humans. The study involved ten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spacing w:after="0" w:line="171" w:lineRule="exact"/>
        <w:rPr>
          <w:sz w:val="20"/>
          <w:szCs w:val="20"/>
          <w:color w:val="auto"/>
        </w:rPr>
      </w:pPr>
    </w:p>
    <w:p>
      <w:pPr>
        <w:ind w:right="220" w:firstLine="1018"/>
        <w:spacing w:after="0" w:line="277" w:lineRule="auto"/>
        <w:rPr>
          <w:sz w:val="20"/>
          <w:szCs w:val="20"/>
          <w:color w:val="auto"/>
        </w:rPr>
      </w:pPr>
      <w:r>
        <w:rPr>
          <w:rFonts w:ascii="Arial" w:cs="Arial" w:eastAsia="Arial" w:hAnsi="Arial"/>
          <w:sz w:val="18"/>
          <w:szCs w:val="18"/>
          <w:color w:val="auto"/>
        </w:rPr>
        <w:t>PK profiles were similar with no notable differences observed in either AUC or Cmax. The mean AUC was 62.7 ± 11.4 µg/ml*day*kg/mg for the subcutaneous group and 45.0 ± 29.0 µg/ml*day*kg/mg for the intrajejunal group. No serious adverse events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200"/>
        <w:spacing w:after="0" w:line="308" w:lineRule="auto"/>
        <w:rPr>
          <w:sz w:val="20"/>
          <w:szCs w:val="20"/>
          <w:color w:val="auto"/>
        </w:rPr>
      </w:pPr>
      <w:r>
        <w:rPr>
          <w:rFonts w:ascii="Arial" w:cs="Arial" w:eastAsia="Arial" w:hAnsi="Arial"/>
          <w:sz w:val="17"/>
          <w:szCs w:val="17"/>
          <w:color w:val="auto"/>
        </w:rPr>
        <w:t>were noted in this study, and adverse events of headache and flu-like symptoms after intrajejunal administration resolved within 48 hours. The results are consistent with data obtained in preclinical studies, confirming intrajejunal delivery as a viable route of delivery for adalimumab.</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plan to initiate a Phase 1 clinical trial of RT-105 in healthy volunteers in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25"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The prevalence of hypoparathyroidism in the United States is approximately 115,000 people. PTH is currently approved for the treatment of hypoparathyroidism by the FDA and EMA. PTH treatment requires lifelong daily injections but has suboptimal efficacy. Treatment of hypoparathyroidism is most effective with consistent and sustained plasma levels of PTH.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8"/>
          <w:szCs w:val="18"/>
          <w:color w:val="auto"/>
        </w:rPr>
        <w:t>We are developing RT-110, the RaniPill capsule containing our second novel formulation of PTH, for oral treatment of hypoparathyroidism. We have worldwide commercial rights to RT-110. We believe that there is an unmet need for a delivery method more convenient than injection, and we further believe that the RaniPill capsule will provide for a treatment regimen that can better maintain consistent and sustained plasma levels of PTH than the current treatment regimen of daily PTH injections.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260" w:firstLine="1018"/>
        <w:spacing w:after="0" w:line="263" w:lineRule="auto"/>
        <w:rPr>
          <w:sz w:val="20"/>
          <w:szCs w:val="20"/>
          <w:color w:val="auto"/>
        </w:rPr>
      </w:pPr>
      <w:r>
        <w:rPr>
          <w:rFonts w:ascii="Arial" w:cs="Arial" w:eastAsia="Arial" w:hAnsi="Arial"/>
          <w:sz w:val="18"/>
          <w:szCs w:val="18"/>
          <w:color w:val="auto"/>
        </w:rPr>
        <w:t>We are creating a sustained release formulation of RT-110 which is intended to provide continuous exposures of the hormone required to normalize the calcium imbalance in hypoparathyroidism patients. We plan to conduct preclinical PK studies of RT-110 prior to initiating human clinical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plan to initiate a Phase 1 clinical trial in healthy volunteers in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RT-111: Ustekinumab for the treatment of inflammatory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w:t>
      </w:r>
    </w:p>
    <w:p>
      <w:pPr>
        <w:spacing w:after="0" w:line="225" w:lineRule="exact"/>
        <w:rPr>
          <w:sz w:val="20"/>
          <w:szCs w:val="20"/>
          <w:color w:val="auto"/>
        </w:rPr>
      </w:pPr>
    </w:p>
    <w:p>
      <w:pPr>
        <w:ind w:right="40" w:firstLine="1018"/>
        <w:spacing w:after="0" w:line="257" w:lineRule="auto"/>
        <w:rPr>
          <w:sz w:val="20"/>
          <w:szCs w:val="20"/>
          <w:color w:val="auto"/>
        </w:rPr>
      </w:pPr>
      <w:r>
        <w:rPr>
          <w:rFonts w:ascii="Arial" w:cs="Arial" w:eastAsia="Arial" w:hAnsi="Arial"/>
          <w:sz w:val="18"/>
          <w:szCs w:val="18"/>
          <w:color w:val="auto"/>
        </w:rPr>
        <w:t>Ustekinumab is currently approved by the FDA and EMA for the treatment of various inflammatory conditions under the brand name STELARA. STELARA (ustekinumab) is an interleukin-12 and interleukin-23 antagonist marketed by Janssen Biotech, Inc. with sales of approximately $5.9 billion in the United States and approximately $9.1 billion worldwide in 2021. The latest expiring United States patent for STELARA (ustekinumab) will expire in September 2023. In the United States, there were estimated to be seven million patients with psoriasis and three million patients with Crohn’s disease or ulcerative colitis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RT-111</w:t>
      </w:r>
    </w:p>
    <w:p>
      <w:pPr>
        <w:spacing w:after="0" w:line="225"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We are developing RT-111, a RaniPill capsule containing an ustekinumab biosimilar, for the treatment of various inflammatory conditions. We entered into a License and Supply Agreement with Celltrion, under which we receive a license and supply of Celltrion’s ustekinumab biosimilar for development and commercialization worldwide, subject a right of first negotiation for Celltrion following completion of a Phase 1 clinical trial that meets its primary endpoint(s).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are currently conducting preclinical work with RT-111.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plan to initiate a Phase 1 clinical trial of RT-111 in healthy volunteers in 2023.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Regulatory Pathways</w:t>
      </w:r>
    </w:p>
    <w:p>
      <w:pPr>
        <w:spacing w:after="0" w:line="229" w:lineRule="exact"/>
        <w:rPr>
          <w:sz w:val="20"/>
          <w:szCs w:val="20"/>
          <w:color w:val="auto"/>
        </w:rPr>
      </w:pPr>
    </w:p>
    <w:p>
      <w:pPr>
        <w:ind w:right="80" w:firstLine="1018"/>
        <w:spacing w:after="0" w:line="296" w:lineRule="auto"/>
        <w:rPr>
          <w:sz w:val="20"/>
          <w:szCs w:val="20"/>
          <w:color w:val="auto"/>
        </w:rPr>
      </w:pPr>
      <w:r>
        <w:rPr>
          <w:rFonts w:ascii="Arial" w:cs="Arial" w:eastAsia="Arial" w:hAnsi="Arial"/>
          <w:sz w:val="16"/>
          <w:szCs w:val="16"/>
          <w:color w:val="auto"/>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Federal Food, Drug and Cosmetic Act (“FDCA”) and the Public Health Service Act (“PHSA”) and their implementing regulations. Other jurisdictions will have somewhat different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centers: CDRH, CBER, CDER, OCP</w:t>
      </w:r>
    </w:p>
    <w:p>
      <w:pPr>
        <w:spacing w:after="0" w:line="225" w:lineRule="exact"/>
        <w:rPr>
          <w:sz w:val="20"/>
          <w:szCs w:val="20"/>
          <w:color w:val="auto"/>
        </w:rPr>
      </w:pPr>
    </w:p>
    <w:p>
      <w:pPr>
        <w:ind w:right="20" w:firstLine="1018"/>
        <w:spacing w:after="0" w:line="289" w:lineRule="auto"/>
        <w:rPr>
          <w:sz w:val="20"/>
          <w:szCs w:val="20"/>
          <w:color w:val="auto"/>
        </w:rPr>
      </w:pPr>
      <w:r>
        <w:rPr>
          <w:rFonts w:ascii="Arial" w:cs="Arial" w:eastAsia="Arial" w:hAnsi="Arial"/>
          <w:sz w:val="16"/>
          <w:szCs w:val="16"/>
          <w:color w:val="auto"/>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regulated by the Center for Biologics Evaluation and Research (“CBER”) or a “drug” regulated by the Center for Drug Evaluation and Research (“CDER”).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spacing w:after="0" w:line="193" w:lineRule="exact"/>
        <w:rPr>
          <w:sz w:val="20"/>
          <w:szCs w:val="20"/>
          <w:color w:val="auto"/>
        </w:rPr>
      </w:pPr>
    </w:p>
    <w:p>
      <w:pPr>
        <w:ind w:right="40" w:firstLine="1018"/>
        <w:spacing w:after="0" w:line="291" w:lineRule="auto"/>
        <w:rPr>
          <w:sz w:val="20"/>
          <w:szCs w:val="20"/>
          <w:color w:val="auto"/>
        </w:rPr>
      </w:pPr>
      <w:r>
        <w:rPr>
          <w:rFonts w:ascii="Arial" w:cs="Arial" w:eastAsia="Arial" w:hAnsi="Arial"/>
          <w:sz w:val="16"/>
          <w:szCs w:val="16"/>
          <w:color w:val="auto"/>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6" w:lineRule="exact"/>
        <w:rPr>
          <w:sz w:val="20"/>
          <w:szCs w:val="20"/>
          <w:color w:val="auto"/>
        </w:rPr>
      </w:pPr>
    </w:p>
    <w:p>
      <w:pPr>
        <w:ind w:right="60" w:firstLine="1018"/>
        <w:spacing w:after="0" w:line="263" w:lineRule="auto"/>
        <w:rPr>
          <w:sz w:val="20"/>
          <w:szCs w:val="20"/>
          <w:color w:val="auto"/>
        </w:rPr>
      </w:pPr>
      <w:r>
        <w:rPr>
          <w:rFonts w:ascii="Arial" w:cs="Arial" w:eastAsia="Arial" w:hAnsi="Arial"/>
          <w:sz w:val="18"/>
          <w:szCs w:val="18"/>
          <w:color w:val="auto"/>
        </w:rPr>
        <w:t>It is expected that most of our product candidates will include a biologic within the FDA’s definition of “biological product” and some of our product candidates may include a biologic that will be considered a “drug.” CDER is the lead center for review of therapeutic proteins at this time, thus most of our product candidates will have CDER as the lead center.</w:t>
      </w:r>
    </w:p>
    <w:p>
      <w:pPr>
        <w:spacing w:after="0" w:line="184"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institutional review board (“IRB”) or ethics committee. Human studies in the United States require pre-approval by the FDA. For FDA approval of a human trial, if the trial will involve a biologic alone then an IND application will be needed, and if the trial will involve the RaniPill platform alone then an investigational device exemption (“IDE”) application will be needed. For a clinical trial in which the RaniPill platform will be used in combination with a biologic, we must submit an IDE application if the lead center is CDRH or an IND application if the lead center is CBER or CDER. For the RaniPill platform used in combination with a biologic, it is expected that CBER or CDER will be the lead center. IND and IDE applications are discussed in more detail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or license to market the RaniPill capsule</w:t>
      </w:r>
    </w:p>
    <w:p>
      <w:pPr>
        <w:spacing w:after="0" w:line="225" w:lineRule="exact"/>
        <w:rPr>
          <w:sz w:val="20"/>
          <w:szCs w:val="20"/>
          <w:color w:val="auto"/>
        </w:rPr>
      </w:pPr>
    </w:p>
    <w:p>
      <w:pPr>
        <w:ind w:right="60" w:firstLine="1018"/>
        <w:spacing w:after="0" w:line="308" w:lineRule="auto"/>
        <w:rPr>
          <w:sz w:val="20"/>
          <w:szCs w:val="20"/>
          <w:color w:val="auto"/>
        </w:rPr>
      </w:pPr>
      <w:r>
        <w:rPr>
          <w:rFonts w:ascii="Arial" w:cs="Arial" w:eastAsia="Arial" w:hAnsi="Arial"/>
          <w:sz w:val="17"/>
          <w:szCs w:val="17"/>
          <w:color w:val="auto"/>
        </w:rPr>
        <w:t>The FDA has specified a BLA path for seeking a license to market a biological product and a new drug application path for seeking approval to market a drug. It is expected that most of our product candidates will follow the BLA path while some may follow the NDA path.</w:t>
      </w:r>
    </w:p>
    <w:p>
      <w:pPr>
        <w:spacing w:after="0" w:line="146" w:lineRule="exact"/>
        <w:rPr>
          <w:sz w:val="20"/>
          <w:szCs w:val="20"/>
          <w:color w:val="auto"/>
        </w:rPr>
      </w:pPr>
    </w:p>
    <w:p>
      <w:pPr>
        <w:ind w:right="120" w:firstLine="1018"/>
        <w:spacing w:after="0" w:line="257" w:lineRule="auto"/>
        <w:rPr>
          <w:sz w:val="20"/>
          <w:szCs w:val="20"/>
          <w:color w:val="auto"/>
        </w:rPr>
      </w:pPr>
      <w:r>
        <w:rPr>
          <w:rFonts w:ascii="Arial" w:cs="Arial" w:eastAsia="Arial" w:hAnsi="Arial"/>
          <w:sz w:val="18"/>
          <w:szCs w:val="18"/>
          <w:color w:val="auto"/>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is the same as the original approved product. Additionally, because certain products originally approved under an NDA have been reclassified by the FDA and would now follow a BLA pathway, it is unclear whether conclusions regarding such reclassified products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60"/>
        <w:spacing w:after="0" w:line="277" w:lineRule="auto"/>
        <w:rPr>
          <w:sz w:val="20"/>
          <w:szCs w:val="20"/>
          <w:color w:val="auto"/>
        </w:rPr>
      </w:pPr>
      <w:r>
        <w:rPr>
          <w:rFonts w:ascii="Arial" w:cs="Arial" w:eastAsia="Arial" w:hAnsi="Arial"/>
          <w:sz w:val="18"/>
          <w:szCs w:val="18"/>
          <w:color w:val="auto"/>
        </w:rPr>
        <w:t>can be leveraged in our BLA submissions. We intend to have the scope of the leverage that will be available from already-approved biologics clarified on a product-by-product basis for each product candidate in pre-IND meetings with the FDA.</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CBER and CDER may ask for additional testing for specific biologics, disease indications, or patient populations.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Additional information regarding regulatory pathways is provided in the “</w:t>
      </w:r>
      <w:r>
        <w:rPr>
          <w:rFonts w:ascii="Arial" w:cs="Arial" w:eastAsia="Arial" w:hAnsi="Arial"/>
          <w:sz w:val="18"/>
          <w:szCs w:val="18"/>
          <w:i w:val="1"/>
          <w:iCs w:val="1"/>
          <w:color w:val="auto"/>
        </w:rPr>
        <w:t>Government Regulation</w:t>
      </w:r>
      <w:r>
        <w:rPr>
          <w:rFonts w:ascii="Arial" w:cs="Arial" w:eastAsia="Arial" w:hAnsi="Arial"/>
          <w:sz w:val="18"/>
          <w:szCs w:val="18"/>
          <w:color w:val="auto"/>
        </w:rPr>
        <w:t>” section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Evaluation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Celltrion license and supply agreement</w:t>
      </w:r>
    </w:p>
    <w:p>
      <w:pPr>
        <w:spacing w:after="0" w:line="225"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In January 2023, we entered into a License and Supply Agreement with Celltrion. Under the Celltrion Agreement, Celltrion grants us an exclusive, worldwide, royalty-free license to certain intellectual property to make, use, sell, offer for sale, import and otherwise exploit RT-111 and to use certain information to support the manufacture, development and commercialization of RT-111. Celltrion will provide, and we will purchase, supply of ustekinumab biosimilar at supply prices set forth in the Celltrion Agreement. We will obtain ustekiunmab biosimilar exclusively from Celltrion for the manufacture, development and commercialization of RT-111, subject to a right to obtain supply from alternative sources under certain circumstances where Celltrion experiences supply disruption.</w:t>
      </w:r>
    </w:p>
    <w:p>
      <w:pPr>
        <w:spacing w:after="0" w:line="192" w:lineRule="exact"/>
        <w:rPr>
          <w:sz w:val="20"/>
          <w:szCs w:val="20"/>
          <w:color w:val="auto"/>
        </w:rPr>
      </w:pPr>
    </w:p>
    <w:p>
      <w:pPr>
        <w:ind w:right="80" w:firstLine="1018"/>
        <w:spacing w:after="0" w:line="253" w:lineRule="auto"/>
        <w:rPr>
          <w:sz w:val="20"/>
          <w:szCs w:val="20"/>
          <w:color w:val="auto"/>
        </w:rPr>
      </w:pPr>
      <w:r>
        <w:rPr>
          <w:rFonts w:ascii="Arial" w:cs="Arial" w:eastAsia="Arial" w:hAnsi="Arial"/>
          <w:sz w:val="18"/>
          <w:szCs w:val="18"/>
          <w:color w:val="auto"/>
        </w:rPr>
        <w:t>Under the Celltrion Agreement, we have sole right to manufacture, develop and commercialize RT-111 worldwide, subject to an exclusive right of first negotiation (“ROFN”) granted to Celltrion. Following our delivery to Celltrion of a data package consisting of topline safety information, pharmacokinetic results and device performance, and the raw data related to topline results from a Phase 1 clinical trial of RT-111 that meets its primary endpoint(s), Celltrion will have a certain period to exercise its ROFN. If Celltrion timely exercises the ROFN, then Celltrion will have an exclusive period to negotiate in good faith a definitive agreement with us for rights to clinically develop and commercialize RT-111 in territories selected by Celltrion. In the event Celltrion does not timely exercise the ROFN or Celltrion notifies us that it does not intend to exercise the ROFN or, after timely exercising the ROFN, notifies us that Celltrion withdraws its exercise of the ROFN, or the parties fail to enter into a definitive agreement for the development and commercialization of RT-111 within the exclusive negotiation period, then the ROFN will terminate and we will have no further obligations under the Celltrion Agreement related to a ROFN.</w:t>
      </w:r>
    </w:p>
    <w:p>
      <w:pPr>
        <w:spacing w:after="0" w:line="196" w:lineRule="exact"/>
        <w:rPr>
          <w:sz w:val="20"/>
          <w:szCs w:val="20"/>
          <w:color w:val="auto"/>
        </w:rPr>
      </w:pPr>
    </w:p>
    <w:p>
      <w:pPr>
        <w:ind w:right="20" w:firstLine="1018"/>
        <w:spacing w:after="0" w:line="271" w:lineRule="auto"/>
        <w:rPr>
          <w:sz w:val="20"/>
          <w:szCs w:val="20"/>
          <w:color w:val="auto"/>
        </w:rPr>
      </w:pPr>
      <w:r>
        <w:rPr>
          <w:rFonts w:ascii="Arial" w:cs="Arial" w:eastAsia="Arial" w:hAnsi="Arial"/>
          <w:sz w:val="17"/>
          <w:szCs w:val="17"/>
          <w:color w:val="auto"/>
        </w:rPr>
        <w:t>The Celltrion Agreement allocates rights between the parties with respect to inventions generated in performance of the agreement for the manufacture, development and commercialization of RT-111. Celltrion will own intellectual property generated in the program solely related to its ustekinumab biosimilar. We will own all other intellectual property generated in the program, and we grant Celltrion an exclusive, worldwide license under such intellectual property solely for use with its ustekinumab biosimilar. We will own all data related to the research, development, manufacture, regulatory activities and commercialization of RT-111 conducted by us. The Celltrion Agreement also contains customary representations, warranties and covenants, and mutual indemnification provisions. We have a right to terminate the agreement for convenience subject to certain notice periods. Celltrion has a right to terminate the agreement if we do not achieve certain development milestones, and each party has certain rights to terminate for material breach or safety concerns regarding the ustekinumab biosimilar or RT-111.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firstLine="1018"/>
        <w:spacing w:after="0" w:line="268" w:lineRule="auto"/>
        <w:rPr>
          <w:sz w:val="20"/>
          <w:szCs w:val="20"/>
          <w:color w:val="auto"/>
        </w:rPr>
      </w:pPr>
      <w:r>
        <w:rPr>
          <w:rFonts w:ascii="Arial" w:cs="Arial" w:eastAsia="Arial" w:hAnsi="Arial"/>
          <w:sz w:val="17"/>
          <w:szCs w:val="17"/>
          <w:color w:val="auto"/>
        </w:rPr>
        <w:t>In May 2015, we entered into an Evaluation and First Rights Agreement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Certain data from such testing was shared with Novartis pursuant to the July 2020 amendment. Following delivery of a report by us,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six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 party’s uncured material breach.</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ind w:right="120" w:firstLine="1018"/>
        <w:spacing w:after="0" w:line="259" w:lineRule="auto"/>
        <w:rPr>
          <w:sz w:val="20"/>
          <w:szCs w:val="20"/>
          <w:color w:val="auto"/>
        </w:rPr>
      </w:pPr>
      <w:r>
        <w:rPr>
          <w:rFonts w:ascii="Arial" w:cs="Arial" w:eastAsia="Arial" w:hAnsi="Arial"/>
          <w:sz w:val="18"/>
          <w:szCs w:val="18"/>
          <w:color w:val="auto"/>
        </w:rPr>
        <w:t>Novartis has paid us an aggregate of $7.0 million under the Novartis Agreement as of December 31, 2022 and made an equity investment of approximately $5 million in our Series C preferred unit financing. As part of the organizational transactions in connection with our initial public offering, the Series C preferred units were exchanged for 404,638 Paired Interests. We do not expect any future payments under the Novartis Agreement unless we and Novartis negotiate a new agreement constructed around a higher-capacity payload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right="40" w:firstLine="1018"/>
        <w:spacing w:after="0" w:line="268" w:lineRule="auto"/>
        <w:rPr>
          <w:sz w:val="20"/>
          <w:szCs w:val="20"/>
          <w:color w:val="auto"/>
        </w:rPr>
      </w:pPr>
      <w:r>
        <w:rPr>
          <w:rFonts w:ascii="Arial" w:cs="Arial" w:eastAsia="Arial" w:hAnsi="Arial"/>
          <w:sz w:val="17"/>
          <w:szCs w:val="17"/>
          <w:color w:val="auto"/>
        </w:rPr>
        <w:t>In August 2017, we entered into an Evaluation and Right of First Refusal Agreement with Changchun High &amp; New Technology Industries (“CCHN”) in which we agreed to perform and share data from preclinical testing of RT-109 (the “CCHN Agreement”). We provided CCHN with reports and data resulting from our performance of our preclinical testing. CCHN has a non-exclusive right to use this information in connection with specified activities. CCHN owns intellectual property generated under the CCHN Agreement that comprises of or relates to certain materials and assays provided by CCHN and we own all other intellectual property generated under the CCHN Agreement. Following completion of the evaluation program under the CCHN Agreement, CCHN has a right to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third-party proposal for commercial rights for RT-109 in China to make a competing offer for such rights. The CCHN Agreement will expire upon the expiration of CCHN’s right of first refusal, or up to 90 days longer if CCHN makes a bid under its right of first refusal. Prior to these periods, CCHN may terminate for convenience upon 30 days’ notice, and we and CCHN may terminate for the other party’s material uncured breach. We completed the evaluation program, however, following a strategic priority review in 2022, we decided not to continue active development of RT-109. CCHN has not requested to negotiate for commercial rights for RT-109 in China.</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are no payment obligations under the CCHN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right="40" w:firstLine="1018"/>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spacing w:after="0" w:line="157" w:lineRule="exact"/>
        <w:rPr>
          <w:sz w:val="20"/>
          <w:szCs w:val="20"/>
          <w:color w:val="auto"/>
        </w:rPr>
      </w:pPr>
    </w:p>
    <w:p>
      <w:pPr>
        <w:ind w:right="280" w:firstLine="1018"/>
        <w:spacing w:after="0" w:line="277" w:lineRule="auto"/>
        <w:rPr>
          <w:sz w:val="20"/>
          <w:szCs w:val="20"/>
          <w:color w:val="auto"/>
        </w:rPr>
      </w:pPr>
      <w:r>
        <w:rPr>
          <w:rFonts w:ascii="Arial" w:cs="Arial" w:eastAsia="Arial" w:hAnsi="Arial"/>
          <w:sz w:val="18"/>
          <w:szCs w:val="18"/>
          <w:color w:val="auto"/>
        </w:rPr>
        <w:t>Each RaniPill capsule is assembled through a process which involves a series of integrated, well-developed, and highly reproducible steps that have been optimized to consistently produce capsules of high reliability.</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151765</wp:posOffset>
            </wp:positionV>
            <wp:extent cx="5186045" cy="72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firstLine="1018"/>
        <w:spacing w:after="0" w:line="270" w:lineRule="auto"/>
        <w:rPr>
          <w:sz w:val="20"/>
          <w:szCs w:val="20"/>
          <w:color w:val="auto"/>
        </w:rPr>
      </w:pPr>
      <w:r>
        <w:rPr>
          <w:rFonts w:ascii="Arial" w:cs="Arial" w:eastAsia="Arial" w:hAnsi="Arial"/>
          <w:sz w:val="17"/>
          <w:szCs w:val="17"/>
          <w:color w:val="auto"/>
        </w:rPr>
        <w:t>A drug API or drug substance combined with excipients specific to the drug API or drug substance is lyophilized and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 We rely on non-exclusive, third-party relationships with several manufacturers for the drug API or drug substance. We maintain in-house capabilities related to the aseptic manufacturing, following FDA Current Good Manufacturing Practice regulations for drugs that contain minimum requirements for the methods, facilities, and controls used in manufacturing, processing, and packing of a drug product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208" w:lineRule="exact"/>
        <w:rPr>
          <w:sz w:val="20"/>
          <w:szCs w:val="20"/>
          <w:color w:val="auto"/>
        </w:rPr>
      </w:pPr>
    </w:p>
    <w:p>
      <w:pPr>
        <w:ind w:right="60" w:firstLine="1018"/>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key markets for our products, once approved, will be in the United States, Europe,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supply infrastructure</w:t>
      </w:r>
    </w:p>
    <w:p>
      <w:pPr>
        <w:spacing w:after="0" w:line="225" w:lineRule="exact"/>
        <w:rPr>
          <w:sz w:val="20"/>
          <w:szCs w:val="20"/>
          <w:color w:val="auto"/>
        </w:rPr>
      </w:pPr>
    </w:p>
    <w:p>
      <w:pPr>
        <w:ind w:right="60" w:firstLine="1018"/>
        <w:spacing w:after="0" w:line="301" w:lineRule="auto"/>
        <w:rPr>
          <w:sz w:val="20"/>
          <w:szCs w:val="20"/>
          <w:color w:val="auto"/>
        </w:rPr>
      </w:pPr>
      <w:r>
        <w:rPr>
          <w:rFonts w:ascii="Arial" w:cs="Arial" w:eastAsia="Arial" w:hAnsi="Arial"/>
          <w:sz w:val="16"/>
          <w:szCs w:val="16"/>
          <w:color w:val="auto"/>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other than ustekinumab biosimilar for RT-111. Availability of API or drug substance supply may inform our decisions regarding which product candidates present the best development opportunities.</w:t>
      </w:r>
    </w:p>
    <w:p>
      <w:pPr>
        <w:spacing w:after="0" w:line="184" w:lineRule="exact"/>
        <w:rPr>
          <w:sz w:val="20"/>
          <w:szCs w:val="20"/>
          <w:color w:val="auto"/>
        </w:rPr>
      </w:pPr>
    </w:p>
    <w:p>
      <w:pPr>
        <w:ind w:right="260" w:firstLine="1018"/>
        <w:spacing w:after="0" w:line="277" w:lineRule="auto"/>
        <w:rPr>
          <w:sz w:val="20"/>
          <w:szCs w:val="20"/>
          <w:color w:val="auto"/>
        </w:rPr>
      </w:pPr>
      <w:r>
        <w:rPr>
          <w:rFonts w:ascii="Arial" w:cs="Arial" w:eastAsia="Arial" w:hAnsi="Arial"/>
          <w:sz w:val="18"/>
          <w:szCs w:val="18"/>
          <w:color w:val="auto"/>
        </w:rPr>
        <w:t>Currently we do not have any approved products. We intend to either develop the commercialization sales and supply infrastructure as our product candidates are approved, or partner with pharmaceutical companies or distributors for commercialization.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 of approved products by third-party payors</w:t>
      </w:r>
    </w:p>
    <w:p>
      <w:pPr>
        <w:spacing w:after="0" w:line="225" w:lineRule="exact"/>
        <w:rPr>
          <w:sz w:val="20"/>
          <w:szCs w:val="20"/>
          <w:color w:val="auto"/>
        </w:rPr>
      </w:pPr>
    </w:p>
    <w:p>
      <w:pPr>
        <w:ind w:right="100" w:firstLine="1018"/>
        <w:spacing w:after="0" w:line="255" w:lineRule="auto"/>
        <w:rPr>
          <w:sz w:val="20"/>
          <w:szCs w:val="20"/>
          <w:color w:val="auto"/>
        </w:rPr>
      </w:pPr>
      <w:r>
        <w:rPr>
          <w:rFonts w:ascii="Arial" w:cs="Arial" w:eastAsia="Arial" w:hAnsi="Arial"/>
          <w:sz w:val="18"/>
          <w:szCs w:val="18"/>
          <w:color w:val="auto"/>
        </w:rPr>
        <w:t>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 particular product does not ensure that other payors will also provide coverage for the product, or that any of the reimbursement rates will be adequate.</w:t>
      </w:r>
    </w:p>
    <w:p>
      <w:pPr>
        <w:spacing w:after="0" w:line="192"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8"/>
          <w:szCs w:val="18"/>
          <w:color w:val="auto"/>
        </w:rPr>
        <w:t>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w:t>
      </w:r>
    </w:p>
    <w:p>
      <w:pPr>
        <w:spacing w:after="0" w:line="188"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w:t>
      </w:r>
    </w:p>
    <w:p>
      <w:pPr>
        <w:spacing w:after="0" w:line="184" w:lineRule="exact"/>
        <w:rPr>
          <w:sz w:val="20"/>
          <w:szCs w:val="20"/>
          <w:color w:val="auto"/>
        </w:rPr>
      </w:pPr>
    </w:p>
    <w:p>
      <w:pPr>
        <w:ind w:right="140" w:firstLine="1018"/>
        <w:spacing w:after="0" w:line="301" w:lineRule="auto"/>
        <w:rPr>
          <w:sz w:val="20"/>
          <w:szCs w:val="20"/>
          <w:color w:val="auto"/>
        </w:rPr>
      </w:pPr>
      <w:r>
        <w:rPr>
          <w:rFonts w:ascii="Arial" w:cs="Arial" w:eastAsia="Arial" w:hAnsi="Arial"/>
          <w:sz w:val="16"/>
          <w:szCs w:val="16"/>
          <w:color w:val="auto"/>
        </w:rPr>
        <w:t>In addition, the U.S. government, state legislatures, and foreign governments have continued implementing cost-containment programs, including price controls, restrictions on coverage and reimbursement, and requirements for substitution of generic products when available.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80" w:firstLine="1018"/>
        <w:spacing w:after="0" w:line="263" w:lineRule="auto"/>
        <w:rPr>
          <w:sz w:val="20"/>
          <w:szCs w:val="20"/>
          <w:color w:val="auto"/>
        </w:rPr>
      </w:pPr>
      <w:r>
        <w:rPr>
          <w:rFonts w:ascii="Arial" w:cs="Arial" w:eastAsia="Arial" w:hAnsi="Arial"/>
          <w:sz w:val="18"/>
          <w:szCs w:val="18"/>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84" w:lineRule="exact"/>
        <w:rPr>
          <w:sz w:val="20"/>
          <w:szCs w:val="20"/>
          <w:color w:val="auto"/>
        </w:rPr>
      </w:pPr>
    </w:p>
    <w:p>
      <w:pPr>
        <w:ind w:right="140" w:firstLine="1018"/>
        <w:spacing w:after="0" w:line="279" w:lineRule="auto"/>
        <w:rPr>
          <w:sz w:val="20"/>
          <w:szCs w:val="20"/>
          <w:color w:val="auto"/>
        </w:rPr>
      </w:pPr>
      <w:r>
        <w:rPr>
          <w:rFonts w:ascii="Arial" w:cs="Arial" w:eastAsia="Arial" w:hAnsi="Arial"/>
          <w:sz w:val="17"/>
          <w:szCs w:val="17"/>
          <w:color w:val="auto"/>
        </w:rPr>
        <w:t>Broadly speaking, we will face competition from current and future (generic or biosimilar) manufacturers of the branded injectable versions of our pipeline drugs, manufacturers such as AbbVie Inc., Eli Lilly and Company, Novartis AG, Janssen Biotech, Inc., etc.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spacing w:after="0" w:line="171" w:lineRule="exact"/>
        <w:rPr>
          <w:sz w:val="20"/>
          <w:szCs w:val="20"/>
          <w:color w:val="auto"/>
        </w:rPr>
      </w:pPr>
    </w:p>
    <w:p>
      <w:pPr>
        <w:jc w:val="both"/>
        <w:ind w:firstLine="1018"/>
        <w:spacing w:after="0" w:line="263" w:lineRule="auto"/>
        <w:rPr>
          <w:sz w:val="20"/>
          <w:szCs w:val="20"/>
          <w:color w:val="auto"/>
        </w:rPr>
      </w:pPr>
      <w:r>
        <w:rPr>
          <w:rFonts w:ascii="Arial" w:cs="Arial" w:eastAsia="Arial" w:hAnsi="Arial"/>
          <w:sz w:val="18"/>
          <w:szCs w:val="18"/>
          <w:color w:val="auto"/>
        </w:rPr>
        <w:t>We are aware of certain other companies that are pursuing oral biologics through either device-based or chemistry-based technologies. Early-stage device-based technologies such as the SOMA and LUMI from the Novo Nordisk-MIT collaboration were reported to be in preclinical stages. Another company pursuing a device-based approach is Biograil ApS. Chemistry-based oral</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right="80"/>
        <w:spacing w:after="0" w:line="255" w:lineRule="auto"/>
        <w:rPr>
          <w:sz w:val="20"/>
          <w:szCs w:val="20"/>
          <w:color w:val="auto"/>
        </w:rPr>
      </w:pPr>
      <w:r>
        <w:rPr>
          <w:rFonts w:ascii="Arial" w:cs="Arial" w:eastAsia="Arial" w:hAnsi="Arial"/>
          <w:sz w:val="18"/>
          <w:szCs w:val="18"/>
          <w:color w:val="auto"/>
        </w:rPr>
        <w:t>delivery companies include Oramed Pharmaceuticals, Inc., Entera Bio Ltd., Applied Molecular Transport Inc., Protagonist Therapeutics, Inc., i2O Therapeutics, Biora Therapeutics, Inc., Intract Pharma, and two with recently approved oral peptide products – Mycappssa from Amryt Pharma Plc (which announced it is being acquired by Chiesi Farmaceutici SpA) and Rybelsus from Novo Nordisk A/S.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impact</w:t>
      </w:r>
    </w:p>
    <w:p>
      <w:pPr>
        <w:spacing w:after="0" w:line="225" w:lineRule="exact"/>
        <w:rPr>
          <w:sz w:val="20"/>
          <w:szCs w:val="20"/>
          <w:color w:val="auto"/>
        </w:rPr>
      </w:pPr>
    </w:p>
    <w:p>
      <w:pPr>
        <w:ind w:right="700" w:firstLine="1018"/>
        <w:spacing w:after="0" w:line="277" w:lineRule="auto"/>
        <w:rPr>
          <w:sz w:val="20"/>
          <w:szCs w:val="20"/>
          <w:color w:val="auto"/>
        </w:rPr>
      </w:pPr>
      <w:r>
        <w:rPr>
          <w:rFonts w:ascii="Arial" w:cs="Arial" w:eastAsia="Arial" w:hAnsi="Arial"/>
          <w:sz w:val="18"/>
          <w:szCs w:val="18"/>
          <w:color w:val="auto"/>
        </w:rPr>
        <w:t>We have instituted policies and procedures related to appropriate chemical and biological material handling, use, and disposal in our facilities, and we train our employees on these policies and procedures.</w:t>
      </w:r>
    </w:p>
    <w:p>
      <w:pPr>
        <w:spacing w:after="0" w:line="170" w:lineRule="exact"/>
        <w:rPr>
          <w:sz w:val="20"/>
          <w:szCs w:val="20"/>
          <w:color w:val="auto"/>
        </w:rPr>
      </w:pPr>
    </w:p>
    <w:p>
      <w:pPr>
        <w:ind w:right="400" w:firstLine="1018"/>
        <w:spacing w:after="0" w:line="263" w:lineRule="auto"/>
        <w:rPr>
          <w:sz w:val="20"/>
          <w:szCs w:val="20"/>
          <w:color w:val="auto"/>
        </w:rPr>
      </w:pPr>
      <w:r>
        <w:rPr>
          <w:rFonts w:ascii="Arial" w:cs="Arial" w:eastAsia="Arial" w:hAnsi="Arial"/>
          <w:sz w:val="18"/>
          <w:szCs w:val="18"/>
          <w:color w:val="auto"/>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by our strategy of using biologics already approved for marketing.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1018"/>
        <w:spacing w:after="0" w:line="296" w:lineRule="auto"/>
        <w:rPr>
          <w:sz w:val="20"/>
          <w:szCs w:val="20"/>
          <w:color w:val="auto"/>
        </w:rPr>
      </w:pPr>
      <w:r>
        <w:rPr>
          <w:rFonts w:ascii="Arial" w:cs="Arial" w:eastAsia="Arial" w:hAnsi="Arial"/>
          <w:sz w:val="16"/>
          <w:szCs w:val="16"/>
          <w:color w:val="auto"/>
        </w:rPr>
        <w:t>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 xml:space="preserve">For information regarding the risks related to our intellectual property, see the section titled </w:t>
      </w:r>
      <w:r>
        <w:rPr>
          <w:rFonts w:ascii="Arial" w:cs="Arial" w:eastAsia="Arial" w:hAnsi="Arial"/>
          <w:sz w:val="16"/>
          <w:szCs w:val="16"/>
          <w:i w:val="1"/>
          <w:iCs w:val="1"/>
          <w:color w:val="auto"/>
        </w:rPr>
        <w:t>“Risk Factors— Risks Related to Our Intellectual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60" w:firstLine="1018"/>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164" w:lineRule="exact"/>
        <w:rPr>
          <w:sz w:val="20"/>
          <w:szCs w:val="20"/>
          <w:color w:val="auto"/>
        </w:rPr>
      </w:pPr>
    </w:p>
    <w:p>
      <w:pPr>
        <w:ind w:right="80" w:firstLine="1018"/>
        <w:spacing w:after="0" w:line="273" w:lineRule="auto"/>
        <w:rPr>
          <w:sz w:val="20"/>
          <w:szCs w:val="20"/>
          <w:color w:val="auto"/>
        </w:rPr>
      </w:pPr>
      <w:r>
        <w:rPr>
          <w:rFonts w:ascii="Arial" w:cs="Arial" w:eastAsia="Arial" w:hAnsi="Arial"/>
          <w:sz w:val="17"/>
          <w:szCs w:val="17"/>
          <w:color w:val="auto"/>
        </w:rPr>
        <w:t>Our initial patent family has a priority date in 2009, with patent term expected to extend into at least 2030 if all fees are paid. This patent family claims many device aspects of the RaniPill capsule, and the delivery of a wide variety of biologics using the RaniPill capsule. Granted patents and pending patent applications in this core family number more than 260. As of February 13, 2023, this patent family included 71 patents issued in the United States and 139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Hong Kong, India, and Japan.</w:t>
      </w:r>
    </w:p>
    <w:p>
      <w:pPr>
        <w:spacing w:after="0" w:line="178" w:lineRule="exact"/>
        <w:rPr>
          <w:sz w:val="20"/>
          <w:szCs w:val="20"/>
          <w:color w:val="auto"/>
        </w:rPr>
      </w:pPr>
    </w:p>
    <w:p>
      <w:pPr>
        <w:ind w:right="40" w:firstLine="1018"/>
        <w:spacing w:after="0" w:line="279" w:lineRule="auto"/>
        <w:rPr>
          <w:sz w:val="20"/>
          <w:szCs w:val="20"/>
          <w:color w:val="auto"/>
        </w:rPr>
      </w:pPr>
      <w:r>
        <w:rPr>
          <w:rFonts w:ascii="Arial" w:cs="Arial" w:eastAsia="Arial" w:hAnsi="Arial"/>
          <w:sz w:val="17"/>
          <w:szCs w:val="17"/>
          <w:color w:val="auto"/>
        </w:rPr>
        <w:t>Our microtablet patent family includes claims covering the microtablets delivered by the RaniPill capsule. This patent family has a priority date in 2014, includes several dozen granted patents and pending patent applications, and is expected to have patent terms extending into at least 2035 if all fees are paid. As February 13, 2023, this patent family included 11 patents issued in the United States, 6 patents issued in other jurisdictions (i.e., Australia, China and Japan), with applications pending in the United States, Australia, Canada, China, Europe, India, and Japan.</w:t>
      </w:r>
    </w:p>
    <w:p>
      <w:pPr>
        <w:spacing w:after="0" w:line="171"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We own numerous additional patents and patent applications,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right="120" w:firstLine="1018"/>
        <w:spacing w:after="0" w:line="254" w:lineRule="auto"/>
        <w:rPr>
          <w:sz w:val="20"/>
          <w:szCs w:val="20"/>
          <w:color w:val="auto"/>
        </w:rPr>
      </w:pPr>
      <w:r>
        <w:rPr>
          <w:rFonts w:ascii="Arial" w:cs="Arial" w:eastAsia="Arial" w:hAnsi="Arial"/>
          <w:sz w:val="18"/>
          <w:szCs w:val="18"/>
          <w:color w:val="auto"/>
        </w:rPr>
        <w:t>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Good Manufacturing Practices (cGMP)</w:t>
      </w:r>
    </w:p>
    <w:p>
      <w:pPr>
        <w:spacing w:after="0" w:line="225" w:lineRule="exact"/>
        <w:rPr>
          <w:sz w:val="20"/>
          <w:szCs w:val="20"/>
          <w:color w:val="auto"/>
        </w:rPr>
      </w:pPr>
    </w:p>
    <w:p>
      <w:pPr>
        <w:ind w:right="60" w:firstLine="1018"/>
        <w:spacing w:after="0" w:line="273" w:lineRule="auto"/>
        <w:rPr>
          <w:sz w:val="20"/>
          <w:szCs w:val="20"/>
          <w:color w:val="auto"/>
        </w:rPr>
      </w:pPr>
      <w:r>
        <w:rPr>
          <w:rFonts w:ascii="Arial" w:cs="Arial" w:eastAsia="Arial" w:hAnsi="Arial"/>
          <w:sz w:val="17"/>
          <w:szCs w:val="17"/>
          <w:color w:val="auto"/>
        </w:rPr>
        <w:t>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right="80" w:firstLine="1018"/>
        <w:spacing w:after="0" w:line="257" w:lineRule="auto"/>
        <w:rPr>
          <w:sz w:val="20"/>
          <w:szCs w:val="20"/>
          <w:color w:val="auto"/>
        </w:rPr>
      </w:pPr>
      <w:r>
        <w:rPr>
          <w:rFonts w:ascii="Arial" w:cs="Arial" w:eastAsia="Arial" w:hAnsi="Arial"/>
          <w:sz w:val="18"/>
          <w:szCs w:val="18"/>
          <w:color w:val="auto"/>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spacing w:after="0" w:line="215" w:lineRule="exact"/>
        <w:rPr>
          <w:sz w:val="20"/>
          <w:szCs w:val="20"/>
          <w:color w:val="auto"/>
        </w:rPr>
      </w:pPr>
    </w:p>
    <w:p>
      <w:pPr>
        <w:ind w:firstLine="1018"/>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current Good Clinical Practices (“cGCP”),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ind w:right="520"/>
        <w:spacing w:after="0" w:line="311" w:lineRule="auto"/>
        <w:rPr>
          <w:sz w:val="20"/>
          <w:szCs w:val="20"/>
          <w:color w:val="auto"/>
        </w:rPr>
      </w:pPr>
      <w:r>
        <w:rPr>
          <w:rFonts w:ascii="Arial" w:cs="Arial" w:eastAsia="Arial" w:hAnsi="Arial"/>
          <w:sz w:val="16"/>
          <w:szCs w:val="16"/>
          <w:color w:val="auto"/>
        </w:rPr>
        <w:t>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Human clinical trials are typically conducted in three phases that may be performed sequentially, in overlapping time frames, or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combination.</w:t>
      </w:r>
    </w:p>
    <w:p>
      <w:pPr>
        <w:spacing w:after="0" w:line="211" w:lineRule="exact"/>
        <w:rPr>
          <w:sz w:val="20"/>
          <w:szCs w:val="20"/>
          <w:color w:val="auto"/>
        </w:rPr>
      </w:pPr>
    </w:p>
    <w:p>
      <w:pPr>
        <w:ind w:left="1280" w:right="80" w:hanging="367"/>
        <w:spacing w:after="0" w:line="279"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included in Phase 1 studies varies with the drug but is generally in the range of 20 to 80.</w:t>
      </w:r>
    </w:p>
    <w:p>
      <w:pPr>
        <w:spacing w:after="0" w:line="171" w:lineRule="exact"/>
        <w:rPr>
          <w:rFonts w:ascii="Arial" w:cs="Arial" w:eastAsia="Arial" w:hAnsi="Arial"/>
          <w:sz w:val="17"/>
          <w:szCs w:val="17"/>
          <w:color w:val="auto"/>
        </w:rPr>
      </w:pPr>
    </w:p>
    <w:p>
      <w:pPr>
        <w:ind w:left="1280" w:right="60" w:hanging="367"/>
        <w:spacing w:after="0" w:line="259"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spacing w:after="0" w:line="186" w:lineRule="exact"/>
        <w:rPr>
          <w:rFonts w:ascii="Arial" w:cs="Arial" w:eastAsia="Arial" w:hAnsi="Arial"/>
          <w:sz w:val="18"/>
          <w:szCs w:val="18"/>
          <w:color w:val="auto"/>
        </w:rPr>
      </w:pPr>
    </w:p>
    <w:p>
      <w:pPr>
        <w:ind w:left="1280" w:right="160" w:hanging="367"/>
        <w:spacing w:after="0" w:line="259"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87" w:lineRule="exact"/>
        <w:rPr>
          <w:sz w:val="20"/>
          <w:szCs w:val="20"/>
          <w:color w:val="auto"/>
        </w:rPr>
      </w:pPr>
    </w:p>
    <w:p>
      <w:pPr>
        <w:ind w:right="40" w:firstLine="1018"/>
        <w:spacing w:after="0" w:line="277" w:lineRule="auto"/>
        <w:rPr>
          <w:sz w:val="20"/>
          <w:szCs w:val="20"/>
          <w:color w:val="auto"/>
        </w:rPr>
      </w:pPr>
      <w:r>
        <w:rPr>
          <w:rFonts w:ascii="Arial" w:cs="Arial" w:eastAsia="Arial" w:hAnsi="Arial"/>
          <w:sz w:val="18"/>
          <w:szCs w:val="18"/>
          <w:color w:val="auto"/>
        </w:rPr>
        <w:t>For each of our product candidates, we may conduct Phase 1, Phase 2, and Phase 3 clinical trials of our formulation, the RaniPill platform, or the formulation in combination with the RaniPill platform.</w:t>
      </w:r>
    </w:p>
    <w:p>
      <w:pPr>
        <w:spacing w:after="0" w:line="170" w:lineRule="exact"/>
        <w:rPr>
          <w:sz w:val="20"/>
          <w:szCs w:val="20"/>
          <w:color w:val="auto"/>
        </w:rPr>
      </w:pPr>
    </w:p>
    <w:p>
      <w:pPr>
        <w:ind w:firstLine="1018"/>
        <w:spacing w:after="0" w:line="257" w:lineRule="auto"/>
        <w:rPr>
          <w:sz w:val="20"/>
          <w:szCs w:val="20"/>
          <w:color w:val="auto"/>
        </w:rPr>
      </w:pPr>
      <w:r>
        <w:rPr>
          <w:rFonts w:ascii="Arial" w:cs="Arial" w:eastAsia="Arial" w:hAnsi="Arial"/>
          <w:sz w:val="18"/>
          <w:szCs w:val="18"/>
          <w:color w:val="auto"/>
        </w:rPr>
        <w:t>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w:t>
      </w:r>
    </w:p>
    <w:p>
      <w:pPr>
        <w:spacing w:after="0" w:line="188"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products</w:t>
      </w:r>
    </w:p>
    <w:p>
      <w:pPr>
        <w:spacing w:after="0" w:line="225" w:lineRule="exact"/>
        <w:rPr>
          <w:sz w:val="20"/>
          <w:szCs w:val="20"/>
          <w:color w:val="auto"/>
        </w:rPr>
      </w:pPr>
    </w:p>
    <w:p>
      <w:pPr>
        <w:ind w:right="260" w:firstLine="1018"/>
        <w:spacing w:after="0" w:line="308" w:lineRule="auto"/>
        <w:rPr>
          <w:sz w:val="20"/>
          <w:szCs w:val="20"/>
          <w:color w:val="auto"/>
        </w:rPr>
      </w:pPr>
      <w:r>
        <w:rPr>
          <w:rFonts w:ascii="Arial" w:cs="Arial" w:eastAsia="Arial" w:hAnsi="Arial"/>
          <w:sz w:val="17"/>
          <w:szCs w:val="17"/>
          <w:color w:val="auto"/>
        </w:rPr>
        <w:t>Prior to initiating a clinical trial in the United States of an investigational product such as for one of our product candidates, the FDA must grant authorization to proceed. A request for authorization is made by way of an IND or IDE application as applicable for the clinical trial.</w:t>
      </w:r>
    </w:p>
    <w:p>
      <w:pPr>
        <w:spacing w:after="0" w:line="146" w:lineRule="exact"/>
        <w:rPr>
          <w:sz w:val="20"/>
          <w:szCs w:val="20"/>
          <w:color w:val="auto"/>
        </w:rPr>
      </w:pPr>
    </w:p>
    <w:p>
      <w:pPr>
        <w:ind w:right="40" w:firstLine="1018"/>
        <w:spacing w:after="0" w:line="257" w:lineRule="auto"/>
        <w:rPr>
          <w:sz w:val="20"/>
          <w:szCs w:val="20"/>
          <w:color w:val="auto"/>
        </w:rPr>
      </w:pPr>
      <w:r>
        <w:rPr>
          <w:rFonts w:ascii="Arial" w:cs="Arial" w:eastAsia="Arial" w:hAnsi="Arial"/>
          <w:sz w:val="18"/>
          <w:szCs w:val="18"/>
          <w:color w:val="auto"/>
        </w:rPr>
        <w:t>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w:t>
      </w:r>
    </w:p>
    <w:p>
      <w:pPr>
        <w:spacing w:after="0" w:line="188"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100" w:firstLine="1018"/>
        <w:spacing w:after="0" w:line="286" w:lineRule="auto"/>
        <w:rPr>
          <w:sz w:val="20"/>
          <w:szCs w:val="20"/>
          <w:color w:val="auto"/>
        </w:rPr>
      </w:pPr>
      <w:r>
        <w:rPr>
          <w:rFonts w:ascii="Arial" w:cs="Arial" w:eastAsia="Arial" w:hAnsi="Arial"/>
          <w:sz w:val="17"/>
          <w:szCs w:val="17"/>
          <w:color w:val="auto"/>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spacing w:after="0" w:line="165" w:lineRule="exact"/>
        <w:rPr>
          <w:sz w:val="20"/>
          <w:szCs w:val="20"/>
          <w:color w:val="auto"/>
        </w:rPr>
      </w:pPr>
    </w:p>
    <w:p>
      <w:pPr>
        <w:ind w:right="260" w:firstLine="1018"/>
        <w:spacing w:after="0" w:line="277" w:lineRule="auto"/>
        <w:rPr>
          <w:sz w:val="20"/>
          <w:szCs w:val="20"/>
          <w:color w:val="auto"/>
        </w:rPr>
      </w:pPr>
      <w:r>
        <w:rPr>
          <w:rFonts w:ascii="Arial" w:cs="Arial" w:eastAsia="Arial" w:hAnsi="Arial"/>
          <w:sz w:val="18"/>
          <w:szCs w:val="18"/>
          <w:color w:val="auto"/>
        </w:rPr>
        <w:t>The FDA’s approval of an IND or IDE does not bind the FDA to accept the results of the trial as sufficient to prove the stated conclusions, even if the trial meets its intended success criteria.</w:t>
      </w:r>
    </w:p>
    <w:p>
      <w:pPr>
        <w:spacing w:after="0" w:line="170" w:lineRule="exact"/>
        <w:rPr>
          <w:sz w:val="20"/>
          <w:szCs w:val="20"/>
          <w:color w:val="auto"/>
        </w:rPr>
      </w:pPr>
    </w:p>
    <w:p>
      <w:pPr>
        <w:jc w:val="both"/>
        <w:ind w:right="220" w:firstLine="1018"/>
        <w:spacing w:after="0" w:line="259" w:lineRule="auto"/>
        <w:rPr>
          <w:sz w:val="20"/>
          <w:szCs w:val="20"/>
          <w:color w:val="auto"/>
        </w:rPr>
      </w:pPr>
      <w:r>
        <w:rPr>
          <w:rFonts w:ascii="Arial" w:cs="Arial" w:eastAsia="Arial" w:hAnsi="Arial"/>
          <w:sz w:val="18"/>
          <w:szCs w:val="18"/>
          <w:color w:val="auto"/>
        </w:rPr>
        <w:t>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w:t>
      </w:r>
    </w:p>
    <w:p>
      <w:pPr>
        <w:spacing w:after="0" w:line="187" w:lineRule="exact"/>
        <w:rPr>
          <w:sz w:val="20"/>
          <w:szCs w:val="20"/>
          <w:color w:val="auto"/>
        </w:rPr>
      </w:pPr>
    </w:p>
    <w:p>
      <w:pPr>
        <w:ind w:right="740" w:firstLine="1018"/>
        <w:spacing w:after="0" w:line="277" w:lineRule="auto"/>
        <w:rPr>
          <w:sz w:val="20"/>
          <w:szCs w:val="20"/>
          <w:color w:val="auto"/>
        </w:rPr>
      </w:pPr>
      <w:r>
        <w:rPr>
          <w:rFonts w:ascii="Arial" w:cs="Arial" w:eastAsia="Arial" w:hAnsi="Arial"/>
          <w:sz w:val="18"/>
          <w:szCs w:val="18"/>
          <w:color w:val="auto"/>
        </w:rPr>
        <w:t>An amendment to the existing IND or IDE must be made for subsequent protocol changes and also for each successive clinical trial conducted during product development.</w:t>
      </w:r>
    </w:p>
    <w:p>
      <w:pPr>
        <w:spacing w:after="0" w:line="170" w:lineRule="exact"/>
        <w:rPr>
          <w:sz w:val="20"/>
          <w:szCs w:val="20"/>
          <w:color w:val="auto"/>
        </w:rPr>
      </w:pPr>
    </w:p>
    <w:p>
      <w:pPr>
        <w:jc w:val="both"/>
        <w:ind w:right="280" w:firstLine="1018"/>
        <w:spacing w:after="0" w:line="286" w:lineRule="auto"/>
        <w:rPr>
          <w:sz w:val="20"/>
          <w:szCs w:val="20"/>
          <w:color w:val="auto"/>
        </w:rPr>
      </w:pPr>
      <w:r>
        <w:rPr>
          <w:rFonts w:ascii="Arial" w:cs="Arial" w:eastAsia="Arial" w:hAnsi="Arial"/>
          <w:sz w:val="17"/>
          <w:szCs w:val="17"/>
          <w:color w:val="auto"/>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BLA/NDA review process</w:t>
      </w:r>
    </w:p>
    <w:p>
      <w:pPr>
        <w:spacing w:after="0" w:line="225" w:lineRule="exact"/>
        <w:rPr>
          <w:sz w:val="20"/>
          <w:szCs w:val="20"/>
          <w:color w:val="auto"/>
        </w:rPr>
      </w:pPr>
    </w:p>
    <w:p>
      <w:pPr>
        <w:ind w:right="40" w:firstLine="1018"/>
        <w:spacing w:after="0" w:line="270" w:lineRule="auto"/>
        <w:rPr>
          <w:sz w:val="20"/>
          <w:szCs w:val="20"/>
          <w:color w:val="auto"/>
        </w:rPr>
      </w:pPr>
      <w:r>
        <w:rPr>
          <w:rFonts w:ascii="Arial" w:cs="Arial" w:eastAsia="Arial" w:hAnsi="Arial"/>
          <w:sz w:val="17"/>
          <w:szCs w:val="17"/>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 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1" w:lineRule="exact"/>
        <w:rPr>
          <w:sz w:val="20"/>
          <w:szCs w:val="20"/>
          <w:color w:val="auto"/>
        </w:rPr>
      </w:pPr>
    </w:p>
    <w:p>
      <w:pPr>
        <w:ind w:right="40" w:firstLine="1018"/>
        <w:spacing w:after="0" w:line="279" w:lineRule="auto"/>
        <w:rPr>
          <w:sz w:val="20"/>
          <w:szCs w:val="20"/>
          <w:color w:val="auto"/>
        </w:rPr>
      </w:pPr>
      <w:r>
        <w:rPr>
          <w:rFonts w:ascii="Arial" w:cs="Arial" w:eastAsia="Arial" w:hAnsi="Arial"/>
          <w:sz w:val="17"/>
          <w:szCs w:val="17"/>
          <w:color w:val="auto"/>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Biosimilar User Fee Amendments impose a user fee for a biosimilar development program at the time of the first meeting with the FDA or the initial IND submission, whichever occurs first. This fee must be paid annually.</w:t>
      </w:r>
    </w:p>
    <w:p>
      <w:pPr>
        <w:spacing w:after="0" w:line="171"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spacing w:after="0" w:line="192"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100"/>
        <w:spacing w:after="0" w:line="254" w:lineRule="auto"/>
        <w:rPr>
          <w:sz w:val="20"/>
          <w:szCs w:val="20"/>
          <w:color w:val="auto"/>
        </w:rPr>
      </w:pPr>
      <w:r>
        <w:rPr>
          <w:rFonts w:ascii="Arial" w:cs="Arial" w:eastAsia="Arial" w:hAnsi="Arial"/>
          <w:sz w:val="18"/>
          <w:szCs w:val="18"/>
          <w:color w:val="auto"/>
        </w:rPr>
        <w:t>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Research Equity Act (PREA)</w:t>
      </w:r>
    </w:p>
    <w:p>
      <w:pPr>
        <w:spacing w:after="0" w:line="225"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right="40" w:firstLine="1018"/>
        <w:spacing w:after="0" w:line="257" w:lineRule="auto"/>
        <w:rPr>
          <w:sz w:val="20"/>
          <w:szCs w:val="20"/>
          <w:color w:val="auto"/>
        </w:rPr>
      </w:pPr>
      <w:r>
        <w:rPr>
          <w:rFonts w:ascii="Arial" w:cs="Arial" w:eastAsia="Arial" w:hAnsi="Arial"/>
          <w:sz w:val="18"/>
          <w:szCs w:val="18"/>
          <w:color w:val="auto"/>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 to expedite development and review. These expedited approvals do not change the standards for approval but may expedite the development or approval process. We may explore some of these opportunities for our product candidates as appropriate.</w:t>
      </w:r>
    </w:p>
    <w:p>
      <w:pPr>
        <w:spacing w:after="0" w:line="188" w:lineRule="exact"/>
        <w:rPr>
          <w:sz w:val="20"/>
          <w:szCs w:val="20"/>
          <w:color w:val="auto"/>
        </w:rPr>
      </w:pPr>
    </w:p>
    <w:p>
      <w:pPr>
        <w:ind w:left="760" w:right="200" w:hanging="378"/>
        <w:spacing w:after="0" w:line="25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w:t>
      </w:r>
    </w:p>
    <w:p>
      <w:pPr>
        <w:spacing w:after="0" w:line="187" w:lineRule="exact"/>
        <w:rPr>
          <w:rFonts w:ascii="Arial" w:cs="Arial" w:eastAsia="Arial" w:hAnsi="Arial"/>
          <w:sz w:val="18"/>
          <w:szCs w:val="18"/>
          <w:color w:val="auto"/>
        </w:rPr>
      </w:pPr>
    </w:p>
    <w:p>
      <w:pPr>
        <w:ind w:left="760" w:hanging="378"/>
        <w:spacing w:after="0" w:line="25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87" w:lineRule="exact"/>
        <w:rPr>
          <w:rFonts w:ascii="Arial" w:cs="Arial" w:eastAsia="Arial" w:hAnsi="Arial"/>
          <w:sz w:val="18"/>
          <w:szCs w:val="18"/>
          <w:color w:val="auto"/>
        </w:rPr>
      </w:pPr>
    </w:p>
    <w:p>
      <w:pPr>
        <w:ind w:left="760" w:right="40" w:hanging="378"/>
        <w:spacing w:after="0" w:line="272"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760" w:right="240" w:hanging="378"/>
        <w:spacing w:after="0" w:line="279"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w:t>
      </w:r>
    </w:p>
    <w:p>
      <w:pPr>
        <w:spacing w:after="0" w:line="171" w:lineRule="exact"/>
        <w:rPr>
          <w:sz w:val="20"/>
          <w:szCs w:val="20"/>
          <w:color w:val="auto"/>
        </w:rPr>
      </w:pPr>
    </w:p>
    <w:p>
      <w:pPr>
        <w:ind w:right="180" w:firstLine="1018"/>
        <w:spacing w:after="0" w:line="27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may decide that the time period for FDA review or approval will not be shortened.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40" w:firstLine="1018"/>
        <w:spacing w:after="0" w:line="285"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w:t>
      </w:r>
    </w:p>
    <w:p>
      <w:pPr>
        <w:spacing w:after="0" w:line="176" w:lineRule="exact"/>
        <w:rPr>
          <w:sz w:val="20"/>
          <w:szCs w:val="20"/>
          <w:color w:val="auto"/>
        </w:rPr>
      </w:pPr>
    </w:p>
    <w:p>
      <w:pPr>
        <w:ind w:right="80" w:firstLine="1018"/>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risk evaluation and mitigation strategy (“REMS”) program. Other potential consequences include, among other things:</w:t>
      </w:r>
    </w:p>
    <w:p>
      <w:pPr>
        <w:spacing w:after="0" w:line="176" w:lineRule="exact"/>
        <w:rPr>
          <w:sz w:val="20"/>
          <w:szCs w:val="20"/>
          <w:color w:val="auto"/>
        </w:rPr>
      </w:pPr>
    </w:p>
    <w:p>
      <w:pPr>
        <w:ind w:left="1280" w:hanging="367"/>
        <w:spacing w:after="0"/>
        <w:tabs>
          <w:tab w:leader="none" w:pos="1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236" w:lineRule="exact"/>
        <w:rPr>
          <w:rFonts w:ascii="Arial" w:cs="Arial" w:eastAsia="Arial" w:hAnsi="Arial"/>
          <w:sz w:val="17"/>
          <w:szCs w:val="17"/>
          <w:color w:val="auto"/>
        </w:rPr>
      </w:pPr>
    </w:p>
    <w:p>
      <w:pPr>
        <w:ind w:left="1280" w:hanging="36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1280" w:right="360" w:hanging="367"/>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1280" w:hanging="36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25" w:lineRule="exact"/>
        <w:rPr>
          <w:rFonts w:ascii="Arial" w:cs="Arial" w:eastAsia="Arial" w:hAnsi="Arial"/>
          <w:sz w:val="18"/>
          <w:szCs w:val="18"/>
          <w:color w:val="auto"/>
        </w:rPr>
      </w:pPr>
    </w:p>
    <w:p>
      <w:pPr>
        <w:ind w:left="1280" w:hanging="36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rFonts w:ascii="Arial" w:cs="Arial" w:eastAsia="Arial" w:hAnsi="Arial"/>
          <w:sz w:val="18"/>
          <w:szCs w:val="18"/>
          <w:color w:val="auto"/>
        </w:rPr>
      </w:pPr>
    </w:p>
    <w:p>
      <w:pPr>
        <w:ind w:left="1280" w:hanging="36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25" w:lineRule="exact"/>
        <w:rPr>
          <w:rFonts w:ascii="Arial" w:cs="Arial" w:eastAsia="Arial" w:hAnsi="Arial"/>
          <w:sz w:val="18"/>
          <w:szCs w:val="18"/>
          <w:color w:val="auto"/>
        </w:rPr>
      </w:pPr>
    </w:p>
    <w:p>
      <w:pPr>
        <w:ind w:left="1280" w:right="320" w:hanging="367"/>
        <w:spacing w:after="0" w:line="277"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and</w:t>
      </w:r>
    </w:p>
    <w:p>
      <w:pPr>
        <w:spacing w:after="0" w:line="170" w:lineRule="exact"/>
        <w:rPr>
          <w:rFonts w:ascii="Arial" w:cs="Arial" w:eastAsia="Arial" w:hAnsi="Arial"/>
          <w:sz w:val="18"/>
          <w:szCs w:val="18"/>
          <w:color w:val="auto"/>
        </w:rPr>
      </w:pPr>
    </w:p>
    <w:p>
      <w:pPr>
        <w:ind w:left="1280" w:hanging="36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1018"/>
        <w:spacing w:after="0" w:line="277"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efficacy, purity, and potency that are approved by the FDA and in accordance with the provisions of</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100"/>
        <w:spacing w:after="0" w:line="271" w:lineRule="auto"/>
        <w:rPr>
          <w:sz w:val="20"/>
          <w:szCs w:val="20"/>
          <w:color w:val="auto"/>
        </w:rPr>
      </w:pPr>
      <w:r>
        <w:rPr>
          <w:rFonts w:ascii="Arial" w:cs="Arial" w:eastAsia="Arial" w:hAnsi="Arial"/>
          <w:sz w:val="17"/>
          <w:szCs w:val="17"/>
          <w:color w:val="auto"/>
        </w:rPr>
        <w:t>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Orange Book; Purple Book</w:t>
      </w:r>
    </w:p>
    <w:p>
      <w:pPr>
        <w:spacing w:after="0" w:line="225"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8"/>
          <w:szCs w:val="18"/>
          <w:color w:val="auto"/>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spacing w:after="0" w:line="184" w:lineRule="exact"/>
        <w:rPr>
          <w:sz w:val="20"/>
          <w:szCs w:val="20"/>
          <w:color w:val="auto"/>
        </w:rPr>
      </w:pPr>
    </w:p>
    <w:p>
      <w:pPr>
        <w:ind w:right="40" w:firstLine="1018"/>
        <w:spacing w:after="0" w:line="254" w:lineRule="auto"/>
        <w:rPr>
          <w:sz w:val="20"/>
          <w:szCs w:val="20"/>
          <w:color w:val="auto"/>
        </w:rPr>
      </w:pPr>
      <w:r>
        <w:rPr>
          <w:rFonts w:ascii="Arial" w:cs="Arial" w:eastAsia="Arial" w:hAnsi="Arial"/>
          <w:sz w:val="18"/>
          <w:szCs w:val="18"/>
          <w:color w:val="auto"/>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abbreviated new drug application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spacing w:after="0" w:line="195"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The purple book contains information about all FDA-licensed biological products regulated by CBER,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Exclusivities</w:t>
      </w:r>
    </w:p>
    <w:p>
      <w:pPr>
        <w:spacing w:after="0" w:line="225"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8"/>
          <w:szCs w:val="18"/>
          <w:color w:val="auto"/>
        </w:rPr>
        <w:t>Some of our product candidates may be eligible for exclusivities provided under various FDA programs. Exclusivity refers to certain delays and prohibitions on approval of competitor drugs available under an applicable statute that take effect upon FDA’s approval of a biologic or drug, or of certain supplements to the BLA or NDA. Exclusivities do not convey any advantage in or shorten the duration of the regulatory review and approval process.</w:t>
      </w:r>
    </w:p>
    <w:p>
      <w:pPr>
        <w:spacing w:after="0" w:line="187" w:lineRule="exact"/>
        <w:rPr>
          <w:sz w:val="20"/>
          <w:szCs w:val="20"/>
          <w:color w:val="auto"/>
        </w:rPr>
      </w:pPr>
    </w:p>
    <w:p>
      <w:pPr>
        <w:ind w:firstLine="1018"/>
        <w:spacing w:after="0" w:line="259" w:lineRule="auto"/>
        <w:rPr>
          <w:sz w:val="20"/>
          <w:szCs w:val="20"/>
          <w:color w:val="auto"/>
        </w:rPr>
      </w:pPr>
      <w:r>
        <w:rPr>
          <w:rFonts w:ascii="Arial" w:cs="Arial" w:eastAsia="Arial" w:hAnsi="Arial"/>
          <w:sz w:val="18"/>
          <w:szCs w:val="18"/>
          <w:color w:val="auto"/>
        </w:rPr>
        <w:t>The Pediatric exclusivity might apply to most or all of our product candidates. 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w:t>
      </w:r>
    </w:p>
    <w:p>
      <w:pPr>
        <w:spacing w:after="0" w:line="187"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w:t>
      </w:r>
    </w:p>
    <w:p>
      <w:pPr>
        <w:spacing w:after="0" w:line="184"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60" w:firstLine="1018"/>
        <w:spacing w:after="0" w:line="259"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ind w:right="80" w:firstLine="1018"/>
        <w:spacing w:after="0" w:line="286"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74" w:lineRule="exact"/>
        <w:rPr>
          <w:sz w:val="20"/>
          <w:szCs w:val="20"/>
          <w:color w:val="auto"/>
        </w:rPr>
      </w:pPr>
    </w:p>
    <w:p>
      <w:pPr>
        <w:ind w:right="60" w:firstLine="1018"/>
        <w:spacing w:after="0" w:line="296" w:lineRule="auto"/>
        <w:rPr>
          <w:sz w:val="20"/>
          <w:szCs w:val="20"/>
          <w:color w:val="auto"/>
        </w:rPr>
      </w:pPr>
      <w:r>
        <w:rPr>
          <w:rFonts w:ascii="Arial" w:cs="Arial" w:eastAsia="Arial" w:hAnsi="Arial"/>
          <w:sz w:val="16"/>
          <w:szCs w:val="16"/>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161"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192" w:lineRule="exact"/>
        <w:rPr>
          <w:sz w:val="20"/>
          <w:szCs w:val="20"/>
          <w:color w:val="auto"/>
        </w:rPr>
      </w:pPr>
    </w:p>
    <w:p>
      <w:pPr>
        <w:ind w:right="60" w:firstLine="1018"/>
        <w:spacing w:after="0" w:line="293" w:lineRule="auto"/>
        <w:rPr>
          <w:sz w:val="20"/>
          <w:szCs w:val="20"/>
          <w:color w:val="auto"/>
        </w:rPr>
      </w:pPr>
      <w:r>
        <w:rPr>
          <w:rFonts w:ascii="Arial" w:cs="Arial" w:eastAsia="Arial" w:hAnsi="Arial"/>
          <w:sz w:val="16"/>
          <w:szCs w:val="16"/>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(“HITECH”), and their implementing regulations, impose certain requirements on HIPAA covered entities, which include certain healthcare providers, healthcare clearinghouses, and health plans, and individuals and entities, known as business associates, and their covered subcontractors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64" w:lineRule="exact"/>
        <w:rPr>
          <w:sz w:val="20"/>
          <w:szCs w:val="20"/>
          <w:color w:val="auto"/>
        </w:rPr>
      </w:pPr>
    </w:p>
    <w:p>
      <w:pPr>
        <w:ind w:right="40" w:firstLine="1018"/>
        <w:spacing w:after="0" w:line="277" w:lineRule="auto"/>
        <w:rPr>
          <w:sz w:val="20"/>
          <w:szCs w:val="20"/>
          <w:color w:val="auto"/>
        </w:rPr>
      </w:pPr>
      <w:r>
        <w:rPr>
          <w:rFonts w:ascii="Arial" w:cs="Arial" w:eastAsia="Arial" w:hAnsi="Arial"/>
          <w:sz w:val="18"/>
          <w:szCs w:val="18"/>
          <w:color w:val="auto"/>
        </w:rPr>
        <w:t>We are also subject to additional similar U.S. state and foreign law equivalents of each of the above federal laws, which, in some cases, differ from each other in significant ways, and may not have the same effect, complicating compliance efforts.</w:t>
      </w:r>
    </w:p>
    <w:p>
      <w:pPr>
        <w:spacing w:after="0" w:line="170" w:lineRule="exact"/>
        <w:rPr>
          <w:sz w:val="20"/>
          <w:szCs w:val="20"/>
          <w:color w:val="auto"/>
        </w:rPr>
      </w:pPr>
    </w:p>
    <w:p>
      <w:pPr>
        <w:ind w:right="40" w:firstLine="1018"/>
        <w:spacing w:after="0" w:line="296"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w:t>
      </w:r>
    </w:p>
    <w:p>
      <w:pPr>
        <w:spacing w:after="0" w:line="184" w:lineRule="exact"/>
        <w:rPr>
          <w:sz w:val="20"/>
          <w:szCs w:val="20"/>
          <w:color w:val="auto"/>
        </w:rPr>
      </w:pPr>
    </w:p>
    <w:p>
      <w:pPr>
        <w:ind w:firstLine="1018"/>
        <w:spacing w:after="0" w:line="259" w:lineRule="auto"/>
        <w:rPr>
          <w:sz w:val="20"/>
          <w:szCs w:val="20"/>
          <w:color w:val="auto"/>
        </w:rPr>
      </w:pPr>
      <w:r>
        <w:rPr>
          <w:rFonts w:ascii="Arial" w:cs="Arial" w:eastAsia="Arial" w:hAnsi="Arial"/>
          <w:sz w:val="18"/>
          <w:szCs w:val="18"/>
          <w:color w:val="auto"/>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right="60"/>
        <w:spacing w:after="0" w:line="273" w:lineRule="auto"/>
        <w:rPr>
          <w:sz w:val="20"/>
          <w:szCs w:val="20"/>
          <w:color w:val="auto"/>
        </w:rPr>
      </w:pPr>
      <w:r>
        <w:rPr>
          <w:rFonts w:ascii="Arial" w:cs="Arial" w:eastAsia="Arial" w:hAnsi="Arial"/>
          <w:sz w:val="17"/>
          <w:szCs w:val="17"/>
          <w:color w:val="auto"/>
        </w:rPr>
        <w:t>and Education Reconciliation Act (collectively, the “ACA”), which was enacted in March 2010,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and annual fees based on pharmaceutical companies’ share of sales to federal health care programs. There have been executive, judicial and Congressional challenges to certain aspects of the ACA. For example, on June 17, 2021, the United States Supreme Court dismissed a challenge on procedural grounds that argued the ACA is unconstitutional in its entirety because the “individual mandate” was repealed by Congress.</w:t>
      </w:r>
    </w:p>
    <w:p>
      <w:pPr>
        <w:spacing w:after="0" w:line="178" w:lineRule="exact"/>
        <w:rPr>
          <w:sz w:val="20"/>
          <w:szCs w:val="20"/>
          <w:color w:val="auto"/>
        </w:rPr>
      </w:pPr>
    </w:p>
    <w:p>
      <w:pPr>
        <w:ind w:right="80" w:firstLine="1018"/>
        <w:spacing w:after="0" w:line="290" w:lineRule="auto"/>
        <w:rPr>
          <w:sz w:val="20"/>
          <w:szCs w:val="20"/>
          <w:color w:val="auto"/>
        </w:rPr>
      </w:pPr>
      <w:r>
        <w:rPr>
          <w:rFonts w:ascii="Arial" w:cs="Arial" w:eastAsia="Arial" w:hAnsi="Arial"/>
          <w:sz w:val="16"/>
          <w:szCs w:val="16"/>
          <w:color w:val="auto"/>
        </w:rPr>
        <w:t>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165" w:lineRule="exact"/>
        <w:rPr>
          <w:sz w:val="20"/>
          <w:szCs w:val="20"/>
          <w:color w:val="auto"/>
        </w:rPr>
      </w:pPr>
    </w:p>
    <w:p>
      <w:pPr>
        <w:ind w:right="80" w:firstLine="1018"/>
        <w:spacing w:after="0" w:line="283"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Under current legislation the actual reduction in Medicare payments will vary from 1% in 2022 to up to 4% in the final fiscal year of this sequester. Further, Congress is considering additional health reform measures.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4" w:lineRule="exact"/>
        <w:rPr>
          <w:sz w:val="20"/>
          <w:szCs w:val="20"/>
          <w:color w:val="auto"/>
        </w:rPr>
      </w:pPr>
    </w:p>
    <w:p>
      <w:pPr>
        <w:ind w:right="60" w:firstLine="8"/>
        <w:spacing w:after="0" w:line="285"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directs HHS to negotiate the price of certain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obligations</w:t>
      </w:r>
    </w:p>
    <w:p>
      <w:pPr>
        <w:spacing w:after="0" w:line="252" w:lineRule="exact"/>
        <w:rPr>
          <w:sz w:val="20"/>
          <w:szCs w:val="20"/>
          <w:color w:val="auto"/>
        </w:rPr>
      </w:pPr>
    </w:p>
    <w:p>
      <w:pPr>
        <w:ind w:firstLine="1018"/>
        <w:spacing w:after="0" w:line="290" w:lineRule="auto"/>
        <w:rPr>
          <w:sz w:val="20"/>
          <w:szCs w:val="20"/>
          <w:color w:val="auto"/>
        </w:rPr>
      </w:pPr>
      <w:r>
        <w:rPr>
          <w:rFonts w:ascii="Arial" w:cs="Arial" w:eastAsia="Arial" w:hAnsi="Arial"/>
          <w:sz w:val="16"/>
          <w:szCs w:val="16"/>
          <w:color w:val="auto"/>
        </w:rPr>
        <w:t>In the ordinary course of our business, we may collect, receive, process, generate, use, transfer, disclose, make accessible, protect, secure, dispose of, transmit, share and store (commonly known as processing) proprietary, confidential and sensitive information, including personal data, intellectual property, trade secret, and proprietary information owned or controlled by ourselves or third parties (collectively, sensitive information). We, and the third parties upon whom we rely, use information technology, software and services to process other sensitive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(“CCPA”), the European Union’s General Data Protection Regulation 2016/679 (“EU GDPR”) and the EU GDPR as it forms part of United Kingdom law by virtue of section 3 of the European Union (Withdrawal) Act 2018 (“UK GDPR”). In</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addition, several states within the United States have enacted or proposed data privacy and security laws. For example, Virginia passed the Consumer Data Protection Act, and Colorado passed the Colorado Privacy Act.</w:t>
      </w:r>
    </w:p>
    <w:p>
      <w:pPr>
        <w:spacing w:after="0" w:line="170" w:lineRule="exact"/>
        <w:rPr>
          <w:sz w:val="20"/>
          <w:szCs w:val="20"/>
          <w:color w:val="auto"/>
        </w:rPr>
      </w:pPr>
    </w:p>
    <w:p>
      <w:pPr>
        <w:ind w:right="100" w:firstLine="1018"/>
        <w:spacing w:after="0" w:line="301" w:lineRule="auto"/>
        <w:rPr>
          <w:sz w:val="20"/>
          <w:szCs w:val="20"/>
          <w:color w:val="auto"/>
        </w:rPr>
      </w:pPr>
      <w:r>
        <w:rPr>
          <w:rFonts w:ascii="Arial" w:cs="Arial" w:eastAsia="Arial" w:hAnsi="Arial"/>
          <w:sz w:val="16"/>
          <w:szCs w:val="16"/>
          <w:color w:val="auto"/>
        </w:rPr>
        <w:t>Obligations related to the processing of personal data worldwide is rapidly evolving. The number and scope of data privacy and security laws, regulations and other obligations is changing, subject to differing applications and interpretations, and may be inconsistent among jurisdictions, or in conflict with other data processing obligations. Efforts to ensure that our current and future business arrangements, including our relationship with our CROs or other vendors who process data on our behalf, comply with applicable data privacy and security obligations will involve substantial costs.</w:t>
      </w:r>
    </w:p>
    <w:p>
      <w:pPr>
        <w:spacing w:after="0" w:line="157"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Foreign data privacy and security laws (including but not limited to the EU GDPR and UK GDPR) impose significant and complex compliance obligations on entities that are subject to those laws. For example, the EU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Additional requirements may include limiting personal data processing to only what is necessary for specified, explicit, and legitimate purposes; requiring a legal basis for personal data processing; requiring the appointment of a data protection officer in certain circumstances; requiring data protection impact assessments in certain circumstances; limiting the collection and retention of personal data; formalizing a heightened and codified standard of data subject consents; requiring the implementation and maintenance of technical and organizational safeguards for personal data; and mandating the appointment of representatives in the UK and/or the EU in certain circumstance. European data protection laws, such as the EU GDPR, also impose strict rules on the transfer of personal data out of the European Economic Area.</w:t>
      </w:r>
    </w:p>
    <w:p>
      <w:pPr>
        <w:spacing w:after="0" w:line="185" w:lineRule="exact"/>
        <w:rPr>
          <w:sz w:val="20"/>
          <w:szCs w:val="20"/>
          <w:color w:val="auto"/>
        </w:rPr>
      </w:pPr>
    </w:p>
    <w:p>
      <w:pPr>
        <w:ind w:right="20" w:firstLine="1018"/>
        <w:spacing w:after="0" w:line="287" w:lineRule="auto"/>
        <w:rPr>
          <w:sz w:val="20"/>
          <w:szCs w:val="20"/>
          <w:color w:val="auto"/>
        </w:rPr>
      </w:pPr>
      <w:r>
        <w:rPr>
          <w:rFonts w:ascii="Arial" w:cs="Arial" w:eastAsia="Arial" w:hAnsi="Arial"/>
          <w:sz w:val="16"/>
          <w:szCs w:val="16"/>
          <w:color w:val="auto"/>
        </w:rPr>
        <w:t>Various data privacy and security laws in the U.S. also impose compliance obligations. For example, the CCPA imposes obligations on covered businesses to provide specific disclosures related to a business’s collection, use, and disclosure of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Although the CCPA exempts certain data processed in the context of clinical trials, the CCPA, to the extent applicable to our business and operations, may increase our compliance costs and potential liability with respect to the personal data we maintain about California residents. In addition, the California Privacy Rights Act of 2020 (“CPRA”), effective January 1, 2023, will expand the CCPA. The CPRA will, among other things, give California residents the ability to limit the use of certain sensitive personal data, establish restrictions on personal data retention, expand the types of data breaches that are subject to the CCPA’s private right of action, and establish a new California Privacy Protection Agency to implement and enforce the new law. U.S. federal and state consumer protection laws require us to publish statements that accurately and fairly describe how we handle personal data and choices individuals may have about the way we handle their personal data.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right="380" w:firstLine="1018"/>
        <w:spacing w:after="0" w:line="311" w:lineRule="auto"/>
        <w:rPr>
          <w:sz w:val="20"/>
          <w:szCs w:val="20"/>
          <w:color w:val="auto"/>
        </w:rPr>
      </w:pPr>
      <w:r>
        <w:rPr>
          <w:rFonts w:ascii="Arial" w:cs="Arial" w:eastAsia="Arial" w:hAnsi="Arial"/>
          <w:sz w:val="16"/>
          <w:szCs w:val="16"/>
          <w:color w:val="auto"/>
        </w:rPr>
        <w:t>As of December 31, 2022, we had 163 full-time employees and no part-time employees. The majority of our employees are based at our facilities in San Jose and Milpitas, California, with a contingent of employees based outside of California. None of our employees are represented by a labor union or are a party to a collective bargaining agreement and we believe that we have good relations with our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56"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at such time,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conducts all of Rani LLC’s business.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connection with the IPO, we were party to the following organizational transactions (the “Organizational Transactions”):</w:t>
      </w:r>
    </w:p>
    <w:p>
      <w:pPr>
        <w:spacing w:after="0" w:line="225" w:lineRule="exact"/>
        <w:rPr>
          <w:sz w:val="20"/>
          <w:szCs w:val="20"/>
          <w:color w:val="auto"/>
        </w:rPr>
      </w:pPr>
    </w:p>
    <w:p>
      <w:pPr>
        <w:ind w:left="1020" w:right="60" w:hanging="503"/>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1020" w:right="180" w:hanging="503"/>
        <w:spacing w:after="0" w:line="25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ten votes per share on all matters presented to the Company's stockholders, (iii) Class C common stock, which has no voting rights, except as otherwise required by law and (iv) preferred stock.</w:t>
      </w:r>
    </w:p>
    <w:p>
      <w:pPr>
        <w:spacing w:after="0" w:line="186" w:lineRule="exact"/>
        <w:rPr>
          <w:rFonts w:ascii="Arial" w:cs="Arial" w:eastAsia="Arial" w:hAnsi="Arial"/>
          <w:sz w:val="18"/>
          <w:szCs w:val="18"/>
          <w:color w:val="auto"/>
        </w:rPr>
      </w:pPr>
    </w:p>
    <w:p>
      <w:pPr>
        <w:ind w:left="1020" w:right="360" w:hanging="503"/>
        <w:spacing w:after="0" w:line="30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holders of Class A Units tendered their Class A Units for shares of our Class A common stock. Certain holders of Class A Units continued to hold such Class A Units (“Continuing LLC Owners”) and received shares of our Class B common stock.</w:t>
      </w:r>
    </w:p>
    <w:p>
      <w:pPr>
        <w:spacing w:after="0" w:line="146" w:lineRule="exact"/>
        <w:rPr>
          <w:rFonts w:ascii="Arial" w:cs="Arial" w:eastAsia="Arial" w:hAnsi="Arial"/>
          <w:sz w:val="17"/>
          <w:szCs w:val="17"/>
          <w:color w:val="auto"/>
        </w:rPr>
      </w:pPr>
    </w:p>
    <w:p>
      <w:pPr>
        <w:ind w:left="1020" w:right="20" w:hanging="503"/>
        <w:spacing w:after="0" w:line="273"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Continuing LLC Owners are entitled to exchange, subject to the terms of the Rani LLC Agreement, the Class A Units they hold in Rani LLC, together with the shares they hold of our Class B common stock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177"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Entered into a registration rights agreement and tax receivable agreement (“Tax Receivable Agreement” or “TRA”) with certain of the Continuing LLC Owners.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0" w:firstLine="1018"/>
        <w:spacing w:after="0" w:line="263" w:lineRule="auto"/>
        <w:rPr>
          <w:sz w:val="20"/>
          <w:szCs w:val="20"/>
          <w:color w:val="auto"/>
        </w:rPr>
      </w:pPr>
      <w:r>
        <w:rPr>
          <w:rFonts w:ascii="Arial" w:cs="Arial" w:eastAsia="Arial" w:hAnsi="Arial"/>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84" w:lineRule="exact"/>
        <w:rPr>
          <w:sz w:val="20"/>
          <w:szCs w:val="20"/>
          <w:color w:val="auto"/>
        </w:rPr>
      </w:pPr>
    </w:p>
    <w:p>
      <w:pPr>
        <w:ind w:right="300" w:firstLine="1018"/>
        <w:spacing w:after="0" w:line="259" w:lineRule="auto"/>
        <w:rPr>
          <w:sz w:val="20"/>
          <w:szCs w:val="20"/>
          <w:color w:val="auto"/>
        </w:rPr>
      </w:pPr>
      <w:r>
        <w:rPr>
          <w:rFonts w:ascii="Arial" w:cs="Arial" w:eastAsia="Arial" w:hAnsi="Arial"/>
          <w:sz w:val="18"/>
          <w:szCs w:val="18"/>
          <w:color w:val="auto"/>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spacing w:after="0" w:line="187" w:lineRule="exact"/>
        <w:rPr>
          <w:sz w:val="20"/>
          <w:szCs w:val="20"/>
          <w:color w:val="auto"/>
        </w:rPr>
      </w:pPr>
    </w:p>
    <w:p>
      <w:pPr>
        <w:ind w:right="180" w:firstLine="1018"/>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History, Financial Position and Capital Requirements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146" w:lineRule="exact"/>
        <w:rPr>
          <w:sz w:val="20"/>
          <w:szCs w:val="20"/>
          <w:color w:val="auto"/>
        </w:rPr>
      </w:pPr>
    </w:p>
    <w:p>
      <w:pPr>
        <w:ind w:right="40" w:firstLine="1018"/>
        <w:spacing w:after="0" w:line="254" w:lineRule="auto"/>
        <w:rPr>
          <w:sz w:val="20"/>
          <w:szCs w:val="20"/>
          <w:color w:val="auto"/>
        </w:rPr>
      </w:pPr>
      <w:r>
        <w:rPr>
          <w:rFonts w:ascii="Arial" w:cs="Arial" w:eastAsia="Arial" w:hAnsi="Arial"/>
          <w:sz w:val="18"/>
          <w:szCs w:val="18"/>
          <w:color w:val="auto"/>
        </w:rPr>
        <w:t>Biologics delivery is a highly speculative undertaking and involves a substantial degree of risk. We are an early clinical stage biopharmaceutical company with a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We are in early clinical development with a limited number of product candidates, and are in preclinical development with other product candidates.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600"/>
        <w:spacing w:after="0" w:line="277" w:lineRule="auto"/>
        <w:rPr>
          <w:sz w:val="20"/>
          <w:szCs w:val="20"/>
          <w:color w:val="auto"/>
        </w:rPr>
      </w:pPr>
      <w:r>
        <w:rPr>
          <w:rFonts w:ascii="Arial" w:cs="Arial" w:eastAsia="Arial" w:hAnsi="Arial"/>
          <w:sz w:val="18"/>
          <w:szCs w:val="18"/>
          <w:color w:val="auto"/>
        </w:rPr>
        <w:t>Consequently, any predictions made about our future success or viability may not be as accurate as they could be if we had a history of successfully developing and commercializing oral therapeutic products.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We have incurred significant operating losses since our formation. Our net loss for the year ended December 31, 2022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$63.3 million. Our prior losses, combined with expected future losses, have had and will continue to have an adverse effect on our stockholders, deficit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The majority of our losses have resulted from expenses incurred in connection with research and development, manufacturing automation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scaleup, and establishing our intellectual property portfolio. All of our product candidates will require substantial additional development time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resources before we would be able to apply for or receive regulatory approvals and begin generating revenue from product sales. We expect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incurring significant research, development, manufacturing and other expenses related to our ongoing business operations and product development, and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we expect to continue incurring losses for the foreseeable future. We also expect these losses to increase as we continue our development of,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seek regulatory approvals for, our product candidates.</w:t>
      </w:r>
    </w:p>
    <w:p>
      <w:pPr>
        <w:spacing w:after="0" w:line="211"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are in early clinical development with a limited number of product candidates, and are in preclinical development with other product candidates.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5"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70"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1020" w:right="2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current Good Manufacturing Practices, for the conduct of preclinical studies and clinical trials and, if approved, for successful commercialization;</w:t>
      </w:r>
    </w:p>
    <w:p>
      <w:pPr>
        <w:spacing w:after="0" w:line="62"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key personnel with appropriate expertise and experience to manage our business effectively.</w:t>
      </w:r>
    </w:p>
    <w:p>
      <w:pPr>
        <w:spacing w:after="0" w:line="225"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raise additional capital when needed on acceptable terms, we may be forced to delay, limit, reduce or terminate our product development programs, commercialization efforts or other operations.</w:t>
      </w:r>
    </w:p>
    <w:p>
      <w:pPr>
        <w:spacing w:after="0" w:line="170"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are in early clinical development with certain product candidates and have conducted or are in the process of conducting preclinical studies with other product candidates. We intend to advance our product candidates into initial and later stages of clinical development, which requires significant capital. In addition, we are developing the RaniPill HC and intend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for our product candidates, and to complete the clinical development of our product candidates and, if we are successful, to commercialize any of our current product candidates. If the U.S. Food and Drug Administration (FDA) or any comparable foreign regulatory authorities, such as the European Medicines Agency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Based on our current operating plan,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and Loans, will not be sufficient to enable us to initiate any pivotal clinical trials. Accordingly, we expect that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48" w:lineRule="exact"/>
        <w:rPr>
          <w:sz w:val="20"/>
          <w:szCs w:val="20"/>
          <w:color w:val="auto"/>
        </w:rPr>
      </w:pPr>
    </w:p>
    <w:p>
      <w:pPr>
        <w:ind w:left="1400" w:hanging="374"/>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costs, trial design, results and timing of our preclinical studies and clinical trials;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25" w:lineRule="exact"/>
        <w:rPr>
          <w:rFonts w:ascii="Arial" w:cs="Arial" w:eastAsia="Arial" w:hAnsi="Arial"/>
          <w:sz w:val="18"/>
          <w:szCs w:val="18"/>
          <w:color w:val="auto"/>
        </w:rPr>
      </w:pPr>
    </w:p>
    <w:p>
      <w:pPr>
        <w:jc w:val="right"/>
        <w:ind w:left="11060" w:hanging="10034"/>
        <w:spacing w:after="0" w:line="483" w:lineRule="auto"/>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progress and costs of development of the RaniPill HC device and other improvements or advancements to our delivery technologies;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1400" w:right="80" w:hanging="374"/>
        <w:spacing w:after="0" w:line="308"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146" w:lineRule="exact"/>
        <w:rPr>
          <w:rFonts w:ascii="Arial" w:cs="Arial" w:eastAsia="Arial" w:hAnsi="Arial"/>
          <w:sz w:val="17"/>
          <w:szCs w:val="17"/>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rFonts w:ascii="Arial" w:cs="Arial" w:eastAsia="Arial" w:hAnsi="Arial"/>
          <w:sz w:val="18"/>
          <w:szCs w:val="18"/>
          <w:color w:val="auto"/>
        </w:rPr>
      </w:pPr>
    </w:p>
    <w:p>
      <w:pPr>
        <w:ind w:left="1400" w:right="220" w:hanging="374"/>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manufacturing, and obtaining drug supply for, our product candidates, including for clinical and commercial supplies;</w:t>
      </w:r>
    </w:p>
    <w:p>
      <w:pPr>
        <w:spacing w:after="0" w:line="170" w:lineRule="exact"/>
        <w:rPr>
          <w:rFonts w:ascii="Arial" w:cs="Arial" w:eastAsia="Arial" w:hAnsi="Arial"/>
          <w:sz w:val="18"/>
          <w:szCs w:val="18"/>
          <w:color w:val="auto"/>
        </w:rPr>
      </w:pPr>
    </w:p>
    <w:p>
      <w:pPr>
        <w:ind w:left="1400" w:right="180" w:hanging="374"/>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 including establishing sales, marketing, and distribution capabilities;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25" w:lineRule="exact"/>
        <w:rPr>
          <w:rFonts w:ascii="Arial" w:cs="Arial" w:eastAsia="Arial" w:hAnsi="Arial"/>
          <w:sz w:val="18"/>
          <w:szCs w:val="18"/>
          <w:color w:val="auto"/>
        </w:rPr>
      </w:pPr>
    </w:p>
    <w:p>
      <w:pPr>
        <w:ind w:left="1400" w:right="440" w:hanging="374"/>
        <w:spacing w:after="0" w:line="263"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25" w:lineRule="exact"/>
        <w:rPr>
          <w:rFonts w:ascii="Arial" w:cs="Arial" w:eastAsia="Arial" w:hAnsi="Arial"/>
          <w:sz w:val="18"/>
          <w:szCs w:val="18"/>
          <w:color w:val="auto"/>
        </w:rPr>
      </w:pPr>
    </w:p>
    <w:p>
      <w:pPr>
        <w:ind w:left="1400" w:right="220" w:hanging="374"/>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70" w:lineRule="exact"/>
        <w:rPr>
          <w:rFonts w:ascii="Arial" w:cs="Arial" w:eastAsia="Arial" w:hAnsi="Arial"/>
          <w:sz w:val="18"/>
          <w:szCs w:val="18"/>
          <w:color w:val="auto"/>
        </w:rPr>
      </w:pPr>
    </w:p>
    <w:p>
      <w:pPr>
        <w:ind w:left="1400" w:right="280" w:hanging="374"/>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 the conflict between Ukraine and Russia or other such disruptions.</w:t>
      </w:r>
    </w:p>
    <w:p>
      <w:pPr>
        <w:spacing w:after="0" w:line="170"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as well as the conflict between Ukraine and Russia, inflation, rising interest rates and other conditions, the global credit and financial markets have experienced volatility and disruptions. If we are unable to obtain additional funding from equity offerings or debt financings, including on a timely basis, we may be required to:</w:t>
      </w:r>
    </w:p>
    <w:p>
      <w:pPr>
        <w:spacing w:after="0" w:line="187" w:lineRule="exact"/>
        <w:rPr>
          <w:sz w:val="20"/>
          <w:szCs w:val="20"/>
          <w:color w:val="auto"/>
        </w:rPr>
      </w:pPr>
    </w:p>
    <w:p>
      <w:pPr>
        <w:ind w:left="1400" w:right="240" w:hanging="374"/>
        <w:spacing w:after="0" w:line="277"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70" w:lineRule="exact"/>
        <w:rPr>
          <w:rFonts w:ascii="Arial" w:cs="Arial" w:eastAsia="Arial" w:hAnsi="Arial"/>
          <w:sz w:val="18"/>
          <w:szCs w:val="18"/>
          <w:color w:val="auto"/>
        </w:rPr>
      </w:pPr>
    </w:p>
    <w:p>
      <w:pPr>
        <w:ind w:left="1400" w:right="160" w:hanging="374"/>
        <w:spacing w:after="0" w:line="277"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660"/>
        <w:spacing w:after="0" w:line="277" w:lineRule="auto"/>
        <w:rPr>
          <w:sz w:val="20"/>
          <w:szCs w:val="20"/>
          <w:color w:val="auto"/>
        </w:rPr>
      </w:pPr>
      <w:r>
        <w:rPr>
          <w:rFonts w:ascii="Arial" w:cs="Arial" w:eastAsia="Arial" w:hAnsi="Arial"/>
          <w:sz w:val="18"/>
          <w:szCs w:val="18"/>
          <w:color w:val="auto"/>
        </w:rPr>
        <w:t>addition, our product candidates, if approved, may not achieve commercial success. Our commercial revenues, if any, will be derived from sales of products that we do not expect to be commercially available for many years, if at all.</w:t>
      </w:r>
    </w:p>
    <w:p>
      <w:pPr>
        <w:spacing w:after="0" w:line="170"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w:t>
      </w:r>
    </w:p>
    <w:p>
      <w:pPr>
        <w:spacing w:after="0" w:line="18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existing indebtedness contains restrictions that limit our flexibility in operating our business. In addition, we may be required to make a prepayment or repay our outstanding indebtedness earlier than we expect.</w:t>
      </w:r>
    </w:p>
    <w:p>
      <w:pPr>
        <w:spacing w:after="0" w:line="170" w:lineRule="exact"/>
        <w:rPr>
          <w:sz w:val="20"/>
          <w:szCs w:val="20"/>
          <w:color w:val="auto"/>
        </w:rPr>
      </w:pPr>
    </w:p>
    <w:p>
      <w:pPr>
        <w:ind w:right="120" w:firstLine="1018"/>
        <w:spacing w:after="0" w:line="255" w:lineRule="auto"/>
        <w:rPr>
          <w:sz w:val="20"/>
          <w:szCs w:val="20"/>
          <w:color w:val="auto"/>
        </w:rPr>
      </w:pPr>
      <w:r>
        <w:rPr>
          <w:rFonts w:ascii="Arial" w:cs="Arial" w:eastAsia="Arial" w:hAnsi="Arial"/>
          <w:sz w:val="18"/>
          <w:szCs w:val="18"/>
          <w:color w:val="auto"/>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Loan Agreement contains various covenants that limit our ability to engage in specified types of transactions. These covenants limit our ability to, among other things:</w:t>
      </w:r>
    </w:p>
    <w:p>
      <w:pPr>
        <w:spacing w:after="0" w:line="192"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17"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any transaction or series of related transactions that would be deemed to result in a change in control of us under the terms of the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225" w:lineRule="exact"/>
        <w:rPr>
          <w:sz w:val="20"/>
          <w:szCs w:val="20"/>
          <w:color w:val="auto"/>
        </w:rPr>
      </w:pPr>
    </w:p>
    <w:p>
      <w:pPr>
        <w:ind w:right="380" w:firstLine="1018"/>
        <w:spacing w:after="0" w:line="277" w:lineRule="auto"/>
        <w:rPr>
          <w:sz w:val="20"/>
          <w:szCs w:val="20"/>
          <w:color w:val="auto"/>
        </w:rPr>
      </w:pPr>
      <w:r>
        <w:rPr>
          <w:rFonts w:ascii="Arial" w:cs="Arial" w:eastAsia="Arial" w:hAnsi="Arial"/>
          <w:sz w:val="18"/>
          <w:szCs w:val="18"/>
          <w:color w:val="auto"/>
        </w:rPr>
        <w:t>The restrictive covenants in the Loan Agreement could prevent us from pursuing business opportunities that we or our stockholders may consider beneficial.</w:t>
      </w:r>
    </w:p>
    <w:p>
      <w:pPr>
        <w:spacing w:after="0" w:line="170"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 could elect to declare all amounts outstanding to be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60"/>
        <w:spacing w:after="0" w:line="263" w:lineRule="auto"/>
        <w:rPr>
          <w:sz w:val="20"/>
          <w:szCs w:val="20"/>
          <w:color w:val="auto"/>
        </w:rPr>
      </w:pPr>
      <w:r>
        <w:rPr>
          <w:rFonts w:ascii="Arial" w:cs="Arial" w:eastAsia="Arial" w:hAnsi="Arial"/>
          <w:sz w:val="18"/>
          <w:szCs w:val="18"/>
          <w:color w:val="auto"/>
        </w:rPr>
        <w:t>immediately due and payable, proceed against the collateral in which we granted the Lender a security interest under the Loan Agreement, or otherwise exercise the rights of a secured creditor. Amounts outstanding under the Loan Agreement are secured by substantially all of our existing and future assets, including intellectual property.</w:t>
      </w:r>
    </w:p>
    <w:p>
      <w:pPr>
        <w:spacing w:after="0" w:line="184"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7"/>
          <w:szCs w:val="17"/>
          <w:color w:val="auto"/>
        </w:rPr>
        <w:t>The Loan Agreement also gives us the ability to access an additional $15.0 million, which may be drawn in an additional tranche with the approval of the Lender and subject to the other terms and conditions set forth in the Loan Agreement. If we are unable to satisfy these or other required conditions, or if the Lender does not consent, as applicable, we would not be able to draw down the remaining tranche of financing and may not be able to obtain alternative financing on commercially reasonable terms or at all, which could adversely impact our business.</w:t>
      </w:r>
    </w:p>
    <w:p>
      <w:pPr>
        <w:spacing w:after="0" w:line="171"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a limited number of product candidates in clinical development, and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jc w:val="both"/>
        <w:ind w:right="180" w:firstLine="1018"/>
        <w:spacing w:after="0" w:line="259" w:lineRule="auto"/>
        <w:rPr>
          <w:sz w:val="20"/>
          <w:szCs w:val="20"/>
          <w:color w:val="auto"/>
        </w:rPr>
      </w:pPr>
      <w:r>
        <w:rPr>
          <w:rFonts w:ascii="Arial" w:cs="Arial" w:eastAsia="Arial" w:hAnsi="Arial"/>
          <w:sz w:val="18"/>
          <w:szCs w:val="18"/>
          <w:color w:val="auto"/>
        </w:rPr>
        <w:t>We are in the early stages of our development efforts and have only a limited number of product candidates in early clinical development. Other product candidates are still in the formulation and preclinical stages. We will need to progress our product candidates through Investigational New Drug (IND)-enabling studies and submit INDs to the FDA or equivalent regulatory filings to foreign regulatory authorities prior to initiating their clinical development. None of our product candidates have advanced into a pivotal study.</w:t>
      </w:r>
    </w:p>
    <w:p>
      <w:pPr>
        <w:spacing w:after="0" w:line="187"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84" w:lineRule="exact"/>
        <w:rPr>
          <w:sz w:val="20"/>
          <w:szCs w:val="20"/>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25" w:lineRule="exact"/>
        <w:rPr>
          <w:rFonts w:ascii="Arial" w:cs="Arial" w:eastAsia="Arial" w:hAnsi="Arial"/>
          <w:sz w:val="18"/>
          <w:szCs w:val="18"/>
          <w:color w:val="auto"/>
        </w:rPr>
      </w:pPr>
    </w:p>
    <w:p>
      <w:pPr>
        <w:ind w:left="1400" w:right="340" w:hanging="374"/>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25" w:lineRule="exact"/>
        <w:rPr>
          <w:rFonts w:ascii="Arial" w:cs="Arial" w:eastAsia="Arial" w:hAnsi="Arial"/>
          <w:sz w:val="18"/>
          <w:szCs w:val="18"/>
          <w:color w:val="auto"/>
        </w:rPr>
      </w:pPr>
    </w:p>
    <w:p>
      <w:pPr>
        <w:ind w:left="1400" w:right="180" w:hanging="374"/>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BLAs or NDAs, from the FDA, and maintaining such approvals;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establishing clinical and commercial manufacturing capabilities, and securing adequate supply of drugs for our product candidates;</w:t>
      </w:r>
    </w:p>
    <w:p>
      <w:pPr>
        <w:spacing w:after="0" w:line="236" w:lineRule="exact"/>
        <w:rPr>
          <w:rFonts w:ascii="Arial" w:cs="Arial" w:eastAsia="Arial" w:hAnsi="Arial"/>
          <w:sz w:val="17"/>
          <w:szCs w:val="17"/>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25" w:lineRule="exact"/>
        <w:rPr>
          <w:rFonts w:ascii="Arial" w:cs="Arial" w:eastAsia="Arial" w:hAnsi="Arial"/>
          <w:sz w:val="18"/>
          <w:szCs w:val="18"/>
          <w:color w:val="auto"/>
        </w:rPr>
      </w:pPr>
    </w:p>
    <w:p>
      <w:pPr>
        <w:ind w:left="1400" w:right="540" w:hanging="374"/>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25" w:lineRule="exact"/>
        <w:rPr>
          <w:rFonts w:ascii="Arial" w:cs="Arial" w:eastAsia="Arial" w:hAnsi="Arial"/>
          <w:sz w:val="18"/>
          <w:szCs w:val="18"/>
          <w:color w:val="auto"/>
        </w:rPr>
      </w:pPr>
    </w:p>
    <w:p>
      <w:pPr>
        <w:ind w:left="1400" w:right="420" w:hanging="374"/>
        <w:spacing w:after="0" w:line="277" w:lineRule="auto"/>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left="1400" w:hanging="374"/>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right="160" w:firstLine="1018"/>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 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Our business and future profitability is substantially dependent on our ability to successfully develop, obtain regulatory approval for and then successfully commercialize our product candidates.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400" w:hanging="374"/>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25" w:lineRule="exact"/>
        <w:rPr>
          <w:rFonts w:ascii="Arial" w:cs="Arial" w:eastAsia="Arial" w:hAnsi="Arial"/>
          <w:sz w:val="18"/>
          <w:szCs w:val="18"/>
          <w:color w:val="auto"/>
        </w:rPr>
      </w:pPr>
    </w:p>
    <w:p>
      <w:pPr>
        <w:ind w:left="1400" w:right="80" w:hanging="374"/>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400" w:right="60" w:hanging="374"/>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1400" w:right="280" w:hanging="374"/>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70" w:lineRule="exact"/>
        <w:rPr>
          <w:rFonts w:ascii="Arial" w:cs="Arial" w:eastAsia="Arial" w:hAnsi="Arial"/>
          <w:sz w:val="18"/>
          <w:szCs w:val="18"/>
          <w:color w:val="auto"/>
        </w:rPr>
      </w:pPr>
    </w:p>
    <w:p>
      <w:pPr>
        <w:ind w:left="1400" w:right="20" w:hanging="374"/>
        <w:spacing w:after="0" w:line="308" w:lineRule="auto"/>
        <w:tabs>
          <w:tab w:leader="none" w:pos="1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46" w:lineRule="exact"/>
        <w:rPr>
          <w:rFonts w:ascii="Arial" w:cs="Arial" w:eastAsia="Arial" w:hAnsi="Arial"/>
          <w:sz w:val="17"/>
          <w:szCs w:val="17"/>
          <w:color w:val="auto"/>
        </w:rPr>
      </w:pPr>
    </w:p>
    <w:p>
      <w:pPr>
        <w:ind w:left="1400" w:right="240" w:hanging="374"/>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70" w:lineRule="exact"/>
        <w:rPr>
          <w:rFonts w:ascii="Arial" w:cs="Arial" w:eastAsia="Arial" w:hAnsi="Arial"/>
          <w:sz w:val="18"/>
          <w:szCs w:val="18"/>
          <w:color w:val="auto"/>
        </w:rPr>
      </w:pPr>
    </w:p>
    <w:p>
      <w:pPr>
        <w:ind w:left="1400" w:right="420" w:hanging="374"/>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70" w:lineRule="exact"/>
        <w:rPr>
          <w:sz w:val="20"/>
          <w:szCs w:val="20"/>
          <w:color w:val="auto"/>
        </w:rPr>
      </w:pPr>
    </w:p>
    <w:p>
      <w:pPr>
        <w:ind w:right="220" w:firstLine="1018"/>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firstLine="1018"/>
        <w:spacing w:after="0" w:line="255" w:lineRule="auto"/>
        <w:rPr>
          <w:sz w:val="20"/>
          <w:szCs w:val="20"/>
          <w:color w:val="auto"/>
        </w:rPr>
      </w:pPr>
      <w:r>
        <w:rPr>
          <w:rFonts w:ascii="Arial" w:cs="Arial" w:eastAsia="Arial" w:hAnsi="Arial"/>
          <w:sz w:val="18"/>
          <w:szCs w:val="18"/>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92" w:lineRule="exact"/>
        <w:rPr>
          <w:sz w:val="20"/>
          <w:szCs w:val="20"/>
          <w:color w:val="auto"/>
        </w:rPr>
      </w:pPr>
    </w:p>
    <w:p>
      <w:pPr>
        <w:jc w:val="both"/>
        <w:ind w:right="180" w:firstLine="1018"/>
        <w:spacing w:after="0" w:line="311" w:lineRule="auto"/>
        <w:rPr>
          <w:sz w:val="20"/>
          <w:szCs w:val="20"/>
          <w:color w:val="auto"/>
        </w:rPr>
      </w:pPr>
      <w:r>
        <w:rPr>
          <w:rFonts w:ascii="Arial" w:cs="Arial" w:eastAsia="Arial" w:hAnsi="Arial"/>
          <w:sz w:val="16"/>
          <w:szCs w:val="16"/>
          <w:color w:val="auto"/>
        </w:rPr>
        <w:t>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70" w:lineRule="exact"/>
        <w:rPr>
          <w:sz w:val="20"/>
          <w:szCs w:val="20"/>
          <w:color w:val="auto"/>
        </w:rPr>
      </w:pPr>
    </w:p>
    <w:p>
      <w:pPr>
        <w:ind w:right="60" w:firstLine="1018"/>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trials of RT-101 and RT-102 do not ensure that future Phase 2 or later clinical trials of these product candidates will have similar results or be successful. In the Phase 1 clinical trials of RT-101 and RT-102, we tested the RaniPill capsule in a limited number of healthy volunteers. While we have not observed any serious adverse events as a result of these clinical trials, we have not widely tested the RaniPill capsule in humans and cannot be certain how the RaniPill capsule will perform when more widely tested in humans in any additional or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spacing w:after="0" w:line="179"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88" w:lineRule="exact"/>
        <w:rPr>
          <w:sz w:val="20"/>
          <w:szCs w:val="20"/>
          <w:color w:val="auto"/>
        </w:rPr>
      </w:pPr>
    </w:p>
    <w:p>
      <w:pPr>
        <w:ind w:right="120" w:firstLine="1018"/>
        <w:spacing w:after="0" w:line="342" w:lineRule="auto"/>
        <w:rPr>
          <w:sz w:val="20"/>
          <w:szCs w:val="20"/>
          <w:color w:val="auto"/>
        </w:rPr>
      </w:pPr>
      <w:r>
        <w:rPr>
          <w:rFonts w:ascii="Arial" w:cs="Arial" w:eastAsia="Arial" w:hAnsi="Arial"/>
          <w:sz w:val="16"/>
          <w:szCs w:val="16"/>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24" w:lineRule="exact"/>
        <w:rPr>
          <w:sz w:val="20"/>
          <w:szCs w:val="20"/>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institutional review board or ethics committee approval at each site;</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25" w:lineRule="exact"/>
        <w:rPr>
          <w:rFonts w:ascii="Arial" w:cs="Arial" w:eastAsia="Arial" w:hAnsi="Arial"/>
          <w:sz w:val="18"/>
          <w:szCs w:val="18"/>
          <w:color w:val="auto"/>
        </w:rPr>
      </w:pPr>
    </w:p>
    <w:p>
      <w:pPr>
        <w:ind w:left="1400" w:right="80" w:hanging="374"/>
        <w:spacing w:after="0" w:line="277"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impacts of the COVID-19 pandemic or the conflict between Russia and Ukraine on our ongoing and planned preclinical studies and clinical trials;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1400" w:right="800" w:hanging="374"/>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right="40" w:firstLine="1018"/>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ethics committees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right="260" w:firstLine="1018"/>
        <w:spacing w:after="0" w:line="257"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88" w:lineRule="exact"/>
        <w:rPr>
          <w:sz w:val="20"/>
          <w:szCs w:val="20"/>
          <w:color w:val="auto"/>
        </w:rPr>
      </w:pPr>
    </w:p>
    <w:p>
      <w:pPr>
        <w:jc w:val="both"/>
        <w:ind w:right="580" w:firstLine="1018"/>
        <w:spacing w:after="0" w:line="311"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indications could limit the prospects for regulatory approval of our product candidates in those and other indications, which could have an adverse effect on our business, financial condition and results of operations.</w:t>
      </w:r>
    </w:p>
    <w:p>
      <w:pPr>
        <w:spacing w:after="0" w:line="1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spacing w:after="0" w:line="184" w:lineRule="exact"/>
        <w:rPr>
          <w:sz w:val="20"/>
          <w:szCs w:val="20"/>
          <w:color w:val="auto"/>
        </w:rPr>
      </w:pPr>
    </w:p>
    <w:p>
      <w:pPr>
        <w:ind w:firstLine="1018"/>
        <w:spacing w:after="0" w:line="254" w:lineRule="auto"/>
        <w:rPr>
          <w:sz w:val="20"/>
          <w:szCs w:val="20"/>
          <w:color w:val="auto"/>
        </w:rPr>
      </w:pPr>
      <w:r>
        <w:rPr>
          <w:rFonts w:ascii="Arial" w:cs="Arial" w:eastAsia="Arial" w:hAnsi="Arial"/>
          <w:sz w:val="18"/>
          <w:szCs w:val="18"/>
          <w:color w:val="auto"/>
        </w:rPr>
        <w:t>We are required to develop microtablets of drugs for use in our existing RaniPill capsule. Accordingly, we develop or modify formulations of drugs to be suitable for the creation of such microtablets.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spacing w:after="0" w:line="1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right="160" w:firstLine="1018"/>
        <w:spacing w:after="0" w:line="255"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600" w:firstLine="1018"/>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70" w:lineRule="exact"/>
        <w:rPr>
          <w:sz w:val="20"/>
          <w:szCs w:val="20"/>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regulatory authorizations to commence a trial, or reaching a consensus with regulatory authorities on trial design;</w:t>
      </w:r>
    </w:p>
    <w:p>
      <w:pPr>
        <w:spacing w:after="0" w:line="225" w:lineRule="exact"/>
        <w:rPr>
          <w:rFonts w:ascii="Arial" w:cs="Arial" w:eastAsia="Arial" w:hAnsi="Arial"/>
          <w:sz w:val="18"/>
          <w:szCs w:val="18"/>
          <w:color w:val="auto"/>
        </w:rPr>
      </w:pPr>
    </w:p>
    <w:p>
      <w:pPr>
        <w:ind w:left="1400" w:right="16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contract research organizations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25" w:lineRule="exact"/>
        <w:rPr>
          <w:rFonts w:ascii="Arial" w:cs="Arial" w:eastAsia="Arial" w:hAnsi="Arial"/>
          <w:sz w:val="18"/>
          <w:szCs w:val="18"/>
          <w:color w:val="auto"/>
        </w:rPr>
      </w:pPr>
    </w:p>
    <w:p>
      <w:pPr>
        <w:ind w:left="1400" w:right="4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25" w:lineRule="exact"/>
        <w:rPr>
          <w:rFonts w:ascii="Arial" w:cs="Arial" w:eastAsia="Arial" w:hAnsi="Arial"/>
          <w:sz w:val="18"/>
          <w:szCs w:val="18"/>
          <w:color w:val="auto"/>
        </w:rPr>
      </w:pPr>
    </w:p>
    <w:p>
      <w:pPr>
        <w:ind w:left="1400" w:right="18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active pharmaceutical ingredients for use in clinical trials;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25" w:lineRule="exact"/>
        <w:rPr>
          <w:rFonts w:ascii="Arial" w:cs="Arial" w:eastAsia="Arial" w:hAnsi="Arial"/>
          <w:sz w:val="18"/>
          <w:szCs w:val="18"/>
          <w:color w:val="auto"/>
        </w:rPr>
      </w:pPr>
    </w:p>
    <w:p>
      <w:pPr>
        <w:ind w:left="1400" w:right="20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or device-related adverse effects;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25" w:lineRule="exact"/>
        <w:rPr>
          <w:rFonts w:ascii="Arial" w:cs="Arial" w:eastAsia="Arial" w:hAnsi="Arial"/>
          <w:sz w:val="18"/>
          <w:szCs w:val="18"/>
          <w:color w:val="auto"/>
        </w:rPr>
      </w:pPr>
    </w:p>
    <w:p>
      <w:pPr>
        <w:ind w:left="1400" w:right="80" w:hanging="374"/>
        <w:spacing w:after="0" w:line="263"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25" w:lineRule="exact"/>
        <w:rPr>
          <w:rFonts w:ascii="Arial" w:cs="Arial" w:eastAsia="Arial" w:hAnsi="Arial"/>
          <w:sz w:val="18"/>
          <w:szCs w:val="18"/>
          <w:color w:val="auto"/>
        </w:rPr>
      </w:pPr>
    </w:p>
    <w:p>
      <w:pPr>
        <w:ind w:left="1400" w:right="28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70" w:lineRule="exact"/>
        <w:rPr>
          <w:rFonts w:ascii="Arial" w:cs="Arial" w:eastAsia="Arial" w:hAnsi="Arial"/>
          <w:sz w:val="18"/>
          <w:szCs w:val="18"/>
          <w:color w:val="auto"/>
        </w:rPr>
      </w:pPr>
    </w:p>
    <w:p>
      <w:pPr>
        <w:ind w:left="1400" w:right="14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ind w:left="1400" w:right="80" w:hanging="374"/>
        <w:spacing w:after="0" w:line="277"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comparable foreign regulatory authorities for violations of regulatory requirements, in which case we may need to</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1400" w:right="600"/>
        <w:spacing w:after="0" w:line="277" w:lineRule="auto"/>
        <w:rPr>
          <w:sz w:val="20"/>
          <w:szCs w:val="20"/>
          <w:color w:val="auto"/>
        </w:rPr>
      </w:pPr>
      <w:r>
        <w:rPr>
          <w:rFonts w:ascii="Arial" w:cs="Arial" w:eastAsia="Arial" w:hAnsi="Arial"/>
          <w:sz w:val="18"/>
          <w:szCs w:val="18"/>
          <w:color w:val="auto"/>
        </w:rPr>
        <w:t>find a substitute contractor, and we may not be able to use some or all of the data produced by such contractors in support of our marketing applications.</w:t>
      </w:r>
    </w:p>
    <w:p>
      <w:pPr>
        <w:spacing w:after="0" w:line="170" w:lineRule="exact"/>
        <w:rPr>
          <w:sz w:val="20"/>
          <w:szCs w:val="20"/>
          <w:color w:val="auto"/>
        </w:rPr>
      </w:pPr>
    </w:p>
    <w:p>
      <w:pPr>
        <w:ind w:right="20" w:firstLine="1018"/>
        <w:spacing w:after="0" w:line="271"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78" w:lineRule="exact"/>
        <w:rPr>
          <w:sz w:val="20"/>
          <w:szCs w:val="20"/>
          <w:color w:val="auto"/>
        </w:rPr>
      </w:pPr>
    </w:p>
    <w:p>
      <w:pPr>
        <w:ind w:right="360" w:firstLine="1018"/>
        <w:spacing w:after="0" w:line="279" w:lineRule="auto"/>
        <w:rPr>
          <w:sz w:val="20"/>
          <w:szCs w:val="20"/>
          <w:color w:val="auto"/>
        </w:rPr>
      </w:pPr>
      <w:r>
        <w:rPr>
          <w:rFonts w:ascii="Arial" w:cs="Arial" w:eastAsia="Arial" w:hAnsi="Arial"/>
          <w:sz w:val="17"/>
          <w:szCs w:val="17"/>
          <w:color w:val="auto"/>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spacing w:after="0" w:line="171" w:lineRule="exact"/>
        <w:rPr>
          <w:sz w:val="20"/>
          <w:szCs w:val="20"/>
          <w:color w:val="auto"/>
        </w:rPr>
      </w:pPr>
    </w:p>
    <w:p>
      <w:pPr>
        <w:ind w:right="20" w:firstLine="1018"/>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77" w:lineRule="exact"/>
        <w:rPr>
          <w:sz w:val="20"/>
          <w:szCs w:val="20"/>
          <w:color w:val="auto"/>
        </w:rPr>
      </w:pPr>
    </w:p>
    <w:p>
      <w:pPr>
        <w:ind w:right="100" w:firstLine="1018"/>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 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firstLine="1018"/>
        <w:spacing w:after="0" w:line="263"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340"/>
        <w:spacing w:after="0" w:line="277" w:lineRule="auto"/>
        <w:rPr>
          <w:sz w:val="20"/>
          <w:szCs w:val="20"/>
          <w:color w:val="auto"/>
        </w:rPr>
      </w:pPr>
      <w:r>
        <w:rPr>
          <w:rFonts w:ascii="Arial" w:cs="Arial" w:eastAsia="Arial" w:hAnsi="Arial"/>
          <w:sz w:val="18"/>
          <w:szCs w:val="18"/>
          <w:color w:val="auto"/>
        </w:rPr>
        <w:t>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70" w:lineRule="exact"/>
        <w:rPr>
          <w:sz w:val="20"/>
          <w:szCs w:val="20"/>
          <w:color w:val="auto"/>
        </w:rPr>
      </w:pPr>
    </w:p>
    <w:p>
      <w:pPr>
        <w:ind w:right="20" w:firstLine="1018"/>
        <w:spacing w:after="0" w:line="279" w:lineRule="auto"/>
        <w:rPr>
          <w:sz w:val="20"/>
          <w:szCs w:val="20"/>
          <w:color w:val="auto"/>
        </w:rPr>
      </w:pPr>
      <w:r>
        <w:rPr>
          <w:rFonts w:ascii="Arial" w:cs="Arial" w:eastAsia="Arial" w:hAnsi="Arial"/>
          <w:sz w:val="17"/>
          <w:szCs w:val="17"/>
          <w:color w:val="auto"/>
        </w:rPr>
        <w:t>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71"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Further, some patients may not be able or willing to comply with clinical trial protocols if quarantines impede patient movement or interrupt healthcare services.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right="160" w:firstLine="1018"/>
        <w:spacing w:after="0" w:line="311" w:lineRule="auto"/>
        <w:rPr>
          <w:sz w:val="20"/>
          <w:szCs w:val="20"/>
          <w:color w:val="auto"/>
        </w:rPr>
      </w:pPr>
      <w:r>
        <w:rPr>
          <w:rFonts w:ascii="Arial" w:cs="Arial" w:eastAsia="Arial" w:hAnsi="Arial"/>
          <w:sz w:val="16"/>
          <w:szCs w:val="16"/>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49" w:lineRule="exact"/>
        <w:rPr>
          <w:sz w:val="20"/>
          <w:szCs w:val="20"/>
          <w:color w:val="auto"/>
        </w:rPr>
      </w:pPr>
    </w:p>
    <w:p>
      <w:pPr>
        <w:jc w:val="both"/>
        <w:ind w:right="260" w:firstLine="1018"/>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right="140" w:firstLine="1018"/>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9" w:lineRule="exact"/>
        <w:rPr>
          <w:sz w:val="20"/>
          <w:szCs w:val="20"/>
          <w:color w:val="auto"/>
        </w:rPr>
      </w:pPr>
    </w:p>
    <w:p>
      <w:pPr>
        <w:ind w:right="120" w:firstLine="1018"/>
        <w:spacing w:after="0" w:line="279" w:lineRule="auto"/>
        <w:rPr>
          <w:sz w:val="20"/>
          <w:szCs w:val="20"/>
          <w:color w:val="auto"/>
        </w:rPr>
      </w:pPr>
      <w:r>
        <w:rPr>
          <w:rFonts w:ascii="Arial" w:cs="Arial" w:eastAsia="Arial" w:hAnsi="Arial"/>
          <w:sz w:val="17"/>
          <w:szCs w:val="17"/>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300" w:firstLine="1018"/>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firstLine="1018"/>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As an organization, we have conducted limited early clinical development, have not submitted an IND to the FDA and we have never conducted later-stage clinical trials or submitted a BLA or NDA, and may be unable to do so for any of our product candidates.</w:t>
      </w:r>
    </w:p>
    <w:p>
      <w:pPr>
        <w:spacing w:after="0" w:line="146" w:lineRule="exact"/>
        <w:rPr>
          <w:sz w:val="20"/>
          <w:szCs w:val="20"/>
          <w:color w:val="auto"/>
        </w:rPr>
      </w:pPr>
    </w:p>
    <w:p>
      <w:pPr>
        <w:ind w:firstLine="1018"/>
        <w:spacing w:after="0" w:line="286" w:lineRule="auto"/>
        <w:rPr>
          <w:sz w:val="20"/>
          <w:szCs w:val="20"/>
          <w:color w:val="auto"/>
        </w:rPr>
      </w:pPr>
      <w:r>
        <w:rPr>
          <w:rFonts w:ascii="Arial" w:cs="Arial" w:eastAsia="Arial" w:hAnsi="Arial"/>
          <w:sz w:val="16"/>
          <w:szCs w:val="16"/>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or NDA is a complicated process. As an organization, we have conducted two Phase 1 clinical trials, both of which were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NDA or other comparable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limited interactions with the FDA, and we have never filed an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or NDAs for and commercializing our product candidates.</w:t>
      </w:r>
    </w:p>
    <w:p>
      <w:pPr>
        <w:spacing w:after="0" w:line="16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right="100" w:firstLine="1018"/>
        <w:spacing w:after="0" w:line="270"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81" w:lineRule="exact"/>
        <w:rPr>
          <w:sz w:val="20"/>
          <w:szCs w:val="20"/>
          <w:color w:val="auto"/>
        </w:rPr>
      </w:pPr>
    </w:p>
    <w:p>
      <w:pPr>
        <w:jc w:val="both"/>
        <w:ind w:right="540" w:firstLine="1018"/>
        <w:spacing w:after="0" w:line="263"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300"/>
        <w:spacing w:after="0" w:line="259" w:lineRule="auto"/>
        <w:rPr>
          <w:sz w:val="20"/>
          <w:szCs w:val="20"/>
          <w:color w:val="auto"/>
        </w:rPr>
      </w:pPr>
      <w:r>
        <w:rPr>
          <w:rFonts w:ascii="Arial" w:cs="Arial" w:eastAsia="Arial" w:hAnsi="Arial"/>
          <w:sz w:val="18"/>
          <w:szCs w:val="18"/>
          <w:color w:val="auto"/>
        </w:rPr>
        <w:t>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48" w:lineRule="exact"/>
        <w:rPr>
          <w:sz w:val="20"/>
          <w:szCs w:val="20"/>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25" w:lineRule="exact"/>
        <w:rPr>
          <w:rFonts w:ascii="Arial" w:cs="Arial" w:eastAsia="Arial" w:hAnsi="Arial"/>
          <w:sz w:val="18"/>
          <w:szCs w:val="18"/>
          <w:color w:val="auto"/>
        </w:rPr>
      </w:pPr>
    </w:p>
    <w:p>
      <w:pPr>
        <w:ind w:left="1400" w:right="6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400" w:right="20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70" w:lineRule="exact"/>
        <w:rPr>
          <w:rFonts w:ascii="Arial" w:cs="Arial" w:eastAsia="Arial" w:hAnsi="Arial"/>
          <w:sz w:val="18"/>
          <w:szCs w:val="18"/>
          <w:color w:val="auto"/>
        </w:rPr>
      </w:pPr>
    </w:p>
    <w:p>
      <w:pPr>
        <w:ind w:left="1400" w:right="2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1400" w:right="22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25" w:lineRule="exact"/>
        <w:rPr>
          <w:rFonts w:ascii="Arial" w:cs="Arial" w:eastAsia="Arial" w:hAnsi="Arial"/>
          <w:sz w:val="18"/>
          <w:szCs w:val="18"/>
          <w:color w:val="auto"/>
        </w:rPr>
      </w:pPr>
    </w:p>
    <w:p>
      <w:pPr>
        <w:ind w:left="1400" w:right="20" w:hanging="374"/>
        <w:spacing w:after="0" w:line="263"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25" w:lineRule="exact"/>
        <w:rPr>
          <w:rFonts w:ascii="Arial" w:cs="Arial" w:eastAsia="Arial" w:hAnsi="Arial"/>
          <w:sz w:val="18"/>
          <w:szCs w:val="18"/>
          <w:color w:val="auto"/>
        </w:rPr>
      </w:pPr>
    </w:p>
    <w:p>
      <w:pPr>
        <w:ind w:left="1400" w:right="32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70" w:lineRule="exact"/>
        <w:rPr>
          <w:rFonts w:ascii="Arial" w:cs="Arial" w:eastAsia="Arial" w:hAnsi="Arial"/>
          <w:sz w:val="18"/>
          <w:szCs w:val="18"/>
          <w:color w:val="auto"/>
        </w:rPr>
      </w:pPr>
    </w:p>
    <w:p>
      <w:pPr>
        <w:ind w:left="1400" w:right="50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70" w:lineRule="exact"/>
        <w:rPr>
          <w:rFonts w:ascii="Arial" w:cs="Arial" w:eastAsia="Arial" w:hAnsi="Arial"/>
          <w:sz w:val="18"/>
          <w:szCs w:val="18"/>
          <w:color w:val="auto"/>
        </w:rPr>
      </w:pPr>
    </w:p>
    <w:p>
      <w:pPr>
        <w:ind w:left="1400" w:right="160" w:hanging="374"/>
        <w:spacing w:after="0" w:line="277"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firstLine="1018"/>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right="80" w:firstLine="1018"/>
        <w:spacing w:after="0" w:line="263"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indications and development programs. We also plan to conduct several clinical trials for our product candidates in parallel over the next several years, which may make our decision as to which product candidates to focus on more difficult. As a result, we may forgo or delay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color w:val="auto"/>
        </w:rPr>
        <w:t>pursuit of opportunities with other product candidates or other indications that could have had greater commercial potential or likelihood of success. In addition, we are focused on developing the RaniPill capsule in addition to the drug formulations for use in the RaniPill capsule. While we intend to focus on well-characterized molecules with attractive commercial characteristics, focusing both on drug delivery and formulation will require substantial resource and attention. In addition, we are developing a new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right="80" w:firstLine="1018"/>
        <w:spacing w:after="0" w:line="272" w:lineRule="auto"/>
        <w:rPr>
          <w:sz w:val="20"/>
          <w:szCs w:val="20"/>
          <w:color w:val="auto"/>
        </w:rPr>
      </w:pPr>
      <w:r>
        <w:rPr>
          <w:rFonts w:ascii="Arial" w:cs="Arial" w:eastAsia="Arial" w:hAnsi="Arial"/>
          <w:sz w:val="17"/>
          <w:szCs w:val="17"/>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77" w:lineRule="exact"/>
        <w:rPr>
          <w:sz w:val="20"/>
          <w:szCs w:val="20"/>
          <w:color w:val="auto"/>
        </w:rPr>
      </w:pPr>
    </w:p>
    <w:p>
      <w:pPr>
        <w:ind w:right="120" w:firstLine="1018"/>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78" w:lineRule="exact"/>
        <w:rPr>
          <w:sz w:val="20"/>
          <w:szCs w:val="20"/>
          <w:color w:val="auto"/>
        </w:rPr>
      </w:pPr>
    </w:p>
    <w:p>
      <w:pPr>
        <w:ind w:right="20" w:firstLine="1018"/>
        <w:spacing w:after="0" w:line="289" w:lineRule="auto"/>
        <w:rPr>
          <w:sz w:val="20"/>
          <w:szCs w:val="20"/>
          <w:color w:val="auto"/>
        </w:rPr>
      </w:pPr>
      <w:r>
        <w:rPr>
          <w:rFonts w:ascii="Arial" w:cs="Arial" w:eastAsia="Arial" w:hAnsi="Arial"/>
          <w:sz w:val="16"/>
          <w:szCs w:val="16"/>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280" w:firstLine="1018"/>
        <w:spacing w:after="0" w:line="263"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20"/>
        <w:spacing w:after="0" w:line="286" w:lineRule="auto"/>
        <w:rPr>
          <w:sz w:val="20"/>
          <w:szCs w:val="20"/>
          <w:color w:val="auto"/>
        </w:rPr>
      </w:pPr>
      <w:r>
        <w:rPr>
          <w:rFonts w:ascii="Arial" w:cs="Arial" w:eastAsia="Arial" w:hAnsi="Arial"/>
          <w:sz w:val="16"/>
          <w:szCs w:val="16"/>
          <w:color w:val="auto"/>
        </w:rPr>
        <w:t>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or drug within the RaniPill capsule employ novel technologies that have not yet been approved by the FDA or comparable foreign regulatory authorities, and we anticipate that our applications will have to be submitted as original, standalone BLAs or NDAs.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right="40" w:firstLine="1018"/>
        <w:spacing w:after="0" w:line="271" w:lineRule="auto"/>
        <w:rPr>
          <w:sz w:val="20"/>
          <w:szCs w:val="20"/>
          <w:color w:val="auto"/>
        </w:rPr>
      </w:pPr>
      <w:r>
        <w:rPr>
          <w:rFonts w:ascii="Arial" w:cs="Arial" w:eastAsia="Arial" w:hAnsi="Arial"/>
          <w:sz w:val="17"/>
          <w:szCs w:val="17"/>
          <w:color w:val="auto"/>
        </w:rPr>
        <w:t>We are developing product candidates based on novel technologies, and we, directly or with potential collaboration partners, intend to understand and deliver the requisite demonstration of safety and efficacy that the FDA and comparable foreign regulatory authorities may seek for the approval of our product candidates, which comprise a biologic or drug within the RaniPill capsule. It is possible that the regulatory approval process may take significant time and resources and require deliverables from independent third parties not under our control. For some of our product candidates, the regulatory approval path and requirements may not be clear or may change, which could add significant delay and expense. For example, although we have engaged in pre-submission meetings with the FDA, we have limited feedback from the FDA on the clinical trials that will be necessary to support BLA or NDA submissions for any of our product candidates. Delays or failure to obtain regulatory approval of any of the products that we or potential collaboration partners develop using our novel technologies would adversely affect our business.</w:t>
      </w:r>
    </w:p>
    <w:p>
      <w:pPr>
        <w:spacing w:after="0" w:line="178" w:lineRule="exact"/>
        <w:rPr>
          <w:sz w:val="20"/>
          <w:szCs w:val="20"/>
          <w:color w:val="auto"/>
        </w:rPr>
      </w:pPr>
    </w:p>
    <w:p>
      <w:pPr>
        <w:ind w:right="160" w:firstLine="1018"/>
        <w:spacing w:after="0" w:line="275" w:lineRule="auto"/>
        <w:rPr>
          <w:sz w:val="20"/>
          <w:szCs w:val="20"/>
          <w:color w:val="auto"/>
        </w:rPr>
      </w:pPr>
      <w:r>
        <w:rPr>
          <w:rFonts w:ascii="Arial" w:cs="Arial" w:eastAsia="Arial" w:hAnsi="Arial"/>
          <w:sz w:val="17"/>
          <w:szCs w:val="17"/>
          <w:color w:val="auto"/>
        </w:rPr>
        <w:t>In addition, we are still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clinical data on our product candidates to indicate whether they are safe or effective for long-term use in humans.</w:t>
      </w:r>
    </w:p>
    <w:p>
      <w:pPr>
        <w:spacing w:after="0" w:line="225" w:lineRule="exact"/>
        <w:rPr>
          <w:sz w:val="20"/>
          <w:szCs w:val="20"/>
          <w:color w:val="auto"/>
        </w:rPr>
      </w:pPr>
    </w:p>
    <w:p>
      <w:pPr>
        <w:ind w:right="80" w:firstLine="1018"/>
        <w:spacing w:after="0" w:line="296" w:lineRule="auto"/>
        <w:rPr>
          <w:sz w:val="20"/>
          <w:szCs w:val="20"/>
          <w:color w:val="auto"/>
        </w:rPr>
      </w:pPr>
      <w:r>
        <w:rPr>
          <w:rFonts w:ascii="Arial" w:cs="Arial" w:eastAsia="Arial" w:hAnsi="Arial"/>
          <w:sz w:val="16"/>
          <w:szCs w:val="16"/>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 of RT-101 and Phase 1 clinical trial of RT-102, we tested the RaniPill capsule in a limited number of healthy volunteers. While we have not observed any serious adverse events as a result of these preclinical studies or our clinical trials, we have not widely tested the RaniPill capsule in humans and cannot be certain how the RaniPill capsule will perform when more widely tested in humans in any later clinical trials.</w:t>
      </w:r>
    </w:p>
    <w:p>
      <w:pPr>
        <w:spacing w:after="0" w:line="161"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and/or any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2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firstLine="1018"/>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clinical trial of RT-101 in Australia and a Phase 1 clinical trial of RT-102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1"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49" w:lineRule="exact"/>
        <w:rPr>
          <w:sz w:val="20"/>
          <w:szCs w:val="20"/>
          <w:color w:val="auto"/>
        </w:rPr>
      </w:pPr>
    </w:p>
    <w:p>
      <w:pPr>
        <w:ind w:firstLine="1018"/>
        <w:spacing w:after="0" w:line="257"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8" w:lineRule="exact"/>
        <w:rPr>
          <w:sz w:val="20"/>
          <w:szCs w:val="20"/>
          <w:color w:val="auto"/>
        </w:rPr>
      </w:pPr>
    </w:p>
    <w:p>
      <w:pPr>
        <w:ind w:right="20" w:firstLine="1018"/>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right="500" w:firstLine="1018"/>
        <w:spacing w:after="0" w:line="263" w:lineRule="auto"/>
        <w:rPr>
          <w:sz w:val="20"/>
          <w:szCs w:val="20"/>
          <w:color w:val="auto"/>
        </w:rPr>
      </w:pPr>
      <w:r>
        <w:rPr>
          <w:rFonts w:ascii="Arial" w:cs="Arial" w:eastAsia="Arial" w:hAnsi="Arial"/>
          <w:sz w:val="18"/>
          <w:szCs w:val="18"/>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color w:val="auto"/>
        </w:rPr>
        <w:t>product from the market. If we fail to comply with applicable regulatory requirements, a regulatory authority or enforcement authority may, among other things:</w:t>
      </w:r>
    </w:p>
    <w:p>
      <w:pPr>
        <w:spacing w:after="0" w:line="170" w:lineRule="exact"/>
        <w:rPr>
          <w:sz w:val="20"/>
          <w:szCs w:val="20"/>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right="200" w:firstLine="10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187" w:lineRule="exact"/>
        <w:rPr>
          <w:sz w:val="20"/>
          <w:szCs w:val="20"/>
          <w:color w:val="auto"/>
        </w:rPr>
      </w:pPr>
    </w:p>
    <w:p>
      <w:pPr>
        <w:ind w:left="1400" w:right="80" w:hanging="374"/>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25" w:lineRule="exact"/>
        <w:rPr>
          <w:rFonts w:ascii="Arial" w:cs="Arial" w:eastAsia="Arial" w:hAnsi="Arial"/>
          <w:sz w:val="18"/>
          <w:szCs w:val="18"/>
          <w:color w:val="auto"/>
        </w:rPr>
      </w:pPr>
    </w:p>
    <w:p>
      <w:pPr>
        <w:ind w:left="1400" w:right="420" w:hanging="374"/>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36" w:lineRule="exact"/>
        <w:rPr>
          <w:rFonts w:ascii="Arial" w:cs="Arial" w:eastAsia="Arial" w:hAnsi="Arial"/>
          <w:sz w:val="17"/>
          <w:szCs w:val="17"/>
          <w:color w:val="auto"/>
        </w:rPr>
      </w:pPr>
    </w:p>
    <w:p>
      <w:pPr>
        <w:ind w:left="1400" w:right="120" w:hanging="374"/>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left="1400" w:hanging="37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225"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70"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firstLine="1018"/>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25" w:lineRule="exact"/>
        <w:rPr>
          <w:sz w:val="20"/>
          <w:szCs w:val="20"/>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40" w:firstLine="1018"/>
        <w:spacing w:after="0" w:line="27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and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40"/>
        <w:spacing w:after="0" w:line="259" w:lineRule="auto"/>
        <w:rPr>
          <w:sz w:val="20"/>
          <w:szCs w:val="20"/>
          <w:color w:val="auto"/>
        </w:rPr>
      </w:pPr>
      <w:r>
        <w:rPr>
          <w:rFonts w:ascii="Arial" w:cs="Arial" w:eastAsia="Arial" w:hAnsi="Arial"/>
          <w:sz w:val="18"/>
          <w:szCs w:val="18"/>
          <w:color w:val="auto"/>
        </w:rPr>
        <w:t>Medicaid Services,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187" w:lineRule="exact"/>
        <w:rPr>
          <w:sz w:val="20"/>
          <w:szCs w:val="20"/>
          <w:color w:val="auto"/>
        </w:rPr>
      </w:pPr>
    </w:p>
    <w:p>
      <w:pPr>
        <w:ind w:firstLine="1018"/>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right="280" w:firstLine="1018"/>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jc w:val="both"/>
        <w:ind w:right="240" w:firstLine="1018"/>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right="180" w:firstLine="1018"/>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right="160" w:firstLine="1018"/>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1" w:lineRule="exact"/>
        <w:rPr>
          <w:sz w:val="20"/>
          <w:szCs w:val="20"/>
          <w:color w:val="auto"/>
        </w:rPr>
      </w:pPr>
    </w:p>
    <w:p>
      <w:pPr>
        <w:ind w:right="240" w:firstLine="1018"/>
        <w:spacing w:after="0" w:line="275"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76"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We face competition primarily from current and future (generic and biosimilars) manufacturers of subcutaneous and IV injectable versions of our product candidates, such as AbbVie Inc., Eli Lilly and Company, Novartis AG, Janssen Biotech, Inc.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Amryt Pharma Plc, i2O Therapeutics, Biora Therapeutics, Inc., Intract Pharma, and Novo Nordisk A/S. For example, Amryt Pharma Plc (which announced it is being acquired by Chiesi Farmaceutici SpA) received</w:t>
      </w:r>
    </w:p>
    <w:p>
      <w:pPr>
        <w:spacing w:after="0" w:line="19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20"/>
        <w:spacing w:after="0" w:line="263" w:lineRule="auto"/>
        <w:rPr>
          <w:sz w:val="20"/>
          <w:szCs w:val="20"/>
          <w:color w:val="auto"/>
        </w:rPr>
      </w:pPr>
      <w:r>
        <w:rPr>
          <w:rFonts w:ascii="Arial" w:cs="Arial" w:eastAsia="Arial" w:hAnsi="Arial"/>
          <w:sz w:val="18"/>
          <w:szCs w:val="18"/>
          <w:color w:val="auto"/>
        </w:rPr>
        <w:t>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25" w:lineRule="exact"/>
        <w:rPr>
          <w:sz w:val="20"/>
          <w:szCs w:val="20"/>
          <w:color w:val="auto"/>
        </w:rPr>
      </w:pPr>
    </w:p>
    <w:p>
      <w:pPr>
        <w:ind w:left="1400" w:hanging="374"/>
        <w:spacing w:after="0"/>
        <w:tabs>
          <w:tab w:leader="none" w:pos="1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48" w:lineRule="exact"/>
        <w:rPr>
          <w:rFonts w:ascii="Arial" w:cs="Arial" w:eastAsia="Arial" w:hAnsi="Arial"/>
          <w:sz w:val="16"/>
          <w:szCs w:val="16"/>
          <w:color w:val="auto"/>
        </w:rPr>
      </w:pPr>
    </w:p>
    <w:p>
      <w:pPr>
        <w:ind w:left="1400" w:hanging="374"/>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25" w:lineRule="exact"/>
        <w:rPr>
          <w:rFonts w:ascii="Arial" w:cs="Arial" w:eastAsia="Arial" w:hAnsi="Arial"/>
          <w:sz w:val="18"/>
          <w:szCs w:val="18"/>
          <w:color w:val="auto"/>
        </w:rPr>
      </w:pPr>
    </w:p>
    <w:p>
      <w:pPr>
        <w:ind w:left="1400" w:right="80" w:hanging="374"/>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36" w:lineRule="exact"/>
        <w:rPr>
          <w:rFonts w:ascii="Arial" w:cs="Arial" w:eastAsia="Arial" w:hAnsi="Arial"/>
          <w:sz w:val="17"/>
          <w:szCs w:val="17"/>
          <w:color w:val="auto"/>
        </w:rPr>
      </w:pPr>
    </w:p>
    <w:p>
      <w:pPr>
        <w:ind w:left="1400" w:right="160" w:hanging="374"/>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firstLine="1018"/>
        <w:spacing w:after="0" w:line="287" w:lineRule="auto"/>
        <w:rPr>
          <w:sz w:val="20"/>
          <w:szCs w:val="20"/>
          <w:color w:val="auto"/>
        </w:rPr>
      </w:pPr>
      <w:r>
        <w:rPr>
          <w:rFonts w:ascii="Arial" w:cs="Arial" w:eastAsia="Arial" w:hAnsi="Arial"/>
          <w:sz w:val="16"/>
          <w:szCs w:val="16"/>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jc w:val="both"/>
        <w:ind w:right="280" w:firstLine="1018"/>
        <w:spacing w:after="0" w:line="263" w:lineRule="auto"/>
        <w:rPr>
          <w:sz w:val="20"/>
          <w:szCs w:val="20"/>
          <w:color w:val="auto"/>
        </w:rPr>
      </w:pPr>
      <w:r>
        <w:rPr>
          <w:rFonts w:ascii="Arial" w:cs="Arial" w:eastAsia="Arial" w:hAnsi="Arial"/>
          <w:sz w:val="18"/>
          <w:szCs w:val="18"/>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80"/>
        <w:spacing w:after="0" w:line="269" w:lineRule="auto"/>
        <w:rPr>
          <w:sz w:val="20"/>
          <w:szCs w:val="20"/>
          <w:color w:val="auto"/>
        </w:rPr>
      </w:pPr>
      <w:r>
        <w:rPr>
          <w:rFonts w:ascii="Arial" w:cs="Arial" w:eastAsia="Arial" w:hAnsi="Arial"/>
          <w:sz w:val="17"/>
          <w:szCs w:val="17"/>
          <w:color w:val="auto"/>
        </w:rPr>
        <w:t>the patient population is approximately 25,000 people in the United States as of November 2016, and RT-102, an oral administration of PTH for the treatment of osteoporosis, for which we estimate the patient population is approximately ten million in the United States as of 2018. These estimates, and estimates for our other product candidates,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they are combination products.</w:t>
      </w:r>
    </w:p>
    <w:p>
      <w:pPr>
        <w:spacing w:after="0" w:line="225" w:lineRule="exact"/>
        <w:rPr>
          <w:sz w:val="20"/>
          <w:szCs w:val="20"/>
          <w:color w:val="auto"/>
        </w:rPr>
      </w:pPr>
    </w:p>
    <w:p>
      <w:pPr>
        <w:ind w:firstLine="1018"/>
        <w:spacing w:after="0" w:line="279" w:lineRule="auto"/>
        <w:rPr>
          <w:sz w:val="20"/>
          <w:szCs w:val="20"/>
          <w:color w:val="auto"/>
        </w:rPr>
      </w:pPr>
      <w:r>
        <w:rPr>
          <w:rFonts w:ascii="Arial" w:cs="Arial" w:eastAsia="Arial" w:hAnsi="Arial"/>
          <w:sz w:val="17"/>
          <w:szCs w:val="17"/>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firstLine="1018"/>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31"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In the past, we have entered into evaluation agreements with Takeda and certain other pharmaceutical companies concerning the formulation and manufacture of oral versions of Factor VIII and other molecules. In January 2023, we entered into a License and Supply Agreement with Celltrion, under which we receive supply of ustekinumab biosimilar from Celltrion for RT-111 and Celltrion has a right of first negotiation to obtain development and commercialization rights for RT-111 (a “Collaboration”) after</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200"/>
        <w:spacing w:after="0" w:line="342" w:lineRule="auto"/>
        <w:rPr>
          <w:sz w:val="20"/>
          <w:szCs w:val="20"/>
          <w:color w:val="auto"/>
        </w:rPr>
      </w:pPr>
      <w:r>
        <w:rPr>
          <w:rFonts w:ascii="Arial" w:cs="Arial" w:eastAsia="Arial" w:hAnsi="Arial"/>
          <w:sz w:val="16"/>
          <w:szCs w:val="16"/>
          <w:color w:val="auto"/>
        </w:rPr>
        <w:t>completion of a Phase 1 clinical trial that meets its primary endpoint(s). If we complete such clinical trial, Celltrion exercises its right of first negotiation, and the parties enter into a Collaboration, we may be reliant on Celltrion to develop and commercialize RT-111 in certain countries or worldwide.</w:t>
      </w:r>
    </w:p>
    <w:p>
      <w:pPr>
        <w:spacing w:after="0" w:line="124" w:lineRule="exact"/>
        <w:rPr>
          <w:sz w:val="20"/>
          <w:szCs w:val="20"/>
          <w:color w:val="auto"/>
        </w:rPr>
      </w:pPr>
    </w:p>
    <w:p>
      <w:pPr>
        <w:ind w:right="60" w:firstLine="1018"/>
        <w:spacing w:after="0" w:line="254" w:lineRule="auto"/>
        <w:rPr>
          <w:sz w:val="20"/>
          <w:szCs w:val="20"/>
          <w:color w:val="auto"/>
        </w:rPr>
      </w:pPr>
      <w:r>
        <w:rPr>
          <w:rFonts w:ascii="Arial" w:cs="Arial" w:eastAsia="Arial" w:hAnsi="Arial"/>
          <w:sz w:val="18"/>
          <w:szCs w:val="18"/>
          <w:color w:val="auto"/>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92" w:lineRule="exact"/>
        <w:rPr>
          <w:sz w:val="20"/>
          <w:szCs w:val="20"/>
          <w:color w:val="auto"/>
        </w:rPr>
      </w:pPr>
    </w:p>
    <w:p>
      <w:pPr>
        <w:ind w:right="20" w:firstLine="1018"/>
        <w:spacing w:after="0" w:line="270" w:lineRule="auto"/>
        <w:rPr>
          <w:sz w:val="20"/>
          <w:szCs w:val="20"/>
          <w:color w:val="auto"/>
        </w:rPr>
      </w:pPr>
      <w:r>
        <w:rPr>
          <w:rFonts w:ascii="Arial" w:cs="Arial" w:eastAsia="Arial" w:hAnsi="Arial"/>
          <w:sz w:val="17"/>
          <w:szCs w:val="17"/>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spacing w:after="0" w:line="181"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firstLine="1018"/>
        <w:spacing w:after="0" w:line="254" w:lineRule="auto"/>
        <w:rPr>
          <w:sz w:val="20"/>
          <w:szCs w:val="20"/>
          <w:color w:val="auto"/>
        </w:rPr>
      </w:pPr>
      <w:r>
        <w:rPr>
          <w:rFonts w:ascii="Arial" w:cs="Arial" w:eastAsia="Arial" w:hAnsi="Arial"/>
          <w:sz w:val="18"/>
          <w:szCs w:val="18"/>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195"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reductions in the payment of royalties or other payments we believe are due pursuant to the applicable collaboration arrangement;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actions taken by a partner inside or outside our collaboration which could negatively impact our rights or benefits under our collaboration; or</w:t>
      </w:r>
    </w:p>
    <w:p>
      <w:pPr>
        <w:spacing w:after="0" w:line="140"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jc w:val="both"/>
        <w:ind w:right="160" w:firstLine="1018"/>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right="340" w:firstLine="1018"/>
        <w:spacing w:after="0" w:line="277"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20"/>
        <w:spacing w:after="0" w:line="287" w:lineRule="auto"/>
        <w:rPr>
          <w:sz w:val="20"/>
          <w:szCs w:val="20"/>
          <w:color w:val="auto"/>
        </w:rPr>
      </w:pPr>
      <w:r>
        <w:rPr>
          <w:rFonts w:ascii="Arial" w:cs="Arial" w:eastAsia="Arial" w:hAnsi="Arial"/>
          <w:sz w:val="16"/>
          <w:szCs w:val="16"/>
          <w:color w:val="auto"/>
        </w:rPr>
        <w:t>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2" w:lineRule="exact"/>
        <w:rPr>
          <w:sz w:val="20"/>
          <w:szCs w:val="20"/>
          <w:color w:val="auto"/>
        </w:rPr>
      </w:pPr>
    </w:p>
    <w:p>
      <w:pPr>
        <w:ind w:right="80" w:firstLine="1018"/>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right="20" w:firstLine="101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right="160" w:firstLine="1018"/>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third-party suppliers for key materials used in our manufacturing processes as well as for the manufacturing of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87"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w:t>
      </w:r>
    </w:p>
    <w:p>
      <w:pPr>
        <w:spacing w:after="0" w:line="187" w:lineRule="exact"/>
        <w:rPr>
          <w:sz w:val="20"/>
          <w:szCs w:val="20"/>
          <w:color w:val="auto"/>
        </w:rPr>
      </w:pPr>
    </w:p>
    <w:p>
      <w:pPr>
        <w:ind w:right="100" w:firstLine="1018"/>
        <w:spacing w:after="0" w:line="269" w:lineRule="auto"/>
        <w:rPr>
          <w:sz w:val="20"/>
          <w:szCs w:val="20"/>
          <w:color w:val="auto"/>
        </w:rPr>
      </w:pPr>
      <w:r>
        <w:rPr>
          <w:rFonts w:ascii="Arial" w:cs="Arial" w:eastAsia="Arial" w:hAnsi="Arial"/>
          <w:sz w:val="17"/>
          <w:szCs w:val="17"/>
          <w:color w:val="auto"/>
        </w:rPr>
        <w:t>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firstLine="1018"/>
        <w:spacing w:after="0" w:line="271" w:lineRule="auto"/>
        <w:rPr>
          <w:sz w:val="20"/>
          <w:szCs w:val="20"/>
          <w:color w:val="auto"/>
        </w:rPr>
      </w:pPr>
      <w:r>
        <w:rPr>
          <w:rFonts w:ascii="Arial" w:cs="Arial" w:eastAsia="Arial" w:hAnsi="Arial"/>
          <w:sz w:val="17"/>
          <w:szCs w:val="17"/>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78"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January 2023, we entered into a License and Supply Agreement with Celltrion, under which Celltrion has a right of first negotiation to obtain development and commercialization rights for RT-111 after completion of a Phase 1 clinical trial that meets its primary endpoint(s). Even if we complete such clinical trial, Celltrion may not exercise its right of first negotiation, or if it does exercise such right we may not be able to agree on terms favorable to us or acceptable to us or Celltrion. Accordingly, there can be no assurance that we will complete the required development of RT-111, that Celltrion will exercise its right of first negotiation if we do, or that the parties will enter into a Collaboration following any such exercise of the right of first negotiation.</w:t>
      </w:r>
    </w:p>
    <w:p>
      <w:pPr>
        <w:spacing w:after="0" w:line="192"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65" w:lineRule="exact"/>
        <w:rPr>
          <w:sz w:val="20"/>
          <w:szCs w:val="20"/>
          <w:color w:val="auto"/>
        </w:rPr>
      </w:pPr>
    </w:p>
    <w:p>
      <w:pPr>
        <w:ind w:right="60" w:firstLine="1018"/>
        <w:spacing w:after="0" w:line="255" w:lineRule="auto"/>
        <w:rPr>
          <w:sz w:val="20"/>
          <w:szCs w:val="20"/>
          <w:color w:val="auto"/>
        </w:rPr>
      </w:pPr>
      <w:r>
        <w:rPr>
          <w:rFonts w:ascii="Arial" w:cs="Arial" w:eastAsia="Arial" w:hAnsi="Arial"/>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11" w:lineRule="exact"/>
        <w:rPr>
          <w:sz w:val="20"/>
          <w:szCs w:val="20"/>
          <w:color w:val="auto"/>
        </w:rPr>
      </w:pPr>
    </w:p>
    <w:p>
      <w:pPr>
        <w:ind w:left="1400" w:right="60" w:hanging="374"/>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170" w:lineRule="exact"/>
        <w:rPr>
          <w:rFonts w:ascii="Arial" w:cs="Arial" w:eastAsia="Arial" w:hAnsi="Arial"/>
          <w:sz w:val="18"/>
          <w:szCs w:val="18"/>
          <w:color w:val="auto"/>
        </w:rPr>
      </w:pPr>
    </w:p>
    <w:p>
      <w:pPr>
        <w:ind w:left="1400" w:right="180" w:hanging="374"/>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25" w:lineRule="exact"/>
        <w:rPr>
          <w:rFonts w:ascii="Arial" w:cs="Arial" w:eastAsia="Arial" w:hAnsi="Arial"/>
          <w:sz w:val="18"/>
          <w:szCs w:val="18"/>
          <w:color w:val="auto"/>
        </w:rPr>
      </w:pPr>
    </w:p>
    <w:p>
      <w:pPr>
        <w:ind w:left="1400" w:right="220" w:hanging="374"/>
        <w:spacing w:after="0" w:line="342" w:lineRule="auto"/>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40" w:firstLine="1018"/>
        <w:spacing w:after="0" w:line="293"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firstLine="1018"/>
        <w:spacing w:after="0" w:line="287" w:lineRule="auto"/>
        <w:rPr>
          <w:sz w:val="20"/>
          <w:szCs w:val="20"/>
          <w:color w:val="auto"/>
        </w:rPr>
      </w:pPr>
      <w:r>
        <w:rPr>
          <w:rFonts w:ascii="Arial" w:cs="Arial" w:eastAsia="Arial" w:hAnsi="Arial"/>
          <w:sz w:val="16"/>
          <w:szCs w:val="16"/>
          <w:color w:val="auto"/>
        </w:rPr>
        <w:t>We currently have no product candidates that are in late-stage clinical trials or are approved for commercial sale, and we may never be able to develop a marketable product. We have a limited number of product candidates in early clinical development. We expect that a substantial portion of our efforts and expenditures over the next few years will be devoted to the development of the RaniPill platform that is designed to enable the oral administration of a broad range of biologics and drugs used to treat multiple diseases and disorders. The RaniPill capsule may not receive regulatory approval in connection with any biologic or drug or, if approved, it may not be successfully commercialized. The research, testing, manufacturing, labeling, approval, sale, marketing and distribution of our product candidates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or NDA from the FDA, or a similar marketing authorization from comparable authorities in any foreign countries until after approval of a marketing application by corresponding foreign regulatory authorities. We have conducted early clinical development of some of our product candidates. We will need to conduct larger, more extensive clinical trials in the target patient populations for these product candidates and their indications to support a potential application for regulatory approval by the FDA or corresponding foreign regulatory authorities.</w:t>
      </w:r>
    </w:p>
    <w:p>
      <w:pPr>
        <w:spacing w:after="0" w:line="168" w:lineRule="exact"/>
        <w:rPr>
          <w:sz w:val="20"/>
          <w:szCs w:val="20"/>
          <w:color w:val="auto"/>
        </w:rPr>
      </w:pPr>
    </w:p>
    <w:p>
      <w:pPr>
        <w:ind w:right="60" w:firstLine="1018"/>
        <w:spacing w:after="0" w:line="279" w:lineRule="auto"/>
        <w:rPr>
          <w:sz w:val="20"/>
          <w:szCs w:val="20"/>
          <w:color w:val="auto"/>
        </w:rPr>
      </w:pPr>
      <w:r>
        <w:rPr>
          <w:rFonts w:ascii="Arial" w:cs="Arial" w:eastAsia="Arial" w:hAnsi="Arial"/>
          <w:sz w:val="17"/>
          <w:szCs w:val="17"/>
          <w:color w:val="auto"/>
        </w:rPr>
        <w:t>We have not previously submitted a BLA or NDA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or drug product candidate is an extensive, lengthy, expensive and inherently uncertain process, and the regulatory authorities may delay, limit or deny approval of our product candidates for many reasons, including:</w:t>
      </w:r>
    </w:p>
    <w:p>
      <w:pPr>
        <w:spacing w:after="0" w:line="171" w:lineRule="exact"/>
        <w:rPr>
          <w:sz w:val="20"/>
          <w:szCs w:val="20"/>
          <w:color w:val="auto"/>
        </w:rPr>
      </w:pPr>
    </w:p>
    <w:p>
      <w:pPr>
        <w:ind w:left="1400" w:right="10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70" w:lineRule="exact"/>
        <w:rPr>
          <w:rFonts w:ascii="Arial" w:cs="Arial" w:eastAsia="Arial" w:hAnsi="Arial"/>
          <w:sz w:val="18"/>
          <w:szCs w:val="18"/>
          <w:color w:val="auto"/>
        </w:rPr>
      </w:pPr>
    </w:p>
    <w:p>
      <w:pPr>
        <w:ind w:left="1400" w:right="56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70" w:lineRule="exact"/>
        <w:rPr>
          <w:rFonts w:ascii="Arial" w:cs="Arial" w:eastAsia="Arial" w:hAnsi="Arial"/>
          <w:sz w:val="18"/>
          <w:szCs w:val="18"/>
          <w:color w:val="auto"/>
        </w:rPr>
      </w:pPr>
    </w:p>
    <w:p>
      <w:pPr>
        <w:ind w:left="1400" w:right="18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400" w:right="14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70" w:lineRule="exact"/>
        <w:rPr>
          <w:rFonts w:ascii="Arial" w:cs="Arial" w:eastAsia="Arial" w:hAnsi="Arial"/>
          <w:sz w:val="18"/>
          <w:szCs w:val="18"/>
          <w:color w:val="auto"/>
        </w:rPr>
      </w:pPr>
    </w:p>
    <w:p>
      <w:pPr>
        <w:ind w:left="1400" w:right="24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70" w:lineRule="exact"/>
        <w:rPr>
          <w:rFonts w:ascii="Arial" w:cs="Arial" w:eastAsia="Arial" w:hAnsi="Arial"/>
          <w:sz w:val="18"/>
          <w:szCs w:val="18"/>
          <w:color w:val="auto"/>
        </w:rPr>
      </w:pPr>
    </w:p>
    <w:p>
      <w:pPr>
        <w:ind w:left="1400" w:right="480" w:hanging="374"/>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70" w:lineRule="exact"/>
        <w:rPr>
          <w:rFonts w:ascii="Arial" w:cs="Arial" w:eastAsia="Arial" w:hAnsi="Arial"/>
          <w:sz w:val="18"/>
          <w:szCs w:val="18"/>
          <w:color w:val="auto"/>
        </w:rPr>
      </w:pPr>
    </w:p>
    <w:p>
      <w:pPr>
        <w:ind w:left="1400" w:right="240" w:hanging="374"/>
        <w:spacing w:after="0" w:line="263"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right="480" w:firstLine="1018"/>
        <w:spacing w:after="0" w:line="277" w:lineRule="auto"/>
        <w:rPr>
          <w:sz w:val="20"/>
          <w:szCs w:val="20"/>
          <w:color w:val="auto"/>
        </w:rPr>
      </w:pPr>
      <w:r>
        <w:rPr>
          <w:rFonts w:ascii="Arial" w:cs="Arial" w:eastAsia="Arial" w:hAnsi="Arial"/>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ind w:right="80"/>
        <w:spacing w:after="0" w:line="286" w:lineRule="auto"/>
        <w:rPr>
          <w:sz w:val="20"/>
          <w:szCs w:val="20"/>
          <w:color w:val="auto"/>
        </w:rPr>
      </w:pPr>
      <w:r>
        <w:rPr>
          <w:rFonts w:ascii="Arial" w:cs="Arial" w:eastAsia="Arial" w:hAnsi="Arial"/>
          <w:sz w:val="17"/>
          <w:szCs w:val="17"/>
          <w:color w:val="auto"/>
        </w:rPr>
        <w:t>and building of or partnering with a commercial organization. Our planned clinical trials for our product candidates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impact the costs, timing or successful completion of a clinical trial.</w:t>
      </w:r>
    </w:p>
    <w:p>
      <w:pPr>
        <w:spacing w:after="0" w:line="184" w:lineRule="exact"/>
        <w:rPr>
          <w:sz w:val="20"/>
          <w:szCs w:val="20"/>
          <w:color w:val="auto"/>
        </w:rPr>
      </w:pPr>
    </w:p>
    <w:p>
      <w:pPr>
        <w:ind w:right="180" w:firstLine="1018"/>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right="20" w:firstLine="1018"/>
        <w:spacing w:after="0" w:line="254" w:lineRule="auto"/>
        <w:rPr>
          <w:sz w:val="20"/>
          <w:szCs w:val="20"/>
          <w:color w:val="auto"/>
        </w:rPr>
      </w:pPr>
      <w:r>
        <w:rPr>
          <w:rFonts w:ascii="Arial" w:cs="Arial" w:eastAsia="Arial" w:hAnsi="Arial"/>
          <w:sz w:val="18"/>
          <w:szCs w:val="18"/>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Most of our product candidates are in research or preclinical development and have not entered into clinical trials. If we are unable to develop, test and commercialize our product candidates, our business will be adversely affected.</w:t>
      </w:r>
    </w:p>
    <w:p>
      <w:pPr>
        <w:spacing w:after="0" w:line="170" w:lineRule="exact"/>
        <w:rPr>
          <w:sz w:val="20"/>
          <w:szCs w:val="20"/>
          <w:color w:val="auto"/>
        </w:rPr>
      </w:pPr>
    </w:p>
    <w:p>
      <w:pPr>
        <w:ind w:right="220" w:firstLine="1018"/>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57" w:lineRule="exact"/>
        <w:rPr>
          <w:sz w:val="20"/>
          <w:szCs w:val="20"/>
          <w:color w:val="auto"/>
        </w:rPr>
      </w:pPr>
    </w:p>
    <w:p>
      <w:pPr>
        <w:ind w:left="1400" w:hanging="374"/>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25" w:lineRule="exact"/>
        <w:rPr>
          <w:rFonts w:ascii="Arial" w:cs="Arial" w:eastAsia="Arial" w:hAnsi="Arial"/>
          <w:sz w:val="18"/>
          <w:szCs w:val="18"/>
          <w:color w:val="auto"/>
        </w:rPr>
      </w:pPr>
    </w:p>
    <w:p>
      <w:pPr>
        <w:ind w:left="1400" w:right="600" w:hanging="374"/>
        <w:spacing w:after="0" w:line="277" w:lineRule="auto"/>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left="1400" w:hanging="374"/>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right="100" w:firstLine="1018"/>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25" w:lineRule="exact"/>
        <w:rPr>
          <w:sz w:val="20"/>
          <w:szCs w:val="20"/>
          <w:color w:val="auto"/>
        </w:rPr>
      </w:pPr>
    </w:p>
    <w:p>
      <w:pPr>
        <w:ind w:left="1400" w:right="760" w:hanging="374"/>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36" w:lineRule="exact"/>
        <w:rPr>
          <w:rFonts w:ascii="Arial" w:cs="Arial" w:eastAsia="Arial" w:hAnsi="Arial"/>
          <w:sz w:val="17"/>
          <w:szCs w:val="17"/>
          <w:color w:val="auto"/>
        </w:rPr>
      </w:pPr>
    </w:p>
    <w:p>
      <w:pPr>
        <w:ind w:left="1400" w:right="120" w:hanging="374"/>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jc w:val="both"/>
        <w:ind w:right="140" w:firstLine="1018"/>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right="40" w:firstLine="1018"/>
        <w:spacing w:after="0" w:line="293"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 mg of a biologic, which we refer to as payload capacity. While we are developing an oral delivery capsule intended to deliver up to 20 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a result of a failure in any one of these factors, our business, financial condition and results of operations could be adversely affected.</w:t>
      </w:r>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high-capacity oral delivery device, RaniPill HC, is in early stages of development, and it is subject to the inherent risks and uncertainties of developing a novel, innovative technology. Our efforts to develop RaniPill HC may not be successful.</w:t>
      </w:r>
    </w:p>
    <w:p>
      <w:pPr>
        <w:spacing w:after="0" w:line="170"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believes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60"/>
        <w:spacing w:after="0" w:line="342" w:lineRule="auto"/>
        <w:rPr>
          <w:sz w:val="20"/>
          <w:szCs w:val="20"/>
          <w:color w:val="auto"/>
        </w:rPr>
      </w:pPr>
      <w:r>
        <w:rPr>
          <w:rFonts w:ascii="Arial" w:cs="Arial" w:eastAsia="Arial" w:hAnsi="Arial"/>
          <w:sz w:val="16"/>
          <w:szCs w:val="16"/>
          <w:color w:val="auto"/>
        </w:rPr>
        <w:t>use common components or processes between the RaniPill GO and RaniPill HC. Any of the foregoing factors or circumstances may adversely affect our business prospects, our attractiveness as a business partner or collaborator, our ability to raise additional capital, and our financial results.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177" w:lineRule="exact"/>
        <w:rPr>
          <w:sz w:val="20"/>
          <w:szCs w:val="20"/>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firstLine="1018"/>
        <w:spacing w:after="0" w:line="291" w:lineRule="auto"/>
        <w:rPr>
          <w:sz w:val="20"/>
          <w:szCs w:val="20"/>
          <w:color w:val="auto"/>
        </w:rPr>
      </w:pPr>
      <w:r>
        <w:rPr>
          <w:rFonts w:ascii="Arial" w:cs="Arial" w:eastAsia="Arial" w:hAnsi="Arial"/>
          <w:sz w:val="16"/>
          <w:szCs w:val="16"/>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540"/>
        <w:spacing w:after="0" w:line="277" w:lineRule="auto"/>
        <w:rPr>
          <w:sz w:val="20"/>
          <w:szCs w:val="20"/>
          <w:color w:val="auto"/>
        </w:rPr>
      </w:pPr>
      <w:r>
        <w:rPr>
          <w:rFonts w:ascii="Arial" w:cs="Arial" w:eastAsia="Arial" w:hAnsi="Arial"/>
          <w:sz w:val="18"/>
          <w:szCs w:val="18"/>
          <w:color w:val="auto"/>
        </w:rPr>
        <w:t>and risks are applicable to the suppliers of the key raw material used to manufacture the active pharmaceutical ingredients or drug substances for the biologics of our product candidates.</w:t>
      </w:r>
    </w:p>
    <w:p>
      <w:pPr>
        <w:spacing w:after="0" w:line="170" w:lineRule="exact"/>
        <w:rPr>
          <w:sz w:val="20"/>
          <w:szCs w:val="20"/>
          <w:color w:val="auto"/>
        </w:rPr>
      </w:pPr>
    </w:p>
    <w:p>
      <w:pPr>
        <w:ind w:right="40" w:firstLine="1018"/>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right="100" w:firstLine="1018"/>
        <w:spacing w:after="0" w:line="291"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66" w:lineRule="exact"/>
        <w:rPr>
          <w:sz w:val="20"/>
          <w:szCs w:val="20"/>
          <w:color w:val="auto"/>
        </w:rPr>
      </w:pPr>
    </w:p>
    <w:p>
      <w:pPr>
        <w:ind w:firstLine="1018"/>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 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right="420" w:firstLine="1018"/>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right="620"/>
        <w:spacing w:after="0" w:line="381" w:lineRule="auto"/>
        <w:rPr>
          <w:sz w:val="20"/>
          <w:szCs w:val="20"/>
          <w:color w:val="auto"/>
        </w:rPr>
      </w:pPr>
      <w:r>
        <w:rPr>
          <w:rFonts w:ascii="Arial" w:cs="Arial" w:eastAsia="Arial" w:hAnsi="Arial"/>
          <w:sz w:val="15"/>
          <w:szCs w:val="15"/>
          <w:b w:val="1"/>
          <w:bCs w:val="1"/>
          <w:i w:val="1"/>
          <w:iCs w:val="1"/>
          <w:color w:val="auto"/>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spacing w:after="0" w:line="100" w:lineRule="exact"/>
        <w:rPr>
          <w:sz w:val="20"/>
          <w:szCs w:val="20"/>
          <w:color w:val="auto"/>
        </w:rPr>
      </w:pPr>
    </w:p>
    <w:p>
      <w:pPr>
        <w:ind w:right="20" w:firstLine="1018"/>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178" w:lineRule="exact"/>
        <w:rPr>
          <w:sz w:val="20"/>
          <w:szCs w:val="20"/>
          <w:color w:val="auto"/>
        </w:rPr>
      </w:pPr>
    </w:p>
    <w:p>
      <w:pPr>
        <w:ind w:left="1400" w:right="20" w:hanging="374"/>
        <w:spacing w:after="0" w:line="275" w:lineRule="auto"/>
        <w:tabs>
          <w:tab w:leader="none" w:pos="1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1400" w:hanging="374"/>
        <w:spacing w:after="0" w:line="270" w:lineRule="auto"/>
        <w:tabs>
          <w:tab w:leader="none" w:pos="1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180" w:lineRule="exact"/>
        <w:rPr>
          <w:rFonts w:ascii="Arial" w:cs="Arial" w:eastAsia="Arial" w:hAnsi="Arial"/>
          <w:sz w:val="17"/>
          <w:szCs w:val="17"/>
          <w:color w:val="auto"/>
        </w:rPr>
      </w:pPr>
    </w:p>
    <w:p>
      <w:pPr>
        <w:ind w:left="1400" w:right="80" w:hanging="374"/>
        <w:spacing w:after="0" w:line="254"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1" w:lineRule="exact"/>
        <w:rPr>
          <w:rFonts w:ascii="Arial" w:cs="Arial" w:eastAsia="Arial" w:hAnsi="Arial"/>
          <w:sz w:val="18"/>
          <w:szCs w:val="18"/>
          <w:color w:val="auto"/>
        </w:rPr>
      </w:pPr>
    </w:p>
    <w:p>
      <w:pPr>
        <w:ind w:left="1400" w:right="60" w:hanging="374"/>
        <w:spacing w:after="0" w:line="254"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1" w:lineRule="exact"/>
        <w:rPr>
          <w:rFonts w:ascii="Arial" w:cs="Arial" w:eastAsia="Arial" w:hAnsi="Arial"/>
          <w:sz w:val="18"/>
          <w:szCs w:val="18"/>
          <w:color w:val="auto"/>
        </w:rPr>
      </w:pPr>
    </w:p>
    <w:p>
      <w:pPr>
        <w:ind w:left="1400" w:right="40" w:hanging="374"/>
        <w:spacing w:after="0" w:line="263"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83" w:lineRule="exact"/>
        <w:rPr>
          <w:rFonts w:ascii="Arial" w:cs="Arial" w:eastAsia="Arial" w:hAnsi="Arial"/>
          <w:sz w:val="18"/>
          <w:szCs w:val="18"/>
          <w:color w:val="auto"/>
        </w:rPr>
      </w:pPr>
    </w:p>
    <w:p>
      <w:pPr>
        <w:ind w:left="1400" w:right="60" w:hanging="374"/>
        <w:spacing w:after="0" w:line="293"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w:t>
      </w:r>
    </w:p>
    <w:p>
      <w:pPr>
        <w:spacing w:after="0" w:line="164" w:lineRule="exact"/>
        <w:rPr>
          <w:rFonts w:ascii="Arial" w:cs="Arial" w:eastAsia="Arial" w:hAnsi="Arial"/>
          <w:sz w:val="16"/>
          <w:szCs w:val="16"/>
          <w:color w:val="auto"/>
        </w:rPr>
      </w:pPr>
    </w:p>
    <w:p>
      <w:pPr>
        <w:ind w:left="1400" w:right="20" w:hanging="374"/>
        <w:spacing w:after="0" w:line="290"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data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spacing w:after="0" w:line="279" w:lineRule="auto"/>
        <w:rPr>
          <w:sz w:val="20"/>
          <w:szCs w:val="20"/>
          <w:color w:val="auto"/>
        </w:rPr>
      </w:pPr>
      <w:r>
        <w:rPr>
          <w:rFonts w:ascii="Arial" w:cs="Arial" w:eastAsia="Arial" w:hAnsi="Arial"/>
          <w:sz w:val="17"/>
          <w:szCs w:val="17"/>
          <w:color w:val="auto"/>
        </w:rPr>
        <w:t>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71" w:lineRule="exact"/>
        <w:rPr>
          <w:sz w:val="20"/>
          <w:szCs w:val="20"/>
          <w:color w:val="auto"/>
        </w:rPr>
      </w:pPr>
    </w:p>
    <w:p>
      <w:pPr>
        <w:ind w:right="20" w:firstLine="1018"/>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right="20" w:firstLine="1018"/>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380" w:firstLine="1018"/>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right="40" w:firstLine="1018"/>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176" w:lineRule="exact"/>
        <w:rPr>
          <w:sz w:val="20"/>
          <w:szCs w:val="20"/>
          <w:color w:val="auto"/>
        </w:rPr>
      </w:pPr>
    </w:p>
    <w:p>
      <w:pPr>
        <w:jc w:val="both"/>
        <w:ind w:left="1400" w:right="120" w:hanging="374"/>
        <w:spacing w:after="0" w:line="263"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1400" w:right="380" w:hanging="374"/>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25" w:lineRule="exact"/>
        <w:rPr>
          <w:rFonts w:ascii="Arial" w:cs="Arial" w:eastAsia="Arial" w:hAnsi="Arial"/>
          <w:sz w:val="18"/>
          <w:szCs w:val="18"/>
          <w:color w:val="auto"/>
        </w:rPr>
      </w:pPr>
    </w:p>
    <w:p>
      <w:pPr>
        <w:ind w:left="1400" w:right="100" w:hanging="374"/>
        <w:spacing w:after="0" w:line="259"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186" w:lineRule="exact"/>
        <w:rPr>
          <w:rFonts w:ascii="Arial" w:cs="Arial" w:eastAsia="Arial" w:hAnsi="Arial"/>
          <w:sz w:val="18"/>
          <w:szCs w:val="18"/>
          <w:color w:val="auto"/>
        </w:rPr>
      </w:pPr>
    </w:p>
    <w:p>
      <w:pPr>
        <w:ind w:left="1400" w:hanging="37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left="1400" w:right="280" w:hanging="374"/>
        <w:spacing w:after="0" w:line="277" w:lineRule="auto"/>
        <w:tabs>
          <w:tab w:leader="none" w:pos="1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w:t>
      </w:r>
    </w:p>
    <w:p>
      <w:pPr>
        <w:spacing w:after="0" w:line="184" w:lineRule="exact"/>
        <w:rPr>
          <w:sz w:val="20"/>
          <w:szCs w:val="20"/>
          <w:color w:val="auto"/>
        </w:rPr>
      </w:pPr>
    </w:p>
    <w:p>
      <w:pPr>
        <w:ind w:right="80" w:firstLine="1018"/>
        <w:spacing w:after="0" w:line="290" w:lineRule="auto"/>
        <w:rPr>
          <w:sz w:val="20"/>
          <w:szCs w:val="20"/>
          <w:color w:val="auto"/>
        </w:rPr>
      </w:pPr>
      <w:r>
        <w:rPr>
          <w:rFonts w:ascii="Arial" w:cs="Arial" w:eastAsia="Arial" w:hAnsi="Arial"/>
          <w:sz w:val="16"/>
          <w:szCs w:val="16"/>
          <w:color w:val="auto"/>
        </w:rPr>
        <w:t>Moreover, prior to the U.S. Supreme Court ruling, on January 28, 2021, President Biden issued an executive order that initiated a special enrollment period coverage through the Affordable Care Act marketplace, and instructed certain governmental agencies to review and reconsider their existing policies and rules that limit access to healthcare.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165" w:lineRule="exact"/>
        <w:rPr>
          <w:sz w:val="20"/>
          <w:szCs w:val="20"/>
          <w:color w:val="auto"/>
        </w:rPr>
      </w:pPr>
    </w:p>
    <w:p>
      <w:pPr>
        <w:ind w:right="220" w:firstLine="1018"/>
        <w:spacing w:after="0" w:line="275"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Under current legislation the actual reduction in Medicare payments will vary from 1% in 2022 to up to 4% in the final fiscal year of this sequester. Further, Congress is considering additional health reform measures.</w:t>
      </w:r>
    </w:p>
    <w:p>
      <w:pPr>
        <w:spacing w:after="0" w:line="176" w:lineRule="exact"/>
        <w:rPr>
          <w:sz w:val="20"/>
          <w:szCs w:val="20"/>
          <w:color w:val="auto"/>
        </w:rPr>
      </w:pPr>
    </w:p>
    <w:p>
      <w:pPr>
        <w:ind w:right="20" w:firstLine="1018"/>
        <w:spacing w:after="0" w:line="285" w:lineRule="auto"/>
        <w:rPr>
          <w:sz w:val="20"/>
          <w:szCs w:val="20"/>
          <w:color w:val="auto"/>
        </w:rPr>
      </w:pPr>
      <w:r>
        <w:rPr>
          <w:rFonts w:ascii="Arial" w:cs="Arial" w:eastAsia="Arial" w:hAnsi="Arial"/>
          <w:sz w:val="16"/>
          <w:szCs w:val="16"/>
          <w:color w:val="auto"/>
        </w:rPr>
        <w:t>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6"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6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right="220" w:firstLine="1018"/>
        <w:spacing w:after="0" w:line="270" w:lineRule="auto"/>
        <w:rPr>
          <w:sz w:val="20"/>
          <w:szCs w:val="20"/>
          <w:color w:val="auto"/>
        </w:rPr>
      </w:pPr>
      <w:r>
        <w:rPr>
          <w:rFonts w:ascii="Arial" w:cs="Arial" w:eastAsia="Arial" w:hAnsi="Arial"/>
          <w:sz w:val="17"/>
          <w:szCs w:val="17"/>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Chairman, Mir Imran, and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81" w:lineRule="exact"/>
        <w:rPr>
          <w:sz w:val="20"/>
          <w:szCs w:val="20"/>
          <w:color w:val="auto"/>
        </w:rPr>
      </w:pPr>
    </w:p>
    <w:p>
      <w:pPr>
        <w:ind w:right="240" w:firstLine="1018"/>
        <w:spacing w:after="0" w:line="293" w:lineRule="auto"/>
        <w:rPr>
          <w:sz w:val="20"/>
          <w:szCs w:val="20"/>
          <w:color w:val="auto"/>
        </w:rPr>
      </w:pPr>
      <w:r>
        <w:rPr>
          <w:rFonts w:ascii="Arial" w:cs="Arial" w:eastAsia="Arial" w:hAnsi="Arial"/>
          <w:sz w:val="16"/>
          <w:szCs w:val="16"/>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jc w:val="both"/>
        <w:ind w:right="200" w:firstLine="1018"/>
        <w:spacing w:after="0" w:line="263" w:lineRule="auto"/>
        <w:rPr>
          <w:sz w:val="20"/>
          <w:szCs w:val="20"/>
          <w:color w:val="auto"/>
        </w:rPr>
      </w:pPr>
      <w:r>
        <w:rPr>
          <w:rFonts w:ascii="Arial" w:cs="Arial" w:eastAsia="Arial" w:hAnsi="Arial"/>
          <w:sz w:val="18"/>
          <w:szCs w:val="18"/>
          <w:color w:val="auto"/>
        </w:rPr>
        <w:t>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84" w:lineRule="exact"/>
        <w:rPr>
          <w:sz w:val="20"/>
          <w:szCs w:val="20"/>
          <w:color w:val="auto"/>
        </w:rPr>
      </w:pPr>
    </w:p>
    <w:p>
      <w:pPr>
        <w:ind w:left="1400" w:hanging="374"/>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right="180" w:firstLine="1018"/>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78" w:lineRule="exact"/>
        <w:rPr>
          <w:sz w:val="20"/>
          <w:szCs w:val="20"/>
          <w:color w:val="auto"/>
        </w:rPr>
      </w:pPr>
    </w:p>
    <w:p>
      <w:pPr>
        <w:ind w:left="1400" w:hanging="37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25" w:lineRule="exact"/>
        <w:rPr>
          <w:rFonts w:ascii="Arial" w:cs="Arial" w:eastAsia="Arial" w:hAnsi="Arial"/>
          <w:sz w:val="18"/>
          <w:szCs w:val="18"/>
          <w:color w:val="auto"/>
        </w:rPr>
      </w:pPr>
    </w:p>
    <w:p>
      <w:pPr>
        <w:ind w:left="1400" w:right="180" w:hanging="374"/>
        <w:spacing w:after="0" w:line="263"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36" w:lineRule="exact"/>
        <w:rPr>
          <w:rFonts w:ascii="Arial" w:cs="Arial" w:eastAsia="Arial" w:hAnsi="Arial"/>
          <w:sz w:val="17"/>
          <w:szCs w:val="17"/>
          <w:color w:val="auto"/>
        </w:rPr>
      </w:pPr>
    </w:p>
    <w:p>
      <w:pPr>
        <w:ind w:left="1400" w:hanging="374"/>
        <w:spacing w:after="0"/>
        <w:tabs>
          <w:tab w:leader="none" w:pos="1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36" w:lineRule="exact"/>
        <w:rPr>
          <w:rFonts w:ascii="Arial" w:cs="Arial" w:eastAsia="Arial" w:hAnsi="Arial"/>
          <w:sz w:val="17"/>
          <w:szCs w:val="17"/>
          <w:color w:val="auto"/>
        </w:rPr>
      </w:pPr>
    </w:p>
    <w:p>
      <w:pPr>
        <w:ind w:left="1400" w:hanging="374"/>
        <w:spacing w:after="0"/>
        <w:tabs>
          <w:tab w:leader="none" w:pos="1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36" w:lineRule="exact"/>
        <w:rPr>
          <w:rFonts w:ascii="Arial" w:cs="Arial" w:eastAsia="Arial" w:hAnsi="Arial"/>
          <w:sz w:val="17"/>
          <w:szCs w:val="17"/>
          <w:color w:val="auto"/>
        </w:rPr>
      </w:pPr>
    </w:p>
    <w:p>
      <w:pPr>
        <w:ind w:left="1400" w:hanging="374"/>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efforts of our collaborators and the success of our own efforts with respect to the commercialization of our products; and</w:t>
      </w:r>
    </w:p>
    <w:p>
      <w:pPr>
        <w:spacing w:after="0" w:line="225" w:lineRule="exact"/>
        <w:rPr>
          <w:rFonts w:ascii="Arial" w:cs="Arial" w:eastAsia="Arial" w:hAnsi="Arial"/>
          <w:sz w:val="18"/>
          <w:szCs w:val="18"/>
          <w:color w:val="auto"/>
        </w:rPr>
      </w:pPr>
    </w:p>
    <w:p>
      <w:pPr>
        <w:ind w:left="1400" w:right="80" w:hanging="374"/>
        <w:spacing w:after="0" w:line="277"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70" w:lineRule="exact"/>
        <w:rPr>
          <w:sz w:val="20"/>
          <w:szCs w:val="20"/>
          <w:color w:val="auto"/>
        </w:rPr>
      </w:pPr>
    </w:p>
    <w:p>
      <w:pPr>
        <w:ind w:right="100" w:firstLine="1018"/>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60"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Our insurance policies are expensive and only protect us from some business risks, which will leave us exposed to significant uninsured liabilities.</w:t>
      </w:r>
    </w:p>
    <w:p>
      <w:pPr>
        <w:spacing w:after="0" w:line="248" w:lineRule="exact"/>
        <w:rPr>
          <w:sz w:val="20"/>
          <w:szCs w:val="20"/>
          <w:color w:val="auto"/>
        </w:rPr>
      </w:pPr>
    </w:p>
    <w:p>
      <w:pPr>
        <w:ind w:right="80" w:firstLine="1018"/>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20" w:firstLine="101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firstLine="101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24" w:lineRule="exact"/>
        <w:rPr>
          <w:sz w:val="20"/>
          <w:szCs w:val="20"/>
          <w:color w:val="auto"/>
        </w:rPr>
      </w:pPr>
    </w:p>
    <w:p>
      <w:pPr>
        <w:ind w:right="20" w:firstLine="1018"/>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right="220" w:firstLine="1018"/>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right="500" w:firstLine="1018"/>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540" w:firstLine="1018"/>
        <w:spacing w:after="0" w:line="277"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such as our data storage facilities or financial systems, or that otherwise disrupted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60"/>
        <w:spacing w:after="0" w:line="255" w:lineRule="auto"/>
        <w:rPr>
          <w:sz w:val="20"/>
          <w:szCs w:val="20"/>
          <w:color w:val="auto"/>
        </w:rPr>
      </w:pPr>
      <w:r>
        <w:rPr>
          <w:rFonts w:ascii="Arial" w:cs="Arial" w:eastAsia="Arial" w:hAnsi="Arial"/>
          <w:sz w:val="18"/>
          <w:szCs w:val="18"/>
          <w:color w:val="auto"/>
        </w:rPr>
        <w:t>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92"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00" w:lineRule="exact"/>
        <w:rPr>
          <w:sz w:val="20"/>
          <w:szCs w:val="20"/>
          <w:color w:val="auto"/>
        </w:rPr>
      </w:pPr>
    </w:p>
    <w:p>
      <w:pPr>
        <w:ind w:right="40" w:firstLine="1018"/>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right="20" w:firstLine="1018"/>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firstLine="1018"/>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public health crisis such as the COVID-19 pandemic could adversely impact our business including our ongoing and planned preclinical studies and clinical trials.</w:t>
      </w:r>
    </w:p>
    <w:p>
      <w:pPr>
        <w:spacing w:after="0" w:line="170" w:lineRule="exact"/>
        <w:rPr>
          <w:sz w:val="20"/>
          <w:szCs w:val="20"/>
          <w:color w:val="auto"/>
        </w:rPr>
      </w:pPr>
    </w:p>
    <w:p>
      <w:pPr>
        <w:ind w:firstLine="1018"/>
        <w:spacing w:after="0" w:line="270"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experienced delays in our preclinical and planned clinical development activities. The COVID-19 pandemic has and may continue to impact our third-party manufacturers and suppliers, which could disrupt its supply chain or the availability or cost of materials. Other public health crises could do the same. If governmental authorities reinstate or issue new public health directives as a result of a public health crisis, these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our ability to obtain financing. Such disruptions could severely impact our business, current and planned clinical trials and preclinical studies, including as a result of:</w:t>
      </w:r>
    </w:p>
    <w:p>
      <w:pPr>
        <w:spacing w:after="0" w:line="181" w:lineRule="exact"/>
        <w:rPr>
          <w:sz w:val="20"/>
          <w:szCs w:val="20"/>
          <w:color w:val="auto"/>
        </w:rPr>
      </w:pPr>
    </w:p>
    <w:p>
      <w:pPr>
        <w:ind w:left="1400" w:hanging="374"/>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left="1400" w:hanging="37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or difficulties in enrolling patients in future planned clinical trials of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225" w:lineRule="exact"/>
        <w:rPr>
          <w:rFonts w:ascii="Arial" w:cs="Arial" w:eastAsia="Arial" w:hAnsi="Arial"/>
          <w:sz w:val="18"/>
          <w:szCs w:val="18"/>
          <w:color w:val="auto"/>
        </w:rPr>
      </w:pPr>
    </w:p>
    <w:p>
      <w:pPr>
        <w:ind w:left="1400" w:hanging="374"/>
        <w:spacing w:after="0" w:line="277"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70" w:lineRule="exact"/>
        <w:rPr>
          <w:rFonts w:ascii="Arial" w:cs="Arial" w:eastAsia="Arial" w:hAnsi="Arial"/>
          <w:sz w:val="18"/>
          <w:szCs w:val="18"/>
          <w:color w:val="auto"/>
        </w:rPr>
      </w:pPr>
    </w:p>
    <w:p>
      <w:pPr>
        <w:jc w:val="both"/>
        <w:ind w:left="1400" w:hanging="374"/>
        <w:spacing w:after="0" w:line="263"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83" w:lineRule="exact"/>
        <w:rPr>
          <w:rFonts w:ascii="Arial" w:cs="Arial" w:eastAsia="Arial" w:hAnsi="Arial"/>
          <w:sz w:val="18"/>
          <w:szCs w:val="18"/>
          <w:color w:val="auto"/>
        </w:rPr>
      </w:pPr>
    </w:p>
    <w:p>
      <w:pPr>
        <w:ind w:left="1400" w:right="180" w:hanging="374"/>
        <w:spacing w:after="0" w:line="311" w:lineRule="auto"/>
        <w:tabs>
          <w:tab w:leader="none" w:pos="1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48" w:lineRule="exact"/>
        <w:rPr>
          <w:rFonts w:ascii="Arial" w:cs="Arial" w:eastAsia="Arial" w:hAnsi="Arial"/>
          <w:sz w:val="16"/>
          <w:szCs w:val="16"/>
          <w:color w:val="auto"/>
        </w:rPr>
      </w:pPr>
    </w:p>
    <w:p>
      <w:pPr>
        <w:ind w:left="1400" w:right="620" w:hanging="374"/>
        <w:spacing w:after="0" w:line="277"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70" w:lineRule="exact"/>
        <w:rPr>
          <w:rFonts w:ascii="Arial" w:cs="Arial" w:eastAsia="Arial" w:hAnsi="Arial"/>
          <w:sz w:val="18"/>
          <w:szCs w:val="18"/>
          <w:color w:val="auto"/>
        </w:rPr>
      </w:pPr>
    </w:p>
    <w:p>
      <w:pPr>
        <w:ind w:left="1400" w:right="240" w:hanging="374"/>
        <w:spacing w:after="0" w:line="263"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or other such disruptions which may require us to change the ways in which our clinical trials are conducted, which may result in unexpected costs or require us to discontinue clinical trials altogether;</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25" w:lineRule="exact"/>
        <w:rPr>
          <w:rFonts w:ascii="Arial" w:cs="Arial" w:eastAsia="Arial" w:hAnsi="Arial"/>
          <w:sz w:val="18"/>
          <w:szCs w:val="18"/>
          <w:color w:val="auto"/>
        </w:rPr>
      </w:pPr>
    </w:p>
    <w:p>
      <w:pPr>
        <w:ind w:left="1400" w:right="280" w:hanging="374"/>
        <w:spacing w:after="0" w:line="277" w:lineRule="auto"/>
        <w:tabs>
          <w:tab w:leader="none" w:pos="14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6"/>
          <w:szCs w:val="16"/>
          <w:color w:val="auto"/>
        </w:rPr>
        <w:t>Further, as a result of a public health crisis, such as the COVID-19 pandemic, we may be required to develop and implement additional clinical trial policies and procedures designed to help protect trial participants, which may include using telemedicine visits, remote monitoring of patients and clinical sites, and measures to ensure that data from clinical trials that may be disrupted as a result of the crisis are collected pursuant to the trial protocol and consistent with GCPs, with any material protocol deviation reviewed and approved by the site IRB. In addition, potential patients in our planned clinical trials may choose to not enroll, not participate in follow-up clinical visits, or drop out of the trial as a precaution during any such crisis.</w:t>
      </w:r>
    </w:p>
    <w:p>
      <w:pPr>
        <w:spacing w:after="0" w:line="161" w:lineRule="exact"/>
        <w:rPr>
          <w:sz w:val="20"/>
          <w:szCs w:val="20"/>
          <w:color w:val="auto"/>
        </w:rPr>
      </w:pPr>
    </w:p>
    <w:p>
      <w:pPr>
        <w:ind w:right="60" w:firstLine="1018"/>
        <w:spacing w:after="0" w:line="263" w:lineRule="auto"/>
        <w:rPr>
          <w:sz w:val="20"/>
          <w:szCs w:val="20"/>
          <w:color w:val="auto"/>
        </w:rPr>
      </w:pPr>
      <w:r>
        <w:rPr>
          <w:rFonts w:ascii="Arial" w:cs="Arial" w:eastAsia="Arial" w:hAnsi="Arial"/>
          <w:sz w:val="18"/>
          <w:szCs w:val="18"/>
          <w:color w:val="auto"/>
        </w:rPr>
        <w:t>Additionally, governmental and medical resources and attention may be focused on the applicable crisis, which may make it more difficult to obtain required reviews or approvals, necessary materials, or clinical or preclinical sites or slots, or manufacturing slots for the products needed for our planned clinical trials, which could lead to delays in these trials.</w:t>
      </w:r>
    </w:p>
    <w:p>
      <w:pPr>
        <w:spacing w:after="0" w:line="184" w:lineRule="exact"/>
        <w:rPr>
          <w:sz w:val="20"/>
          <w:szCs w:val="20"/>
          <w:color w:val="auto"/>
        </w:rPr>
      </w:pPr>
    </w:p>
    <w:p>
      <w:pPr>
        <w:jc w:val="both"/>
        <w:ind w:right="420" w:firstLine="1018"/>
        <w:spacing w:after="0" w:line="342"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 It could also have the effect of heightening many of the other risks described in this “Risk Factors” section.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4" w:lineRule="exact"/>
        <w:rPr>
          <w:sz w:val="20"/>
          <w:szCs w:val="20"/>
          <w:color w:val="auto"/>
        </w:rPr>
      </w:pPr>
    </w:p>
    <w:p>
      <w:pPr>
        <w:ind w:right="140" w:firstLine="1018"/>
        <w:spacing w:after="0" w:line="301" w:lineRule="auto"/>
        <w:rPr>
          <w:sz w:val="20"/>
          <w:szCs w:val="20"/>
          <w:color w:val="auto"/>
        </w:rPr>
      </w:pPr>
      <w:r>
        <w:rPr>
          <w:rFonts w:ascii="Arial" w:cs="Arial" w:eastAsia="Arial" w:hAnsi="Arial"/>
          <w:sz w:val="16"/>
          <w:szCs w:val="16"/>
          <w:color w:val="auto"/>
        </w:rPr>
        <w:t>In the ordinary course of business, we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57" w:lineRule="exact"/>
        <w:rPr>
          <w:sz w:val="20"/>
          <w:szCs w:val="20"/>
          <w:color w:val="auto"/>
        </w:rPr>
      </w:pPr>
    </w:p>
    <w:p>
      <w:pPr>
        <w:ind w:right="460" w:firstLine="1018"/>
        <w:spacing w:after="0" w:line="277"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7"/>
          <w:szCs w:val="17"/>
          <w:color w:val="auto"/>
        </w:rPr>
        <w:t>by HITECH, imposes specific requirements relating to the privacy, security, and transmission of individually identifiable health information. As another example, the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In addition, it is anticipated that the CPRA will be effective in 2023 and will expand the CCPA.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81" w:lineRule="exact"/>
        <w:rPr>
          <w:sz w:val="20"/>
          <w:szCs w:val="20"/>
          <w:color w:val="auto"/>
        </w:rPr>
      </w:pPr>
    </w:p>
    <w:p>
      <w:pPr>
        <w:ind w:right="60" w:firstLine="1018"/>
        <w:spacing w:after="0" w:line="291" w:lineRule="auto"/>
        <w:rPr>
          <w:sz w:val="20"/>
          <w:szCs w:val="20"/>
          <w:color w:val="auto"/>
        </w:rPr>
      </w:pPr>
      <w:r>
        <w:rPr>
          <w:rFonts w:ascii="Arial" w:cs="Arial" w:eastAsia="Arial" w:hAnsi="Arial"/>
          <w:sz w:val="16"/>
          <w:szCs w:val="16"/>
          <w:color w:val="auto"/>
        </w:rPr>
        <w:t>Outside the United States, an increasing number of laws, regulations, and industry standards apply to data privacy and security. For example, the EU GDPR, the UK GDPR and China’s Personal Information Protection Law (“PIPL”),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We conduct clinical trials in Australia, may conduct clinical studies in the EU and other countries and may be subject to EU GDPR, UK GDPR or other data privacy regulations, and we work with companies and vendors in Asia and may be subject to new and emerging data privacy regimes in Asia, including China’s PIPL, Japan’s Act on the Protection of Personal Information, and Singapore’s Personal Data Protection Act.</w:t>
      </w:r>
    </w:p>
    <w:p>
      <w:pPr>
        <w:spacing w:after="0" w:line="166" w:lineRule="exact"/>
        <w:rPr>
          <w:sz w:val="20"/>
          <w:szCs w:val="20"/>
          <w:color w:val="auto"/>
        </w:rPr>
      </w:pPr>
    </w:p>
    <w:p>
      <w:pPr>
        <w:ind w:right="80" w:firstLine="1018"/>
        <w:spacing w:after="0" w:line="268" w:lineRule="auto"/>
        <w:rPr>
          <w:sz w:val="20"/>
          <w:szCs w:val="20"/>
          <w:color w:val="auto"/>
        </w:rPr>
      </w:pPr>
      <w:r>
        <w:rPr>
          <w:rFonts w:ascii="Arial" w:cs="Arial" w:eastAsia="Arial" w:hAnsi="Arial"/>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Standard Contractual Clauses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United Kingdom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w:t>
      </w:r>
    </w:p>
    <w:p>
      <w:pPr>
        <w:spacing w:after="0" w:line="186" w:lineRule="exact"/>
        <w:rPr>
          <w:sz w:val="20"/>
          <w:szCs w:val="20"/>
          <w:color w:val="auto"/>
        </w:rPr>
      </w:pPr>
    </w:p>
    <w:p>
      <w:pPr>
        <w:ind w:right="40" w:firstLine="1018"/>
        <w:spacing w:after="0" w:line="275" w:lineRule="auto"/>
        <w:rPr>
          <w:sz w:val="20"/>
          <w:szCs w:val="20"/>
          <w:color w:val="auto"/>
        </w:rPr>
      </w:pPr>
      <w:r>
        <w:rPr>
          <w:rFonts w:ascii="Arial" w:cs="Arial" w:eastAsia="Arial" w:hAnsi="Arial"/>
          <w:sz w:val="17"/>
          <w:szCs w:val="17"/>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176" w:lineRule="exact"/>
        <w:rPr>
          <w:sz w:val="20"/>
          <w:szCs w:val="20"/>
          <w:color w:val="auto"/>
        </w:rPr>
      </w:pPr>
    </w:p>
    <w:p>
      <w:pPr>
        <w:ind w:right="320" w:firstLine="1018"/>
        <w:spacing w:after="0" w:line="277" w:lineRule="auto"/>
        <w:rPr>
          <w:sz w:val="20"/>
          <w:szCs w:val="20"/>
          <w:color w:val="auto"/>
        </w:rPr>
      </w:pPr>
      <w:r>
        <w:rPr>
          <w:rFonts w:ascii="Arial" w:cs="Arial" w:eastAsia="Arial" w:hAnsi="Arial"/>
          <w:sz w:val="18"/>
          <w:szCs w:val="18"/>
          <w:color w:val="auto"/>
        </w:rPr>
        <w:t>In addition, privacy advocates and industry groups have proposed, and may propose, standards with which we are legally or contractually bound to comply.</w:t>
      </w:r>
    </w:p>
    <w:p>
      <w:pPr>
        <w:spacing w:after="0" w:line="170" w:lineRule="exact"/>
        <w:rPr>
          <w:sz w:val="20"/>
          <w:szCs w:val="20"/>
          <w:color w:val="auto"/>
        </w:rPr>
      </w:pPr>
    </w:p>
    <w:p>
      <w:pPr>
        <w:ind w:firstLine="1018"/>
        <w:spacing w:after="0" w:line="290"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w:t>
      </w:r>
    </w:p>
    <w:p>
      <w:pPr>
        <w:spacing w:after="0" w:line="165" w:lineRule="exact"/>
        <w:rPr>
          <w:sz w:val="20"/>
          <w:szCs w:val="20"/>
          <w:color w:val="auto"/>
        </w:rPr>
      </w:pPr>
    </w:p>
    <w:p>
      <w:pPr>
        <w:ind w:right="740" w:firstLine="1018"/>
        <w:spacing w:after="0" w:line="277"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These consequences may include, but are not limited to, government enforcement actions (e.g.,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ind w:right="640"/>
        <w:spacing w:after="0" w:line="277" w:lineRule="auto"/>
        <w:rPr>
          <w:sz w:val="20"/>
          <w:szCs w:val="20"/>
          <w:color w:val="auto"/>
        </w:rPr>
      </w:pPr>
      <w:r>
        <w:rPr>
          <w:rFonts w:ascii="Arial" w:cs="Arial" w:eastAsia="Arial" w:hAnsi="Arial"/>
          <w:sz w:val="18"/>
          <w:szCs w:val="18"/>
          <w:color w:val="auto"/>
        </w:rPr>
        <w:t>investigations, fines, penalties, audits, inspections, and similar); litigation (including class-related claims); additional reporting requirements and/or oversight; bans on processing personal data; and orders to destroy or not use personal data.</w:t>
      </w:r>
    </w:p>
    <w:p>
      <w:pPr>
        <w:spacing w:after="0" w:line="170"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our internal technology systems or sensitive information, or those used by our third-party collaborators, vendors,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7"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7"/>
          <w:szCs w:val="17"/>
          <w:color w:val="auto"/>
        </w:rPr>
        <w:t>In the ordinary course of our business, we may process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clinical trials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76"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Cyberattacks, malicious internet-based activity, and online and offline fraud are prevalent and continue to increase. These threats come from a variety of sources,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develop, test and distribute our capsules, product candidates, and other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2"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Travel and our remote workforce poses increased risks to our information technology systems and data, as employees utilize network connections outside our premises.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spacing w:after="0" w:line="185"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the previously identified or similar threats, any of which could cause a security incident or other interruption. A security incident or other interruption could result in unauthorized access to, use or disclosure of, corruption of, or loss of sensitive, and/or proprietary information, including personal data and health-related information, and could subject us to significant liabilities and regulatory and enforcement actions, and reputational damage. A security incident or other interruption could disrupt our ability (and that of third parties upon whom we rely) to provide our products.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spacing w:after="0" w:line="181" w:lineRule="exact"/>
        <w:rPr>
          <w:sz w:val="20"/>
          <w:szCs w:val="20"/>
          <w:color w:val="auto"/>
        </w:rPr>
      </w:pPr>
    </w:p>
    <w:p>
      <w:pPr>
        <w:ind w:right="80" w:firstLine="1018"/>
        <w:spacing w:after="0" w:line="277" w:lineRule="auto"/>
        <w:rPr>
          <w:sz w:val="20"/>
          <w:szCs w:val="20"/>
          <w:color w:val="auto"/>
        </w:rPr>
      </w:pPr>
      <w:r>
        <w:rPr>
          <w:rFonts w:ascii="Arial" w:cs="Arial" w:eastAsia="Arial" w:hAnsi="Arial"/>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security measures, industry-standard or reasonable security measures to protect our information technology systems and sensitive information.</w:t>
      </w:r>
    </w:p>
    <w:p>
      <w:pPr>
        <w:spacing w:after="0" w:line="237"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61" w:lineRule="exact"/>
        <w:rPr>
          <w:sz w:val="20"/>
          <w:szCs w:val="20"/>
          <w:color w:val="auto"/>
        </w:rPr>
      </w:pPr>
    </w:p>
    <w:p>
      <w:pPr>
        <w:ind w:firstLine="1018"/>
        <w:spacing w:after="0" w:line="288" w:lineRule="auto"/>
        <w:rPr>
          <w:sz w:val="20"/>
          <w:szCs w:val="20"/>
          <w:color w:val="auto"/>
        </w:rPr>
      </w:pPr>
      <w:r>
        <w:rPr>
          <w:rFonts w:ascii="Arial" w:cs="Arial" w:eastAsia="Arial" w:hAnsi="Arial"/>
          <w:sz w:val="16"/>
          <w:szCs w:val="16"/>
          <w:color w:val="auto"/>
        </w:rPr>
        <w:t>If we or our third-party collaborators, consultants, contractors, suppliers, or service providers were to suffer a security incident, for example, that resulted in the unauthorized access to or use or disclosure of personal data or health information, we may have to notify consumers, partners, collaborators, government authorities, and the media. Such disclosures are costly, and the disclosures or the failure to comply with such requirements could lead to adverse consequences. Additionally, if we or our third party collaborators, consultants, contractors, suppliers, or service providers experience a security incident or are perceived to have experienced a security incident, we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To the extent that any disruption or security incident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and our product candidates could be delayed.</w:t>
      </w:r>
    </w:p>
    <w:p>
      <w:pPr>
        <w:spacing w:after="0" w:line="168" w:lineRule="exact"/>
        <w:rPr>
          <w:sz w:val="20"/>
          <w:szCs w:val="20"/>
          <w:color w:val="auto"/>
        </w:rPr>
      </w:pPr>
    </w:p>
    <w:p>
      <w:pPr>
        <w:ind w:right="80" w:firstLine="1018"/>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or that it will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right="100" w:firstLine="1018"/>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right="80" w:firstLine="1018"/>
        <w:spacing w:after="0" w:line="311" w:lineRule="auto"/>
        <w:rPr>
          <w:sz w:val="20"/>
          <w:szCs w:val="20"/>
          <w:color w:val="auto"/>
        </w:rPr>
      </w:pPr>
      <w:r>
        <w:rPr>
          <w:rFonts w:ascii="Arial" w:cs="Arial" w:eastAsia="Arial" w:hAnsi="Arial"/>
          <w:sz w:val="16"/>
          <w:szCs w:val="16"/>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49" w:lineRule="exact"/>
        <w:rPr>
          <w:sz w:val="20"/>
          <w:szCs w:val="20"/>
          <w:color w:val="auto"/>
        </w:rPr>
      </w:pPr>
    </w:p>
    <w:p>
      <w:pPr>
        <w:ind w:right="660" w:firstLine="1018"/>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right="300" w:firstLine="1018"/>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right="40" w:firstLine="1018"/>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16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100" w:firstLine="1018"/>
        <w:spacing w:after="0" w:line="25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8"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right="40" w:firstLine="1018"/>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right="100" w:firstLine="1018"/>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right="20" w:firstLine="1018"/>
        <w:spacing w:after="0" w:line="296" w:lineRule="auto"/>
        <w:rPr>
          <w:sz w:val="20"/>
          <w:szCs w:val="20"/>
          <w:color w:val="auto"/>
        </w:rPr>
      </w:pPr>
      <w:r>
        <w:rPr>
          <w:rFonts w:ascii="Arial" w:cs="Arial" w:eastAsia="Arial" w:hAnsi="Arial"/>
          <w:sz w:val="16"/>
          <w:szCs w:val="16"/>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right="240" w:firstLine="1018"/>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right="40" w:firstLine="1018"/>
        <w:spacing w:after="0" w:line="277" w:lineRule="auto"/>
        <w:rPr>
          <w:sz w:val="20"/>
          <w:szCs w:val="20"/>
          <w:color w:val="auto"/>
        </w:rPr>
      </w:pPr>
      <w:r>
        <w:rPr>
          <w:rFonts w:ascii="Arial" w:cs="Arial" w:eastAsia="Arial" w:hAnsi="Arial"/>
          <w:sz w:val="18"/>
          <w:szCs w:val="18"/>
          <w:color w:val="auto"/>
        </w:rPr>
        <w:t>We have registered or applied to register several trademarks in the United States and many other jurisdictions globally. We cannot ensure that our pending trademark applications will be approved. During trademark registration proceedings, our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jc w:val="both"/>
        <w:ind w:right="40"/>
        <w:spacing w:after="0" w:line="301" w:lineRule="auto"/>
        <w:rPr>
          <w:sz w:val="20"/>
          <w:szCs w:val="20"/>
          <w:color w:val="auto"/>
        </w:rPr>
      </w:pPr>
      <w:r>
        <w:rPr>
          <w:rFonts w:ascii="Arial" w:cs="Arial" w:eastAsia="Arial" w:hAnsi="Arial"/>
          <w:sz w:val="16"/>
          <w:szCs w:val="16"/>
          <w:color w:val="auto"/>
        </w:rPr>
        <w:t>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57" w:lineRule="exact"/>
        <w:rPr>
          <w:sz w:val="20"/>
          <w:szCs w:val="20"/>
          <w:color w:val="auto"/>
        </w:rPr>
      </w:pPr>
    </w:p>
    <w:p>
      <w:pPr>
        <w:ind w:right="20" w:firstLine="1018"/>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right="260" w:firstLine="1018"/>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right="80" w:firstLine="1018"/>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87"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right="100" w:firstLine="1018"/>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right="220" w:firstLine="1018"/>
        <w:spacing w:after="0" w:line="308" w:lineRule="auto"/>
        <w:rPr>
          <w:sz w:val="20"/>
          <w:szCs w:val="20"/>
          <w:color w:val="auto"/>
        </w:rPr>
      </w:pPr>
      <w:r>
        <w:rPr>
          <w:rFonts w:ascii="Arial" w:cs="Arial" w:eastAsia="Arial" w:hAnsi="Arial"/>
          <w:sz w:val="17"/>
          <w:szCs w:val="17"/>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right="480" w:firstLine="1018"/>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right="100" w:firstLine="1018"/>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7" w:lineRule="exact"/>
        <w:rPr>
          <w:sz w:val="20"/>
          <w:szCs w:val="20"/>
          <w:color w:val="auto"/>
        </w:rPr>
      </w:pPr>
    </w:p>
    <w:p>
      <w:pPr>
        <w:ind w:right="280" w:firstLine="1018"/>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right="40" w:firstLine="1018"/>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20" w:firstLine="1018"/>
        <w:spacing w:after="0" w:line="257" w:lineRule="auto"/>
        <w:rPr>
          <w:sz w:val="20"/>
          <w:szCs w:val="20"/>
          <w:color w:val="auto"/>
        </w:rPr>
      </w:pPr>
      <w:r>
        <w:rPr>
          <w:rFonts w:ascii="Arial" w:cs="Arial" w:eastAsia="Arial" w:hAnsi="Arial"/>
          <w:sz w:val="18"/>
          <w:szCs w:val="18"/>
          <w:color w:val="auto"/>
        </w:rPr>
        <w:t>We are presently reliant upon an in-license with InCube Labs, LLC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88" w:lineRule="exact"/>
        <w:rPr>
          <w:sz w:val="20"/>
          <w:szCs w:val="20"/>
          <w:color w:val="auto"/>
        </w:rPr>
      </w:pPr>
    </w:p>
    <w:p>
      <w:pPr>
        <w:ind w:right="40" w:firstLine="1018"/>
        <w:spacing w:after="0" w:line="254" w:lineRule="auto"/>
        <w:rPr>
          <w:sz w:val="20"/>
          <w:szCs w:val="20"/>
          <w:color w:val="auto"/>
        </w:rPr>
      </w:pPr>
      <w:r>
        <w:rPr>
          <w:rFonts w:ascii="Arial" w:cs="Arial" w:eastAsia="Arial" w:hAnsi="Arial"/>
          <w:sz w:val="18"/>
          <w:szCs w:val="18"/>
          <w:color w:val="auto"/>
        </w:rPr>
        <w:t>Further, we are presently party to a Service Agreement with ICL effective January 1, 2021, as amended in March 2022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95"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2" w:lineRule="exact"/>
        <w:rPr>
          <w:sz w:val="20"/>
          <w:szCs w:val="20"/>
          <w:color w:val="auto"/>
        </w:rPr>
      </w:pPr>
    </w:p>
    <w:p>
      <w:pPr>
        <w:ind w:right="100" w:firstLine="1018"/>
        <w:spacing w:after="0" w:line="342" w:lineRule="auto"/>
        <w:rPr>
          <w:sz w:val="20"/>
          <w:szCs w:val="20"/>
          <w:color w:val="auto"/>
        </w:rPr>
      </w:pPr>
      <w:r>
        <w:rPr>
          <w:rFonts w:ascii="Arial" w:cs="Arial" w:eastAsia="Arial" w:hAnsi="Arial"/>
          <w:sz w:val="16"/>
          <w:szCs w:val="16"/>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24" w:lineRule="exact"/>
        <w:rPr>
          <w:sz w:val="20"/>
          <w:szCs w:val="20"/>
          <w:color w:val="auto"/>
        </w:rPr>
      </w:pPr>
    </w:p>
    <w:p>
      <w:pPr>
        <w:ind w:right="300" w:firstLine="1018"/>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right="200" w:firstLine="1018"/>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European patents are presently being challenged in Europe, and if one or more of such challenges is successful it could encourage such party or other parties to challenge additional patents of ours in Europe or other jurisdictions.</w:t>
      </w:r>
    </w:p>
    <w:p>
      <w:pPr>
        <w:spacing w:after="0" w:line="170" w:lineRule="exact"/>
        <w:rPr>
          <w:sz w:val="20"/>
          <w:szCs w:val="20"/>
          <w:color w:val="auto"/>
        </w:rPr>
      </w:pPr>
    </w:p>
    <w:p>
      <w:pPr>
        <w:ind w:right="420" w:firstLine="1018"/>
        <w:spacing w:after="0" w:line="259" w:lineRule="auto"/>
        <w:rPr>
          <w:sz w:val="20"/>
          <w:szCs w:val="20"/>
          <w:color w:val="auto"/>
        </w:rPr>
      </w:pPr>
      <w:r>
        <w:rPr>
          <w:rFonts w:ascii="Arial" w:cs="Arial" w:eastAsia="Arial" w:hAnsi="Arial"/>
          <w:sz w:val="18"/>
          <w:szCs w:val="18"/>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spacing w:after="0" w:line="187" w:lineRule="exact"/>
        <w:rPr>
          <w:sz w:val="20"/>
          <w:szCs w:val="20"/>
          <w:color w:val="auto"/>
        </w:rPr>
      </w:pPr>
    </w:p>
    <w:p>
      <w:pPr>
        <w:jc w:val="both"/>
        <w:ind w:right="80" w:firstLine="1018"/>
        <w:spacing w:after="0" w:line="263" w:lineRule="auto"/>
        <w:rPr>
          <w:sz w:val="20"/>
          <w:szCs w:val="20"/>
          <w:color w:val="auto"/>
        </w:rPr>
      </w:pPr>
      <w:r>
        <w:rPr>
          <w:rFonts w:ascii="Arial" w:cs="Arial" w:eastAsia="Arial" w:hAnsi="Arial"/>
          <w:sz w:val="18"/>
          <w:szCs w:val="18"/>
          <w:color w:val="auto"/>
        </w:rPr>
        <w:t>The first opposition proceeding involves European Patent No. 2515992, which is generally directed to an ingestible device. In July 2021, the EPO issued a decision resulting in an amendment to the claims of the patent. We subsequently filed a notice of appeal with the EPO Appeal Board and we are awaiting a final decision.</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jc w:val="both"/>
        <w:ind w:right="140" w:firstLine="1018"/>
        <w:spacing w:after="0" w:line="263" w:lineRule="auto"/>
        <w:rPr>
          <w:sz w:val="20"/>
          <w:szCs w:val="20"/>
          <w:color w:val="auto"/>
        </w:rPr>
      </w:pPr>
      <w:r>
        <w:rPr>
          <w:rFonts w:ascii="Arial" w:cs="Arial" w:eastAsia="Arial" w:hAnsi="Arial"/>
          <w:sz w:val="18"/>
          <w:szCs w:val="18"/>
          <w:color w:val="auto"/>
        </w:rPr>
        <w:t>The second opposition proceeding involves European Patent No. 2544668, which is generally directed to a therapeutic agent preparation. In December 2021, the EPO issued a decision resulting in revocation of the patent. We subsequently filed a notice of appeal with the EPO Appeal Board and we are awaiting a final decision.</w:t>
      </w:r>
    </w:p>
    <w:p>
      <w:pPr>
        <w:spacing w:after="0" w:line="184"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The third opposition proceeding involves European Patent No. 3461478, which is in the same family as European Patent No. 2515992 noted above. In April 2022, the EPO issued a decision resulting in an amendment to the claims of the patent. We subsequently filed a notice of appeal with the EPO Appeal Board and are awaiting a final decision.</w:t>
      </w:r>
    </w:p>
    <w:p>
      <w:pPr>
        <w:spacing w:after="0" w:line="184" w:lineRule="exact"/>
        <w:rPr>
          <w:sz w:val="20"/>
          <w:szCs w:val="20"/>
          <w:color w:val="auto"/>
        </w:rPr>
      </w:pPr>
    </w:p>
    <w:p>
      <w:pPr>
        <w:ind w:right="220" w:firstLine="1018"/>
        <w:spacing w:after="0" w:line="277" w:lineRule="auto"/>
        <w:rPr>
          <w:sz w:val="20"/>
          <w:szCs w:val="20"/>
          <w:color w:val="auto"/>
        </w:rPr>
      </w:pPr>
      <w:r>
        <w:rPr>
          <w:rFonts w:ascii="Arial" w:cs="Arial" w:eastAsia="Arial" w:hAnsi="Arial"/>
          <w:sz w:val="18"/>
          <w:szCs w:val="18"/>
          <w:color w:val="auto"/>
        </w:rPr>
        <w:t>The fourth opposition proceeding involves European Patent No. 3653223, which is generally directed to a swallowable device. We filed an initial response to the EPO.</w:t>
      </w:r>
    </w:p>
    <w:p>
      <w:pPr>
        <w:spacing w:after="0" w:line="170"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any of the current oppositions results in a revocation or reduction in our patent protection, it could encourage Novo Nordisk As or other parties to seek to invalidate or reduce additional patents in Europe or other jurisdictions. If current or future opposition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is a risk that we may face additional oppositions in Europe as additional European patents are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right="60" w:firstLine="1018"/>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right="60" w:firstLine="1018"/>
        <w:spacing w:after="0" w:line="287" w:lineRule="auto"/>
        <w:rPr>
          <w:sz w:val="20"/>
          <w:szCs w:val="20"/>
          <w:color w:val="auto"/>
        </w:rPr>
      </w:pPr>
      <w:r>
        <w:rPr>
          <w:rFonts w:ascii="Arial" w:cs="Arial" w:eastAsia="Arial" w:hAnsi="Arial"/>
          <w:sz w:val="16"/>
          <w:szCs w:val="16"/>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68" w:lineRule="exact"/>
        <w:rPr>
          <w:sz w:val="20"/>
          <w:szCs w:val="20"/>
          <w:color w:val="auto"/>
        </w:rPr>
      </w:pPr>
    </w:p>
    <w:p>
      <w:pPr>
        <w:ind w:right="120" w:firstLine="1018"/>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right="340" w:firstLine="1018"/>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right="380" w:firstLine="1018"/>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right="100" w:firstLine="1018"/>
        <w:spacing w:after="0" w:line="269"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 party’s patent or trademark or of misappropriating a third party’s trade secret.</w:t>
      </w:r>
    </w:p>
    <w:p>
      <w:pPr>
        <w:spacing w:after="0" w:line="185" w:lineRule="exact"/>
        <w:rPr>
          <w:sz w:val="20"/>
          <w:szCs w:val="20"/>
          <w:color w:val="auto"/>
        </w:rPr>
      </w:pPr>
    </w:p>
    <w:p>
      <w:pPr>
        <w:ind w:right="60" w:firstLine="1018"/>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right="300" w:firstLine="1018"/>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right="160" w:firstLine="1018"/>
        <w:spacing w:after="0" w:line="255" w:lineRule="auto"/>
        <w:rPr>
          <w:sz w:val="20"/>
          <w:szCs w:val="20"/>
          <w:color w:val="auto"/>
        </w:rPr>
      </w:pPr>
      <w:r>
        <w:rPr>
          <w:rFonts w:ascii="Arial" w:cs="Arial" w:eastAsia="Arial" w:hAnsi="Arial"/>
          <w:sz w:val="18"/>
          <w:szCs w:val="18"/>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92" w:lineRule="exact"/>
        <w:rPr>
          <w:sz w:val="20"/>
          <w:szCs w:val="20"/>
          <w:color w:val="auto"/>
        </w:rPr>
      </w:pPr>
    </w:p>
    <w:p>
      <w:pPr>
        <w:ind w:right="20" w:firstLine="1018"/>
        <w:spacing w:after="0" w:line="286"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right="40" w:firstLine="1018"/>
        <w:spacing w:after="0" w:line="291" w:lineRule="auto"/>
        <w:rPr>
          <w:sz w:val="20"/>
          <w:szCs w:val="20"/>
          <w:color w:val="auto"/>
        </w:rPr>
      </w:pPr>
      <w:r>
        <w:rPr>
          <w:rFonts w:ascii="Arial" w:cs="Arial" w:eastAsia="Arial" w:hAnsi="Arial"/>
          <w:sz w:val="16"/>
          <w:szCs w:val="16"/>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right="40" w:firstLine="1018"/>
        <w:spacing w:after="0" w:line="254" w:lineRule="auto"/>
        <w:rPr>
          <w:sz w:val="20"/>
          <w:szCs w:val="20"/>
          <w:color w:val="auto"/>
        </w:rPr>
      </w:pPr>
      <w:r>
        <w:rPr>
          <w:rFonts w:ascii="Arial" w:cs="Arial" w:eastAsia="Arial" w:hAnsi="Arial"/>
          <w:sz w:val="18"/>
          <w:szCs w:val="18"/>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95"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84" w:lineRule="exact"/>
        <w:rPr>
          <w:sz w:val="20"/>
          <w:szCs w:val="20"/>
          <w:color w:val="auto"/>
        </w:rPr>
      </w:pPr>
    </w:p>
    <w:p>
      <w:pPr>
        <w:ind w:right="200" w:firstLine="1018"/>
        <w:spacing w:after="0" w:line="286" w:lineRule="auto"/>
        <w:rPr>
          <w:sz w:val="20"/>
          <w:szCs w:val="20"/>
          <w:color w:val="auto"/>
        </w:rPr>
      </w:pPr>
      <w:r>
        <w:rPr>
          <w:rFonts w:ascii="Arial" w:cs="Arial" w:eastAsia="Arial" w:hAnsi="Arial"/>
          <w:sz w:val="17"/>
          <w:szCs w:val="17"/>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p>
    <w:p>
      <w:pPr>
        <w:spacing w:after="0" w:line="184" w:lineRule="exact"/>
        <w:rPr>
          <w:sz w:val="20"/>
          <w:szCs w:val="20"/>
          <w:color w:val="auto"/>
        </w:rPr>
      </w:pPr>
    </w:p>
    <w:p>
      <w:pPr>
        <w:ind w:right="20" w:firstLine="1018"/>
        <w:spacing w:after="0" w:line="254" w:lineRule="auto"/>
        <w:rPr>
          <w:sz w:val="20"/>
          <w:szCs w:val="20"/>
          <w:color w:val="auto"/>
        </w:rPr>
      </w:pPr>
      <w:r>
        <w:rPr>
          <w:rFonts w:ascii="Arial" w:cs="Arial" w:eastAsia="Arial" w:hAnsi="Arial"/>
          <w:sz w:val="18"/>
          <w:szCs w:val="18"/>
          <w:color w:val="auto"/>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distributions we receive from Rani LLC. Rani LLC may not generate sufficient cash flow to distribute funds to us and applicable state law and contractual restrictions, including negative covenants in our debt instruments, may not permit such distributions. In August 2021, in connection with the IPO and Organizational Transactions, we entered into a Tax Receivable Agreement with certain of the Continuing LLC Owners. See the risk factor below entitled “The Tax Receivable Agreement with certain of the Continuing LLC Owners requires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right="560"/>
        <w:spacing w:after="0" w:line="277" w:lineRule="auto"/>
        <w:rPr>
          <w:sz w:val="20"/>
          <w:szCs w:val="20"/>
          <w:color w:val="auto"/>
        </w:rPr>
      </w:pPr>
      <w:r>
        <w:rPr>
          <w:rFonts w:ascii="Arial" w:cs="Arial" w:eastAsia="Arial" w:hAnsi="Arial"/>
          <w:sz w:val="18"/>
          <w:szCs w:val="18"/>
          <w:color w:val="auto"/>
        </w:rPr>
        <w:t>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70" w:lineRule="exact"/>
        <w:rPr>
          <w:sz w:val="20"/>
          <w:szCs w:val="20"/>
          <w:color w:val="auto"/>
        </w:rPr>
      </w:pPr>
    </w:p>
    <w:p>
      <w:pPr>
        <w:ind w:right="80" w:firstLine="1018"/>
        <w:spacing w:after="0" w:line="296" w:lineRule="auto"/>
        <w:rPr>
          <w:sz w:val="20"/>
          <w:szCs w:val="20"/>
          <w:color w:val="auto"/>
        </w:rPr>
      </w:pPr>
      <w:r>
        <w:rPr>
          <w:rFonts w:ascii="Arial" w:cs="Arial" w:eastAsia="Arial" w:hAnsi="Arial"/>
          <w:sz w:val="16"/>
          <w:szCs w:val="16"/>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w:t>
      </w:r>
    </w:p>
    <w:p>
      <w:pPr>
        <w:spacing w:after="0" w:line="161"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 ’s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LLC does not have sufficient funds to make distributions, our ability to declare and pay cash dividends will also be restricted or impaired.</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71"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85" w:lineRule="exact"/>
        <w:rPr>
          <w:sz w:val="20"/>
          <w:szCs w:val="20"/>
          <w:color w:val="auto"/>
        </w:rPr>
      </w:pPr>
    </w:p>
    <w:p>
      <w:pPr>
        <w:ind w:right="80" w:firstLine="1018"/>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right="8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6"/>
          <w:szCs w:val="16"/>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certain of the Continuing LLC Owners could be significant. See the section titled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Condition and Results of Operations—Liquidity and Capital Resources—Source of Liquidity</w:t>
      </w:r>
      <w:r>
        <w:rPr>
          <w:rFonts w:ascii="Arial" w:cs="Arial" w:eastAsia="Arial" w:hAnsi="Arial"/>
          <w:sz w:val="16"/>
          <w:szCs w:val="16"/>
          <w:color w:val="auto"/>
        </w:rPr>
        <w:t>” for further information.</w:t>
      </w:r>
    </w:p>
    <w:p>
      <w:pPr>
        <w:spacing w:after="0" w:line="172"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w:t>
      </w:r>
    </w:p>
    <w:p>
      <w:pPr>
        <w:spacing w:after="0" w:line="179" w:lineRule="exact"/>
        <w:rPr>
          <w:sz w:val="20"/>
          <w:szCs w:val="20"/>
          <w:color w:val="auto"/>
        </w:rPr>
      </w:pPr>
    </w:p>
    <w:p>
      <w:pPr>
        <w:ind w:right="20" w:firstLine="1018"/>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77"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84" w:lineRule="exact"/>
        <w:rPr>
          <w:sz w:val="20"/>
          <w:szCs w:val="20"/>
          <w:color w:val="auto"/>
        </w:rPr>
      </w:pPr>
    </w:p>
    <w:p>
      <w:pPr>
        <w:ind w:right="600" w:firstLine="1018"/>
        <w:spacing w:after="0" w:line="308" w:lineRule="auto"/>
        <w:rPr>
          <w:sz w:val="20"/>
          <w:szCs w:val="20"/>
          <w:color w:val="auto"/>
        </w:rPr>
      </w:pPr>
      <w:r>
        <w:rPr>
          <w:rFonts w:ascii="Arial" w:cs="Arial" w:eastAsia="Arial" w:hAnsi="Arial"/>
          <w:sz w:val="17"/>
          <w:szCs w:val="17"/>
          <w:color w:val="auto"/>
        </w:rPr>
        <w:t>We and Rani LLC intend to conduct our operations so that we will not be deemed an investment company. However, if we were to be deemed an investment company, restrictions imposed by the 1940 Act, including limitations on our capital structure and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ind w:right="360"/>
        <w:spacing w:after="0" w:line="277" w:lineRule="auto"/>
        <w:rPr>
          <w:sz w:val="20"/>
          <w:szCs w:val="20"/>
          <w:color w:val="auto"/>
        </w:rPr>
      </w:pPr>
      <w:r>
        <w:rPr>
          <w:rFonts w:ascii="Arial" w:cs="Arial" w:eastAsia="Arial" w:hAnsi="Arial"/>
          <w:sz w:val="18"/>
          <w:szCs w:val="18"/>
          <w:color w:val="auto"/>
        </w:rPr>
        <w:t>our ability to transact with affiliates, could make it impractical for us to continue our business as contemplated and could adversely affect our business, results of operations and financial condition.</w:t>
      </w:r>
    </w:p>
    <w:p>
      <w:pPr>
        <w:spacing w:after="0" w:line="17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ICL currently supports certain of our general and administrative corporate functions and we occupy space within facilities owned or leased by ICL pursuant to service agreements. If we were required to replicate or replace these services sooner than planned or if one or both of the service agreements is terminated, our operations could be adversely affected.</w:t>
      </w:r>
    </w:p>
    <w:p>
      <w:pPr>
        <w:spacing w:after="0" w:line="184"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Pursuant to the Rani LLC-ICL Service Agreement, ICL provides us certain general and administrative corporate support services. In addition, pursuant to the Rani LLC-ICL Service Agreement and a separate service agreement dated January 1, 2021 originally between RMS and ICL but which was assigned by RMS to Rani LLC in April 2022 (the “RMS-ICL Service Agreement”), we sublease from ICL the office, laboratory and manufacturing space used for our operations (“Occupancy Services”).</w:t>
      </w:r>
    </w:p>
    <w:p>
      <w:pPr>
        <w:spacing w:after="0" w:line="187" w:lineRule="exact"/>
        <w:rPr>
          <w:sz w:val="20"/>
          <w:szCs w:val="20"/>
          <w:color w:val="auto"/>
        </w:rPr>
      </w:pPr>
    </w:p>
    <w:p>
      <w:pPr>
        <w:ind w:right="60" w:firstLine="1018"/>
        <w:spacing w:after="0" w:line="259" w:lineRule="auto"/>
        <w:rPr>
          <w:sz w:val="20"/>
          <w:szCs w:val="20"/>
          <w:color w:val="auto"/>
        </w:rPr>
      </w:pPr>
      <w:r>
        <w:rPr>
          <w:rFonts w:ascii="Arial" w:cs="Arial" w:eastAsia="Arial" w:hAnsi="Arial"/>
          <w:sz w:val="18"/>
          <w:szCs w:val="18"/>
          <w:color w:val="auto"/>
        </w:rPr>
        <w:t>Pursuant to the Rani LLC-ICL Service Agreement, we will wholly own intellectual property resulting from ICL’s development work that relates only to the oral delivery of sensors, small molecule drugs or biologic drugs and was developed by our team and using our resources. ICL has agreed to exclusively license certain intellectual property to us for use solely within the field of oral delivery of sensors, small molecule drugs and biologic drugs, but we may not obtain a license on favorable terms.</w:t>
      </w:r>
    </w:p>
    <w:p>
      <w:pPr>
        <w:spacing w:after="0" w:line="187" w:lineRule="exact"/>
        <w:rPr>
          <w:sz w:val="20"/>
          <w:szCs w:val="20"/>
          <w:color w:val="auto"/>
        </w:rPr>
      </w:pPr>
    </w:p>
    <w:p>
      <w:pPr>
        <w:ind w:right="100" w:firstLine="1018"/>
        <w:spacing w:after="0" w:line="272" w:lineRule="auto"/>
        <w:rPr>
          <w:sz w:val="20"/>
          <w:szCs w:val="20"/>
          <w:color w:val="auto"/>
        </w:rPr>
      </w:pPr>
      <w:r>
        <w:rPr>
          <w:rFonts w:ascii="Arial" w:cs="Arial" w:eastAsia="Arial" w:hAnsi="Arial"/>
          <w:sz w:val="17"/>
          <w:szCs w:val="17"/>
          <w:color w:val="auto"/>
        </w:rPr>
        <w:t>The Rani LLC-ICL Service Agreement will automatically renew for successive one-year terms unless sooner terminated by either party. Termination of individual services under the Rani LLC-ICL Service Agreement or RMS-ICL Service Agreement requires 60 days’ notice, and termination of Occupancy Services under the Rani LLC-ICL Service Agreement or RMS-ICL Service Agreement requires six months notice; except that the Occupancy Services in Milpitas, California will expire in February 2024, with the potential for an annual renewal, subject to approval by ICL upon nine months’ notice of renewal prior to the end of the lease term. In the event the Rani LLC-ICL Service Agreement or RMS-ICL Service Agreement is terminated by us or ICL, we will need to replicate or replace certain functions, systems, equipment or facilities to which we will no longer have the same access. Such changes may be costly to implement and disruptive to our business.</w:t>
      </w:r>
    </w:p>
    <w:p>
      <w:pPr>
        <w:spacing w:after="0" w:line="177" w:lineRule="exact"/>
        <w:rPr>
          <w:sz w:val="20"/>
          <w:szCs w:val="20"/>
          <w:color w:val="auto"/>
        </w:rPr>
      </w:pPr>
    </w:p>
    <w:p>
      <w:pPr>
        <w:ind w:firstLine="1018"/>
        <w:spacing w:after="0" w:line="275" w:lineRule="auto"/>
        <w:rPr>
          <w:sz w:val="20"/>
          <w:szCs w:val="20"/>
          <w:color w:val="auto"/>
        </w:rPr>
      </w:pPr>
      <w:r>
        <w:rPr>
          <w:rFonts w:ascii="Arial" w:cs="Arial" w:eastAsia="Arial" w:hAnsi="Arial"/>
          <w:sz w:val="17"/>
          <w:szCs w:val="17"/>
          <w:color w:val="auto"/>
        </w:rPr>
        <w:t>In addition, we may not be able to replace these services, systems, equipment or facilities or enter into appropriate third-party agreements therefor on terms and conditions, including cost, comparable to those that we receive from ICL under the Rani LLC-ICL Service Agreement or RMS-ICL Service Agreement, or in a time period that minimizes disruption to our operations. The loss of services or the use of systems, equipment or facilities under the Rani LLC-ICL Service Agreement or RMS-ICL Service Agreement or our inability to replace such services, systems, equipment or facilities in a timely or cost-effective manner could have an adverse effect on our operations and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certain of the Continuing LLC Owners, whose interests may differ from those of our public stockholders.</w:t>
      </w:r>
    </w:p>
    <w:p>
      <w:pPr>
        <w:spacing w:after="0" w:line="225" w:lineRule="exact"/>
        <w:rPr>
          <w:sz w:val="20"/>
          <w:szCs w:val="20"/>
          <w:color w:val="auto"/>
        </w:rPr>
      </w:pPr>
    </w:p>
    <w:p>
      <w:pPr>
        <w:ind w:right="40" w:firstLine="1018"/>
        <w:spacing w:after="0" w:line="286" w:lineRule="auto"/>
        <w:rPr>
          <w:sz w:val="20"/>
          <w:szCs w:val="20"/>
          <w:color w:val="auto"/>
        </w:rPr>
      </w:pPr>
      <w:r>
        <w:rPr>
          <w:rFonts w:ascii="Arial" w:cs="Arial" w:eastAsia="Arial" w:hAnsi="Arial"/>
          <w:sz w:val="16"/>
          <w:szCs w:val="16"/>
          <w:color w:val="auto"/>
        </w:rPr>
        <w:t>As of March 16, 2023, certain of the Continuing LLC Owners controlled more than 80%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25"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jc w:val="both"/>
        <w:ind w:right="420"/>
        <w:spacing w:after="0" w:line="263" w:lineRule="auto"/>
        <w:rPr>
          <w:sz w:val="20"/>
          <w:szCs w:val="20"/>
          <w:color w:val="auto"/>
        </w:rPr>
      </w:pPr>
      <w:r>
        <w:rPr>
          <w:rFonts w:ascii="Arial" w:cs="Arial" w:eastAsia="Arial" w:hAnsi="Arial"/>
          <w:sz w:val="18"/>
          <w:szCs w:val="18"/>
          <w:color w:val="auto"/>
        </w:rPr>
        <w:t>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70" w:lineRule="exact"/>
        <w:rPr>
          <w:sz w:val="20"/>
          <w:szCs w:val="20"/>
          <w:color w:val="auto"/>
        </w:rPr>
      </w:pPr>
    </w:p>
    <w:p>
      <w:pPr>
        <w:ind w:right="40" w:firstLine="1018"/>
        <w:spacing w:after="0" w:line="289" w:lineRule="auto"/>
        <w:rPr>
          <w:sz w:val="20"/>
          <w:szCs w:val="20"/>
          <w:color w:val="auto"/>
        </w:rPr>
      </w:pPr>
      <w:r>
        <w:rPr>
          <w:rFonts w:ascii="Arial" w:cs="Arial" w:eastAsia="Arial" w:hAnsi="Arial"/>
          <w:sz w:val="16"/>
          <w:szCs w:val="16"/>
          <w:color w:val="auto"/>
        </w:rPr>
        <w:t>Our Class B common stock has ten votes per share, our Class A common stock has one vote per share and Class C common stock has no voting rights, except as required by law. As of March 16, 2023, holders of our outstanding Class B common stock collectively held more than 80%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66" w:lineRule="exact"/>
        <w:rPr>
          <w:sz w:val="20"/>
          <w:szCs w:val="20"/>
          <w:color w:val="auto"/>
        </w:rPr>
      </w:pPr>
    </w:p>
    <w:p>
      <w:pPr>
        <w:ind w:right="120" w:firstLine="1018"/>
        <w:spacing w:after="0" w:line="255"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w:t>
      </w:r>
    </w:p>
    <w:p>
      <w:pPr>
        <w:spacing w:after="0" w:line="225" w:lineRule="exact"/>
        <w:rPr>
          <w:sz w:val="20"/>
          <w:szCs w:val="20"/>
          <w:color w:val="auto"/>
        </w:rPr>
      </w:pPr>
    </w:p>
    <w:p>
      <w:pPr>
        <w:ind w:firstLine="1018"/>
        <w:spacing w:after="0" w:line="254" w:lineRule="auto"/>
        <w:rPr>
          <w:sz w:val="20"/>
          <w:szCs w:val="20"/>
          <w:color w:val="auto"/>
        </w:rPr>
      </w:pPr>
      <w:r>
        <w:rPr>
          <w:rFonts w:ascii="Arial" w:cs="Arial" w:eastAsia="Arial" w:hAnsi="Arial"/>
          <w:sz w:val="18"/>
          <w:szCs w:val="18"/>
          <w:color w:val="auto"/>
        </w:rPr>
        <w:t>We only recently completed our IPO, so 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ind w:right="260" w:firstLine="1018"/>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w:t>
      </w:r>
    </w:p>
    <w:p>
      <w:pPr>
        <w:spacing w:after="0" w:line="184" w:lineRule="exact"/>
        <w:rPr>
          <w:sz w:val="20"/>
          <w:szCs w:val="20"/>
          <w:color w:val="auto"/>
        </w:rPr>
      </w:pPr>
    </w:p>
    <w:p>
      <w:pPr>
        <w:ind w:left="1400" w:hanging="37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 developments concerning any of our third-party collaborators and suppliers;</w:t>
      </w:r>
    </w:p>
    <w:p>
      <w:pPr>
        <w:spacing w:after="0" w:line="225" w:lineRule="exact"/>
        <w:rPr>
          <w:rFonts w:ascii="Arial" w:cs="Arial" w:eastAsia="Arial" w:hAnsi="Arial"/>
          <w:sz w:val="18"/>
          <w:szCs w:val="18"/>
          <w:color w:val="auto"/>
        </w:rPr>
      </w:pPr>
    </w:p>
    <w:p>
      <w:pPr>
        <w:ind w:left="1400" w:right="240" w:hanging="374"/>
        <w:spacing w:after="0" w:line="286" w:lineRule="auto"/>
        <w:tabs>
          <w:tab w:leader="none" w:pos="14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165" w:lineRule="exact"/>
        <w:rPr>
          <w:rFonts w:ascii="Arial" w:cs="Arial" w:eastAsia="Arial" w:hAnsi="Arial"/>
          <w:sz w:val="17"/>
          <w:szCs w:val="17"/>
          <w:color w:val="auto"/>
        </w:rPr>
      </w:pPr>
    </w:p>
    <w:p>
      <w:pPr>
        <w:ind w:left="1400" w:hanging="374"/>
        <w:spacing w:after="0"/>
        <w:tabs>
          <w:tab w:leader="none" w:pos="1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left="1400" w:hanging="374"/>
        <w:spacing w:after="0"/>
        <w:tabs>
          <w:tab w:leader="none" w:pos="1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new technologies, acquisitions, or new offerings;</w:t>
      </w:r>
    </w:p>
    <w:p>
      <w:pPr>
        <w:spacing w:after="0" w:line="236" w:lineRule="exact"/>
        <w:rPr>
          <w:rFonts w:ascii="Arial" w:cs="Arial" w:eastAsia="Arial" w:hAnsi="Arial"/>
          <w:sz w:val="17"/>
          <w:szCs w:val="17"/>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 by us or our stockholders;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25" w:lineRule="exact"/>
        <w:rPr>
          <w:rFonts w:ascii="Arial" w:cs="Arial" w:eastAsia="Arial" w:hAnsi="Arial"/>
          <w:sz w:val="18"/>
          <w:szCs w:val="18"/>
          <w:color w:val="auto"/>
        </w:rPr>
      </w:pPr>
    </w:p>
    <w:p>
      <w:pPr>
        <w:ind w:left="1400" w:right="80" w:hanging="374"/>
        <w:spacing w:after="0" w:line="342" w:lineRule="auto"/>
        <w:tabs>
          <w:tab w:leader="none" w:pos="14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123" w:lineRule="exact"/>
        <w:rPr>
          <w:rFonts w:ascii="Arial" w:cs="Arial" w:eastAsia="Arial" w:hAnsi="Arial"/>
          <w:sz w:val="16"/>
          <w:szCs w:val="16"/>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400" w:right="40" w:hanging="374"/>
        <w:spacing w:after="0" w:line="277" w:lineRule="auto"/>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1400" w:right="100" w:hanging="374"/>
        <w:spacing w:after="0" w:line="259" w:lineRule="auto"/>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war, terrorism and other international conflicts, such as the conflict between Ukraine and Russia as well as continued and any new sanctions against Russia by, among others, the European Union and the United States, which restrict a wide range of trade and financial dealings with Russia and Russian parties, public health issues including health epidemics or pandemics, such as COVID-19; and</w:t>
      </w:r>
    </w:p>
    <w:p>
      <w:pPr>
        <w:spacing w:after="0" w:line="186" w:lineRule="exact"/>
        <w:rPr>
          <w:rFonts w:ascii="Arial" w:cs="Arial" w:eastAsia="Arial" w:hAnsi="Arial"/>
          <w:sz w:val="18"/>
          <w:szCs w:val="18"/>
          <w:color w:val="auto"/>
        </w:rPr>
      </w:pPr>
    </w:p>
    <w:p>
      <w:pPr>
        <w:ind w:left="1400" w:hanging="374"/>
        <w:spacing w:after="0"/>
        <w:tabs>
          <w:tab w:leader="none" w:pos="1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20" w:firstLine="1018"/>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firstLine="1018"/>
        <w:spacing w:after="0" w:line="257" w:lineRule="auto"/>
        <w:rPr>
          <w:sz w:val="20"/>
          <w:szCs w:val="20"/>
          <w:color w:val="auto"/>
        </w:rPr>
      </w:pPr>
      <w:r>
        <w:rPr>
          <w:rFonts w:ascii="Arial" w:cs="Arial" w:eastAsia="Arial" w:hAnsi="Arial"/>
          <w:sz w:val="18"/>
          <w:szCs w:val="18"/>
          <w:color w:val="auto"/>
        </w:rPr>
        <w:t>As of March 16, 2023, our Chairman, Mir Imran beneficially owned more than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88" w:lineRule="exact"/>
        <w:rPr>
          <w:sz w:val="20"/>
          <w:szCs w:val="20"/>
          <w:color w:val="auto"/>
        </w:rPr>
      </w:pPr>
    </w:p>
    <w:p>
      <w:pPr>
        <w:ind w:left="1400" w:hanging="374"/>
        <w:spacing w:after="0"/>
        <w:tabs>
          <w:tab w:leader="none" w:pos="1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left="1400" w:hanging="374"/>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25" w:lineRule="exact"/>
        <w:rPr>
          <w:rFonts w:ascii="Arial" w:cs="Arial" w:eastAsia="Arial" w:hAnsi="Arial"/>
          <w:sz w:val="18"/>
          <w:szCs w:val="18"/>
          <w:color w:val="auto"/>
        </w:rPr>
      </w:pPr>
    </w:p>
    <w:p>
      <w:pPr>
        <w:ind w:left="1400" w:right="1660" w:hanging="374"/>
        <w:spacing w:after="0" w:line="308" w:lineRule="auto"/>
        <w:tabs>
          <w:tab w:leader="none" w:pos="14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right="80" w:firstLine="1018"/>
        <w:spacing w:after="0" w:line="275" w:lineRule="auto"/>
        <w:rPr>
          <w:sz w:val="20"/>
          <w:szCs w:val="20"/>
          <w:color w:val="auto"/>
        </w:rPr>
      </w:pPr>
      <w:r>
        <w:rPr>
          <w:rFonts w:ascii="Arial" w:cs="Arial" w:eastAsia="Arial" w:hAnsi="Arial"/>
          <w:sz w:val="17"/>
          <w:szCs w:val="17"/>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right="580" w:firstLine="1018"/>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184" w:lineRule="exact"/>
        <w:rPr>
          <w:sz w:val="20"/>
          <w:szCs w:val="20"/>
          <w:color w:val="auto"/>
        </w:rPr>
      </w:pPr>
    </w:p>
    <w:p>
      <w:pPr>
        <w:ind w:left="1400" w:hanging="37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25" w:lineRule="exact"/>
        <w:rPr>
          <w:rFonts w:ascii="Arial" w:cs="Arial" w:eastAsia="Arial" w:hAnsi="Arial"/>
          <w:sz w:val="18"/>
          <w:szCs w:val="18"/>
          <w:color w:val="auto"/>
        </w:rPr>
      </w:pPr>
    </w:p>
    <w:p>
      <w:pPr>
        <w:ind w:left="1400" w:right="640" w:hanging="374"/>
        <w:spacing w:after="0" w:line="277" w:lineRule="auto"/>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70" w:lineRule="exact"/>
        <w:rPr>
          <w:rFonts w:ascii="Arial" w:cs="Arial" w:eastAsia="Arial" w:hAnsi="Arial"/>
          <w:sz w:val="18"/>
          <w:szCs w:val="18"/>
          <w:color w:val="auto"/>
        </w:rPr>
      </w:pPr>
    </w:p>
    <w:p>
      <w:pPr>
        <w:ind w:left="1400" w:right="120" w:hanging="374"/>
        <w:spacing w:after="0" w:line="277" w:lineRule="auto"/>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70" w:lineRule="exact"/>
        <w:rPr>
          <w:rFonts w:ascii="Arial" w:cs="Arial" w:eastAsia="Arial" w:hAnsi="Arial"/>
          <w:sz w:val="18"/>
          <w:szCs w:val="18"/>
          <w:color w:val="auto"/>
        </w:rPr>
      </w:pPr>
    </w:p>
    <w:p>
      <w:pPr>
        <w:ind w:left="1400" w:hanging="374"/>
        <w:spacing w:after="0"/>
        <w:tabs>
          <w:tab w:leader="none" w:pos="14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36" w:lineRule="exact"/>
        <w:rPr>
          <w:rFonts w:ascii="Arial" w:cs="Arial" w:eastAsia="Arial" w:hAnsi="Arial"/>
          <w:sz w:val="17"/>
          <w:szCs w:val="17"/>
          <w:color w:val="auto"/>
        </w:rPr>
      </w:pPr>
    </w:p>
    <w:p>
      <w:pPr>
        <w:ind w:left="1400" w:right="500" w:hanging="374"/>
        <w:spacing w:after="0" w:line="277" w:lineRule="auto"/>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70" w:lineRule="exact"/>
        <w:rPr>
          <w:rFonts w:ascii="Arial" w:cs="Arial" w:eastAsia="Arial" w:hAnsi="Arial"/>
          <w:sz w:val="18"/>
          <w:szCs w:val="18"/>
          <w:color w:val="auto"/>
        </w:rPr>
      </w:pPr>
    </w:p>
    <w:p>
      <w:pPr>
        <w:ind w:left="1400" w:right="300" w:hanging="374"/>
        <w:spacing w:after="0" w:line="277" w:lineRule="auto"/>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right="540" w:firstLine="1018"/>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right="100" w:firstLine="1018"/>
        <w:spacing w:after="0" w:line="311" w:lineRule="auto"/>
        <w:rPr>
          <w:sz w:val="20"/>
          <w:szCs w:val="20"/>
          <w:color w:val="auto"/>
        </w:rPr>
      </w:pPr>
      <w:r>
        <w:rPr>
          <w:rFonts w:ascii="Arial" w:cs="Arial" w:eastAsia="Arial" w:hAnsi="Arial"/>
          <w:sz w:val="16"/>
          <w:szCs w:val="16"/>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49"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ind w:right="260" w:firstLine="1018"/>
        <w:spacing w:after="0" w:line="301" w:lineRule="auto"/>
        <w:rPr>
          <w:sz w:val="20"/>
          <w:szCs w:val="20"/>
          <w:color w:val="auto"/>
        </w:rPr>
      </w:pPr>
      <w:r>
        <w:rPr>
          <w:rFonts w:ascii="Arial" w:cs="Arial" w:eastAsia="Arial" w:hAnsi="Arial"/>
          <w:sz w:val="16"/>
          <w:szCs w:val="16"/>
          <w:color w:val="auto"/>
        </w:rPr>
        <w:t>Continuing LLC Owners are entitled to rights with respect to the registration of their shares under the Securities Act. Registration of these shares under the Securities Act would result in the shares becoming freely tradable without restriction under the Securities Act. As a result of certain stockholders requesting such registration, in December 2022 we filed a registration statement on Form S-3 to register 6,009,542 shares of our Class A common stock held by certain of our stockholders. Accordingly, these shares are freely tradeable without restriction under the Securities Act.</w:t>
      </w:r>
    </w:p>
    <w:p>
      <w:pPr>
        <w:spacing w:after="0" w:line="157" w:lineRule="exact"/>
        <w:rPr>
          <w:sz w:val="20"/>
          <w:szCs w:val="20"/>
          <w:color w:val="auto"/>
        </w:rPr>
      </w:pPr>
    </w:p>
    <w:p>
      <w:pPr>
        <w:ind w:right="620" w:firstLine="1018"/>
        <w:spacing w:after="0" w:line="277" w:lineRule="auto"/>
        <w:rPr>
          <w:sz w:val="20"/>
          <w:szCs w:val="20"/>
          <w:color w:val="auto"/>
        </w:rPr>
      </w:pPr>
      <w:r>
        <w:rPr>
          <w:rFonts w:ascii="Arial" w:cs="Arial" w:eastAsia="Arial" w:hAnsi="Arial"/>
          <w:sz w:val="18"/>
          <w:szCs w:val="18"/>
          <w:color w:val="auto"/>
        </w:rPr>
        <w:t>Any sales of securities by the foregoing or other stockholders could have a material adverse effect on the trading price of our Class A common stock.</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46"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As of March 16, 2023, our named executive officers, directors, holders of 5% or more of our capital stock and their respective affiliates beneficially held outstanding stock representing over 80%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78" w:lineRule="exact"/>
        <w:rPr>
          <w:sz w:val="20"/>
          <w:szCs w:val="20"/>
          <w:color w:val="auto"/>
        </w:rPr>
      </w:pPr>
    </w:p>
    <w:p>
      <w:pPr>
        <w:jc w:val="both"/>
        <w:ind w:right="180" w:firstLine="1018"/>
        <w:spacing w:after="0" w:line="263" w:lineRule="auto"/>
        <w:rPr>
          <w:sz w:val="20"/>
          <w:szCs w:val="20"/>
          <w:color w:val="auto"/>
        </w:rPr>
      </w:pPr>
      <w:r>
        <w:rPr>
          <w:rFonts w:ascii="Arial" w:cs="Arial" w:eastAsia="Arial" w:hAnsi="Arial"/>
          <w:sz w:val="18"/>
          <w:szCs w:val="18"/>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jc w:val="both"/>
        <w:ind w:right="160" w:firstLine="101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70" w:lineRule="exact"/>
        <w:rPr>
          <w:sz w:val="20"/>
          <w:szCs w:val="20"/>
          <w:color w:val="auto"/>
        </w:rPr>
      </w:pPr>
    </w:p>
    <w:p>
      <w:pPr>
        <w:ind w:right="220" w:firstLine="1018"/>
        <w:spacing w:after="0" w:line="287" w:lineRule="auto"/>
        <w:rPr>
          <w:sz w:val="20"/>
          <w:szCs w:val="20"/>
          <w:color w:val="auto"/>
        </w:rPr>
      </w:pPr>
      <w:r>
        <w:rPr>
          <w:rFonts w:ascii="Arial" w:cs="Arial" w:eastAsia="Arial" w:hAnsi="Arial"/>
          <w:sz w:val="16"/>
          <w:szCs w:val="16"/>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jc w:val="both"/>
        <w:ind w:right="60" w:firstLine="1018"/>
        <w:spacing w:after="0" w:line="287"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right="60"/>
        <w:spacing w:after="0" w:line="277" w:lineRule="auto"/>
        <w:rPr>
          <w:sz w:val="20"/>
          <w:szCs w:val="20"/>
          <w:color w:val="auto"/>
        </w:rPr>
      </w:pPr>
      <w:r>
        <w:rPr>
          <w:rFonts w:ascii="Arial" w:cs="Arial" w:eastAsia="Arial" w:hAnsi="Arial"/>
          <w:sz w:val="18"/>
          <w:szCs w:val="18"/>
          <w:color w:val="auto"/>
        </w:rPr>
        <w:t>accomplish our strategic objectives, which would have a material adverse effect on our business, financial condition and results of operations and cause the market price of our Class A common stock to decline.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right="320" w:firstLine="1018"/>
        <w:spacing w:after="0" w:line="257" w:lineRule="auto"/>
        <w:rPr>
          <w:sz w:val="20"/>
          <w:szCs w:val="20"/>
          <w:color w:val="auto"/>
        </w:rPr>
      </w:pPr>
      <w:r>
        <w:rPr>
          <w:rFonts w:ascii="Arial" w:cs="Arial" w:eastAsia="Arial" w:hAnsi="Arial"/>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188"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88"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92" w:lineRule="exact"/>
        <w:rPr>
          <w:sz w:val="20"/>
          <w:szCs w:val="20"/>
          <w:color w:val="auto"/>
        </w:rPr>
      </w:pPr>
    </w:p>
    <w:p>
      <w:pPr>
        <w:ind w:right="80" w:firstLine="1018"/>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24" w:lineRule="exact"/>
        <w:rPr>
          <w:sz w:val="20"/>
          <w:szCs w:val="20"/>
          <w:color w:val="auto"/>
        </w:rPr>
      </w:pPr>
    </w:p>
    <w:p>
      <w:pPr>
        <w:ind w:right="240" w:firstLine="1018"/>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24" w:lineRule="exact"/>
        <w:rPr>
          <w:sz w:val="20"/>
          <w:szCs w:val="20"/>
          <w:color w:val="auto"/>
        </w:rPr>
      </w:pPr>
    </w:p>
    <w:p>
      <w:pPr>
        <w:ind w:left="1400" w:right="620" w:hanging="374"/>
        <w:spacing w:after="0" w:line="263"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183" w:lineRule="exact"/>
        <w:rPr>
          <w:rFonts w:ascii="Arial" w:cs="Arial" w:eastAsia="Arial" w:hAnsi="Arial"/>
          <w:sz w:val="18"/>
          <w:szCs w:val="18"/>
          <w:color w:val="auto"/>
        </w:rPr>
      </w:pPr>
    </w:p>
    <w:p>
      <w:pPr>
        <w:ind w:left="1400" w:hanging="374"/>
        <w:spacing w:after="0"/>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25" w:lineRule="exact"/>
        <w:rPr>
          <w:rFonts w:ascii="Arial" w:cs="Arial" w:eastAsia="Arial" w:hAnsi="Arial"/>
          <w:sz w:val="18"/>
          <w:szCs w:val="18"/>
          <w:color w:val="auto"/>
        </w:rPr>
      </w:pPr>
    </w:p>
    <w:p>
      <w:pPr>
        <w:ind w:left="1400" w:right="300" w:hanging="374"/>
        <w:spacing w:after="0" w:line="263"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3" w:lineRule="exact"/>
        <w:rPr>
          <w:rFonts w:ascii="Arial" w:cs="Arial" w:eastAsia="Arial" w:hAnsi="Arial"/>
          <w:sz w:val="18"/>
          <w:szCs w:val="18"/>
          <w:color w:val="auto"/>
        </w:rPr>
      </w:pPr>
    </w:p>
    <w:p>
      <w:pPr>
        <w:ind w:left="1400" w:right="260" w:hanging="374"/>
        <w:spacing w:after="0" w:line="263" w:lineRule="auto"/>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8" w:name="page89"/>
    <w:bookmarkEnd w:id="88"/>
    <w:p>
      <w:pPr>
        <w:ind w:left="1400" w:right="600" w:hanging="374"/>
        <w:spacing w:after="0" w:line="342" w:lineRule="auto"/>
        <w:tabs>
          <w:tab w:leader="none" w:pos="14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23" w:lineRule="exact"/>
        <w:rPr>
          <w:rFonts w:ascii="Arial" w:cs="Arial" w:eastAsia="Arial" w:hAnsi="Arial"/>
          <w:sz w:val="16"/>
          <w:szCs w:val="16"/>
          <w:color w:val="auto"/>
        </w:rPr>
      </w:pPr>
    </w:p>
    <w:p>
      <w:pPr>
        <w:ind w:left="1400" w:hanging="374"/>
        <w:spacing w:after="0"/>
        <w:tabs>
          <w:tab w:leader="none" w:pos="1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authorization of three classes of common stock as described above.</w:t>
      </w:r>
    </w:p>
    <w:p>
      <w:pPr>
        <w:spacing w:after="0" w:line="225" w:lineRule="exact"/>
        <w:rPr>
          <w:sz w:val="20"/>
          <w:szCs w:val="20"/>
          <w:color w:val="auto"/>
        </w:rPr>
      </w:pPr>
    </w:p>
    <w:p>
      <w:pPr>
        <w:ind w:right="60" w:firstLine="1018"/>
        <w:spacing w:after="0" w:line="272" w:lineRule="auto"/>
        <w:rPr>
          <w:sz w:val="20"/>
          <w:szCs w:val="20"/>
          <w:color w:val="auto"/>
        </w:rPr>
      </w:pPr>
      <w:r>
        <w:rPr>
          <w:rFonts w:ascii="Arial" w:cs="Arial" w:eastAsia="Arial" w:hAnsi="Arial"/>
          <w:sz w:val="17"/>
          <w:szCs w:val="17"/>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5" w:lineRule="exact"/>
        <w:rPr>
          <w:sz w:val="20"/>
          <w:szCs w:val="20"/>
          <w:color w:val="auto"/>
        </w:rPr>
      </w:pPr>
    </w:p>
    <w:p>
      <w:pPr>
        <w:ind w:firstLine="1018"/>
        <w:spacing w:after="0" w:line="287" w:lineRule="auto"/>
        <w:rPr>
          <w:sz w:val="20"/>
          <w:szCs w:val="20"/>
          <w:color w:val="auto"/>
        </w:rPr>
      </w:pPr>
      <w:r>
        <w:rPr>
          <w:rFonts w:ascii="Arial" w:cs="Arial" w:eastAsia="Arial" w:hAnsi="Arial"/>
          <w:sz w:val="16"/>
          <w:szCs w:val="16"/>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68"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We are required, pursuant to Section 404 of the Sarbanes-Oxley Act of 2002, to furnish a report by management on, among other things, the effectiveness of our internal control over financial reporting on an annual basis.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become an accelerated filer.</w:t>
      </w:r>
    </w:p>
    <w:p>
      <w:pPr>
        <w:spacing w:after="0" w:line="188"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business, financial condition, and results of operations.</w:t>
      </w:r>
    </w:p>
    <w:p>
      <w:pPr>
        <w:spacing w:after="0" w:line="225" w:lineRule="exact"/>
        <w:rPr>
          <w:sz w:val="20"/>
          <w:szCs w:val="20"/>
          <w:color w:val="auto"/>
        </w:rPr>
      </w:pPr>
    </w:p>
    <w:p>
      <w:pPr>
        <w:ind w:right="140" w:firstLine="1018"/>
        <w:spacing w:after="0" w:line="293" w:lineRule="auto"/>
        <w:rPr>
          <w:sz w:val="20"/>
          <w:szCs w:val="20"/>
          <w:color w:val="auto"/>
        </w:rPr>
      </w:pPr>
      <w:r>
        <w:rPr>
          <w:rFonts w:ascii="Arial" w:cs="Arial" w:eastAsia="Arial" w:hAnsi="Arial"/>
          <w:sz w:val="16"/>
          <w:szCs w:val="16"/>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(including, for example, the COVID-19 pandemic), geopolitical events, including civil or political unrest (such as the ongoing conflict between Ukraine and Russia), terrorism, insurrection or war, recent and potential future disruptions in access to bank deposits or lending commitments due to bank failures,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64" w:lineRule="exact"/>
        <w:rPr>
          <w:sz w:val="20"/>
          <w:szCs w:val="20"/>
          <w:color w:val="auto"/>
        </w:rPr>
      </w:pPr>
    </w:p>
    <w:p>
      <w:pPr>
        <w:ind w:right="40" w:firstLine="1018"/>
        <w:spacing w:after="0" w:line="288" w:lineRule="auto"/>
        <w:rPr>
          <w:sz w:val="20"/>
          <w:szCs w:val="20"/>
          <w:color w:val="auto"/>
        </w:rPr>
      </w:pPr>
      <w:r>
        <w:rPr>
          <w:rFonts w:ascii="Arial" w:cs="Arial" w:eastAsia="Arial" w:hAnsi="Arial"/>
          <w:sz w:val="16"/>
          <w:szCs w:val="16"/>
          <w:color w:val="auto"/>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such as the COVID-19 pandemic.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or disruptions to bank deposits and lending commitments due to bank failures, could impact economies and financial markets, resulting in economic worsening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ind w:right="1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jc w:val="both"/>
        <w:ind w:right="320" w:firstLine="1018"/>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84" w:lineRule="exact"/>
        <w:rPr>
          <w:sz w:val="20"/>
          <w:szCs w:val="20"/>
          <w:color w:val="auto"/>
        </w:rPr>
      </w:pPr>
    </w:p>
    <w:p>
      <w:pPr>
        <w:ind w:left="1400" w:hanging="374"/>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25" w:lineRule="exact"/>
        <w:rPr>
          <w:rFonts w:ascii="Arial" w:cs="Arial" w:eastAsia="Arial" w:hAnsi="Arial"/>
          <w:sz w:val="18"/>
          <w:szCs w:val="18"/>
          <w:color w:val="auto"/>
        </w:rPr>
      </w:pPr>
    </w:p>
    <w:p>
      <w:pPr>
        <w:ind w:left="1400" w:hanging="374"/>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25" w:lineRule="exact"/>
        <w:rPr>
          <w:rFonts w:ascii="Arial" w:cs="Arial" w:eastAsia="Arial" w:hAnsi="Arial"/>
          <w:sz w:val="18"/>
          <w:szCs w:val="18"/>
          <w:color w:val="auto"/>
        </w:rPr>
      </w:pPr>
    </w:p>
    <w:p>
      <w:pPr>
        <w:ind w:left="1400" w:right="40" w:hanging="374"/>
        <w:spacing w:after="0" w:line="277" w:lineRule="auto"/>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right="520" w:firstLine="1018"/>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right="60" w:firstLine="1018"/>
        <w:spacing w:after="0" w:line="293"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24" w:lineRule="exact"/>
        <w:rPr>
          <w:sz w:val="20"/>
          <w:szCs w:val="20"/>
          <w:color w:val="auto"/>
        </w:rPr>
      </w:pPr>
    </w:p>
    <w:p>
      <w:pPr>
        <w:ind w:right="60" w:firstLine="1018"/>
        <w:spacing w:after="0" w:line="285" w:lineRule="auto"/>
        <w:rPr>
          <w:sz w:val="20"/>
          <w:szCs w:val="20"/>
          <w:color w:val="auto"/>
        </w:rPr>
      </w:pPr>
      <w:r>
        <w:rPr>
          <w:rFonts w:ascii="Arial" w:cs="Arial" w:eastAsia="Arial" w:hAnsi="Arial"/>
          <w:sz w:val="16"/>
          <w:szCs w:val="16"/>
          <w:color w:val="auto"/>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65"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92" w:lineRule="exact"/>
        <w:rPr>
          <w:sz w:val="20"/>
          <w:szCs w:val="20"/>
          <w:color w:val="auto"/>
        </w:rPr>
      </w:pPr>
    </w:p>
    <w:p>
      <w:pPr>
        <w:ind w:right="40" w:firstLine="1018"/>
        <w:spacing w:after="0" w:line="311"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firstLine="1018"/>
        <w:spacing w:after="0" w:line="291" w:lineRule="auto"/>
        <w:rPr>
          <w:sz w:val="20"/>
          <w:szCs w:val="20"/>
          <w:color w:val="auto"/>
        </w:rPr>
      </w:pPr>
      <w:r>
        <w:rPr>
          <w:rFonts w:ascii="Arial" w:cs="Arial" w:eastAsia="Arial" w:hAnsi="Arial"/>
          <w:sz w:val="16"/>
          <w:szCs w:val="16"/>
          <w:color w:val="auto"/>
        </w:rPr>
        <w:t>Our corporate headquarters are currently located in San Jose, California. We lease approximately 55,000 square feet of office, research and development, production and manufacturing, and laboratory space in San Jose and Milpitas, California and San Antonio, Texas, pursuant to service agreements with ICL, a related party. The lease for the San Jose facility has a twelve month term that renews automatically on January 1st of each year for a successive twelve month period, subject to termination by either party upon a six months notice. Our lease for the Milpitas facility expires in February 2024. We have the option to renew the lease for one additional term of twelve months, subject to approval by ICL upon a nine months’ notice of renewal prior to the end of the lease term. Our San Antonio lease will continue until terminated by either party upon six months’ notice. If required, we believe that suitable additional or alternative space would be available in the future on commercially reasonable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50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left="1020"/>
        <w:spacing w:after="0"/>
        <w:rPr>
          <w:sz w:val="20"/>
          <w:szCs w:val="20"/>
          <w:color w:val="auto"/>
        </w:rPr>
      </w:pPr>
      <w:r>
        <w:rPr>
          <w:rFonts w:ascii="Arial" w:cs="Arial" w:eastAsia="Arial" w:hAnsi="Arial"/>
          <w:sz w:val="18"/>
          <w:szCs w:val="18"/>
          <w:color w:val="auto"/>
        </w:rPr>
        <w:t>Our Class A common stock is traded on the Nasdaq Stock Market LLC under the symbol “RANI.”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is limited by the terms of the Loan Agreement and may also be limited by the terms of any future debt or preferred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firstLine="1018"/>
        <w:spacing w:after="0" w:line="273" w:lineRule="auto"/>
        <w:rPr>
          <w:sz w:val="20"/>
          <w:szCs w:val="20"/>
          <w:color w:val="auto"/>
        </w:rPr>
      </w:pPr>
      <w:r>
        <w:rPr>
          <w:rFonts w:ascii="Arial" w:cs="Arial" w:eastAsia="Arial" w:hAnsi="Arial"/>
          <w:sz w:val="17"/>
          <w:szCs w:val="17"/>
          <w:color w:val="auto"/>
        </w:rPr>
        <w:t>As of March 16, 2023, we had 149 holders of record of our Class A common stock and 18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380" w:firstLine="1018"/>
        <w:spacing w:after="0" w:line="263" w:lineRule="auto"/>
        <w:rPr>
          <w:sz w:val="20"/>
          <w:szCs w:val="20"/>
          <w:color w:val="auto"/>
        </w:rPr>
      </w:pPr>
      <w:r>
        <w:rPr>
          <w:rFonts w:ascii="Arial" w:cs="Arial" w:eastAsia="Arial" w:hAnsi="Arial"/>
          <w:sz w:val="18"/>
          <w:szCs w:val="18"/>
          <w:color w:val="auto"/>
        </w:rPr>
        <w:t>During the quarter ended December 31, 2022, we issued 13,000 shares of Class A common stock to Stephanie McGrory, our former employee, in connection with the resolution of an employment matter. The shares were offered and sold in accordance with the terms of the exemption from registration provided by Section 4(a)(2) of the Securities Act of 1933,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i w:val="1"/>
          <w:iCs w:val="1"/>
          <w:color w:val="auto"/>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spacing w:after="0" w:line="192" w:lineRule="exact"/>
        <w:rPr>
          <w:sz w:val="20"/>
          <w:szCs w:val="20"/>
          <w:color w:val="auto"/>
        </w:rPr>
      </w:pPr>
    </w:p>
    <w:p>
      <w:pPr>
        <w:ind w:right="220" w:firstLine="1018"/>
        <w:spacing w:after="0" w:line="277" w:lineRule="auto"/>
        <w:rPr>
          <w:sz w:val="20"/>
          <w:szCs w:val="20"/>
          <w:color w:val="auto"/>
        </w:rPr>
      </w:pPr>
      <w:r>
        <w:rPr>
          <w:rFonts w:ascii="Arial" w:cs="Arial" w:eastAsia="Arial" w:hAnsi="Arial"/>
          <w:sz w:val="18"/>
          <w:szCs w:val="18"/>
          <w:i w:val="1"/>
          <w:iCs w:val="1"/>
          <w:color w:val="auto"/>
        </w:rPr>
        <w:t>Unless we state otherwise or the context otherwise requires, the terms “we,” “us,” “our,” and “Rani” and similar references refer to Rani Therapeutics Holdings, Inc. and its consolidated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20" w:firstLine="1018"/>
        <w:spacing w:after="0" w:line="263" w:lineRule="auto"/>
        <w:rPr>
          <w:sz w:val="20"/>
          <w:szCs w:val="20"/>
          <w:color w:val="auto"/>
        </w:rPr>
      </w:pPr>
      <w:r>
        <w:rPr>
          <w:rFonts w:ascii="Arial" w:cs="Arial" w:eastAsia="Arial" w:hAnsi="Arial"/>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84" w:lineRule="exact"/>
        <w:rPr>
          <w:sz w:val="20"/>
          <w:szCs w:val="20"/>
          <w:color w:val="auto"/>
        </w:rPr>
      </w:pPr>
    </w:p>
    <w:p>
      <w:pPr>
        <w:ind w:right="100" w:firstLine="1018"/>
        <w:spacing w:after="0" w:line="296" w:lineRule="auto"/>
        <w:rPr>
          <w:sz w:val="20"/>
          <w:szCs w:val="20"/>
          <w:color w:val="auto"/>
        </w:rPr>
      </w:pPr>
      <w:r>
        <w:rPr>
          <w:rFonts w:ascii="Arial" w:cs="Arial" w:eastAsia="Arial" w:hAnsi="Arial"/>
          <w:sz w:val="16"/>
          <w:szCs w:val="16"/>
          <w:color w:val="auto"/>
        </w:rPr>
        <w:t>We are developing and clinically testing a drug-agnostic oral delivery platform, the RaniPill capsule, which is designed to deliver a wide variety of drug substances, including large molecules such as peptides, proteins, and antibodies. The current RaniPill capsule, the RaniPill GO, is designed to deliver up to a 3 mg dose of drug with high bioavailability. We are also developing a high-capacity version known as the RaniPill HC, which is in preclinical stage and which is intended to enable delivery of drug payloads up to 20 mg with high bioavailability. The RaniPill GO is optimized to orally deliver a variety of therapeutics, and we are advancing development of the RaniPill HC to address biologics and drugs with higher dosing requirements.</w:t>
      </w:r>
    </w:p>
    <w:p>
      <w:pPr>
        <w:spacing w:after="0" w:line="161"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Rani LLC preferred units, the issuance of convertible promissory notes, long-term debt, and contract revenue generated from our evaluation agreements.</w:t>
      </w:r>
    </w:p>
    <w:p>
      <w:pPr>
        <w:spacing w:after="0" w:line="187"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6"/>
          <w:szCs w:val="16"/>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4"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RT-102</w:t>
      </w:r>
    </w:p>
    <w:p>
      <w:pPr>
        <w:spacing w:after="0" w:line="225"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In August 2022, we announced positive topline results from Part 1 (“Study Part 1”) of the Phase 1 study of RT-102, which is being developed for the potential treatment of osteoporosis. The study met all of its endpoints and RT-102 was generally well</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right="180"/>
        <w:spacing w:after="0" w:line="277" w:lineRule="auto"/>
        <w:rPr>
          <w:sz w:val="20"/>
          <w:szCs w:val="20"/>
          <w:color w:val="auto"/>
        </w:rPr>
      </w:pPr>
      <w:r>
        <w:rPr>
          <w:rFonts w:ascii="Arial" w:cs="Arial" w:eastAsia="Arial" w:hAnsi="Arial"/>
          <w:sz w:val="18"/>
          <w:szCs w:val="18"/>
          <w:color w:val="auto"/>
        </w:rPr>
        <w:t>tolerated. In the study, RT-102 orally delivered 20 µg and 80 µg of PTH with 300-400% greater bioavailability than subcutaneous Forteo (teriparatide) 20 µg.</w:t>
      </w:r>
    </w:p>
    <w:p>
      <w:pPr>
        <w:spacing w:after="0" w:line="170"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In December 2022, we announced positive topline results from Part 2 (“Study Part 2”) of the Phase 1 study of RT-102. The study met all of its endpoints. The study evaluated the safety and tolerability of once-daily administration of RT-102 containing 20 µg of PTH given repeatedly for seven consecutive days in ten healthy female volunteers. RT-102 was well tolerated with no serious adverse events noted, and delivered 20 µg of PTH with high bioavailability, confirming the high bioavailability observed during Study Part 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w:t>
      </w:r>
    </w:p>
    <w:p>
      <w:pPr>
        <w:spacing w:after="0" w:line="225"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In January 2023, Rani announced that it completed a pre-IND meeting with the FDA with respect to RT-102. Following feedback from the meeting, Rani believes that a 505(b)(2) pathway is suitable for the development of RT-102 in the U.S. In addition, Rani obtained guidance from the FDA on its preclinical and clinical development plans for RT-102, including the Phase 2 clinical trial which is expected to initiate in the second half of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RT-111</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 October 2022, we announced that we had begun preclinical development with RT-111, the RaniPill capsule containing an ustekinumab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biosimilar.</w:t>
      </w:r>
    </w:p>
    <w:p>
      <w:pPr>
        <w:spacing w:after="0" w:line="211" w:lineRule="exact"/>
        <w:rPr>
          <w:sz w:val="20"/>
          <w:szCs w:val="20"/>
          <w:color w:val="auto"/>
        </w:rPr>
      </w:pPr>
    </w:p>
    <w:p>
      <w:pPr>
        <w:ind w:right="280" w:firstLine="1018"/>
        <w:spacing w:after="0" w:line="286" w:lineRule="auto"/>
        <w:rPr>
          <w:sz w:val="20"/>
          <w:szCs w:val="20"/>
          <w:color w:val="auto"/>
        </w:rPr>
      </w:pPr>
      <w:r>
        <w:rPr>
          <w:rFonts w:ascii="Arial" w:cs="Arial" w:eastAsia="Arial" w:hAnsi="Arial"/>
          <w:sz w:val="17"/>
          <w:szCs w:val="17"/>
          <w:color w:val="auto"/>
        </w:rPr>
        <w:t>In January 2023, we announced entering into a License and Supply Agreement with Celltrion, Inc. (“Celltrion”) under which we receive a license and supply of Celltrion’s ustekinumab biosimilar for development and commercialization of RT-111 worldwide, subject to a right of first negotiation for Celltrion following completion of a Phase 1 clinical trial that meets its primary endpoint(s) (the “Celltrion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RaniPill HC</w:t>
      </w:r>
    </w:p>
    <w:p>
      <w:pPr>
        <w:spacing w:after="0" w:line="225"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We continue to develop the RaniPill HC, a high-capacity RaniPill capsule designed to deliver drug payloads up to 20 mg, 500%-plus higher than the payload capacity of the RaniPill GO. We are conducting preclinical studies with a fully-autonomous RaniPill HC.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RT-109</w:t>
      </w:r>
    </w:p>
    <w:p>
      <w:pPr>
        <w:spacing w:after="0" w:line="225" w:lineRule="exact"/>
        <w:rPr>
          <w:sz w:val="20"/>
          <w:szCs w:val="20"/>
          <w:color w:val="auto"/>
        </w:rPr>
      </w:pPr>
    </w:p>
    <w:p>
      <w:pPr>
        <w:ind w:firstLine="1018"/>
        <w:spacing w:after="0" w:line="342" w:lineRule="auto"/>
        <w:rPr>
          <w:sz w:val="20"/>
          <w:szCs w:val="20"/>
          <w:color w:val="auto"/>
        </w:rPr>
      </w:pPr>
      <w:r>
        <w:rPr>
          <w:rFonts w:ascii="Arial" w:cs="Arial" w:eastAsia="Arial" w:hAnsi="Arial"/>
          <w:sz w:val="16"/>
          <w:szCs w:val="16"/>
          <w:color w:val="auto"/>
        </w:rPr>
        <w:t>Following a strategic priority review in 2022, we decided not to continue active development of RT-109, a RaniPill capsule containing human growth hormone. We remain open to partnering opportunities with respect to RT-109, but intend to focus internal efforts on our other pipeline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ind w:right="120" w:firstLine="1018"/>
        <w:spacing w:after="0" w:line="272" w:lineRule="auto"/>
        <w:rPr>
          <w:sz w:val="20"/>
          <w:szCs w:val="20"/>
          <w:color w:val="auto"/>
        </w:rPr>
      </w:pPr>
      <w:r>
        <w:rPr>
          <w:rFonts w:ascii="Arial" w:cs="Arial" w:eastAsia="Arial" w:hAnsi="Arial"/>
          <w:sz w:val="17"/>
          <w:szCs w:val="17"/>
          <w:color w:val="auto"/>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2022, we were in compliance with all applicable debt covenants under the Loan Agreement and had cash, cash equivalents, and marketable securities totaling $98.5 million.</w:t>
      </w:r>
    </w:p>
    <w:p>
      <w:pPr>
        <w:spacing w:after="0" w:line="182" w:lineRule="exact"/>
        <w:rPr>
          <w:sz w:val="20"/>
          <w:szCs w:val="20"/>
          <w:color w:val="auto"/>
        </w:rPr>
      </w:pPr>
    </w:p>
    <w:p>
      <w:pPr>
        <w:ind w:right="100" w:firstLine="1018"/>
        <w:spacing w:after="0" w:line="239" w:lineRule="auto"/>
        <w:rPr>
          <w:sz w:val="20"/>
          <w:szCs w:val="20"/>
          <w:color w:val="auto"/>
        </w:rPr>
      </w:pPr>
      <w:r>
        <w:rPr>
          <w:rFonts w:ascii="Arial" w:cs="Arial" w:eastAsia="Arial" w:hAnsi="Arial"/>
          <w:sz w:val="18"/>
          <w:szCs w:val="18"/>
          <w:color w:val="auto"/>
        </w:rPr>
        <w:t>In addition, in August 2022, we entered into a Controlled Equity</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Sales Agreement (the “Sales Agreement”) with Cantor Fitzgerald &amp; Co. and H.C. Wainwright &amp; Co., LLC (collectively, the “Agents”), pursuant to which we may offer and sell from time to time through the Agents up to $150.0 million of shares of our Class A common stock, in such share amounts as we may specify by notice to the Agents, in accordance with the terms and conditions set forth in the Sales Agreement (“ATM Sales”). As of December 31, 2022, we had not delivered any placement notices to either of the Agents and there had been no ATM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Impact</w:t>
      </w:r>
    </w:p>
    <w:p>
      <w:pPr>
        <w:spacing w:after="0" w:line="225"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In March 2020, the World Health Organization declared the COVID-19 outbreak a pandemic. We believe that, as a result of the COVID-19 pandemic, we have experienced delays due to the unavailability of vendors or delays in their availability with</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ind w:right="260"/>
        <w:spacing w:after="0" w:line="293" w:lineRule="auto"/>
        <w:rPr>
          <w:sz w:val="20"/>
          <w:szCs w:val="20"/>
          <w:color w:val="auto"/>
        </w:rPr>
      </w:pPr>
      <w:r>
        <w:rPr>
          <w:rFonts w:ascii="Arial" w:cs="Arial" w:eastAsia="Arial" w:hAnsi="Arial"/>
          <w:sz w:val="16"/>
          <w:szCs w:val="16"/>
          <w:color w:val="auto"/>
        </w:rPr>
        <w:t>respect to research and development activities due to high demand or disruption to their business, delays in certain shipments of materials for our manufacturing, increases in prices charged by third parties for goods and services due to additional processes or costs resulting from COVID-19 procedures, disruption to travel which affects our ability to establish and maintain business relationships, and disruption to employee work schedules. While we have not experienced material impacts through December 31, 2022, the extent to which the COVID-19 pandemic will further directly or indirectly impact our results of operation and financial condition has been and will continue to be driven by many factors, most of which are beyond our control and ability to forecast. Because of these uncertainties, we cannot estimate how long or to what extent COVID-19 will impact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right="100" w:firstLine="1018"/>
        <w:spacing w:after="0" w:line="254" w:lineRule="auto"/>
        <w:rPr>
          <w:sz w:val="20"/>
          <w:szCs w:val="20"/>
          <w:color w:val="auto"/>
        </w:rPr>
      </w:pPr>
      <w:r>
        <w:rPr>
          <w:rFonts w:ascii="Arial" w:cs="Arial" w:eastAsia="Arial" w:hAnsi="Arial"/>
          <w:sz w:val="18"/>
          <w:szCs w:val="18"/>
          <w:color w:val="auto"/>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prior to December 15, 2022, RMS are included in the consolidated financial statements of the Company. RMS was dissolved as of December 15, 2022</w:t>
      </w:r>
    </w:p>
    <w:p>
      <w:pPr>
        <w:spacing w:after="0" w:line="195" w:lineRule="exact"/>
        <w:rPr>
          <w:sz w:val="20"/>
          <w:szCs w:val="20"/>
          <w:color w:val="auto"/>
        </w:rPr>
      </w:pPr>
    </w:p>
    <w:p>
      <w:pPr>
        <w:ind w:firstLine="1018"/>
        <w:spacing w:after="0" w:line="285" w:lineRule="auto"/>
        <w:rPr>
          <w:sz w:val="20"/>
          <w:szCs w:val="20"/>
          <w:color w:val="auto"/>
        </w:rPr>
      </w:pPr>
      <w:r>
        <w:rPr>
          <w:rFonts w:ascii="Arial" w:cs="Arial" w:eastAsia="Arial" w:hAnsi="Arial"/>
          <w:sz w:val="16"/>
          <w:szCs w:val="16"/>
          <w:color w:val="auto"/>
        </w:rPr>
        <w:t>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ind w:right="340" w:firstLine="1018"/>
        <w:spacing w:after="0" w:line="25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to date has been derived from evaluation agreements, which are recorded as contract revenue. As of December 31, 2022, we had no active evaluation agreements, and therefore we expect that our revenue for the next several years will be derived from any new agreements that may be executed in the future.</w:t>
      </w:r>
    </w:p>
    <w:p>
      <w:pPr>
        <w:spacing w:after="0" w:line="187"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8"/>
          <w:szCs w:val="18"/>
          <w:color w:val="auto"/>
        </w:rPr>
        <w:t>Our ability to generate commercial product revenue and to become profitable will depend upon our ability to successfully develop, obtain regulatory approval for and commercialize the RaniPill capsule and RaniPill HC. Because of the numerous risks and uncertainties associated with product development, regulatory approval and commercialization, we are unable to predict the amount, timing or whether we will be able to generate any commercial product revenue.</w:t>
      </w:r>
    </w:p>
    <w:p>
      <w:pPr>
        <w:spacing w:after="0" w:line="7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operating expenses consisted of research and development and general and administrative activities.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develop the RaniPill GO and RaniPill HC. These expenses include: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External expenses, consisting of:</w:t>
      </w:r>
    </w:p>
    <w:p>
      <w:pPr>
        <w:spacing w:after="0" w:line="225" w:lineRule="exact"/>
        <w:rPr>
          <w:sz w:val="20"/>
          <w:szCs w:val="20"/>
          <w:color w:val="auto"/>
        </w:rPr>
      </w:pPr>
    </w:p>
    <w:p>
      <w:pPr>
        <w:ind w:left="1660" w:hanging="514"/>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25" w:lineRule="exact"/>
        <w:rPr>
          <w:rFonts w:ascii="Arial" w:cs="Arial" w:eastAsia="Arial" w:hAnsi="Arial"/>
          <w:sz w:val="18"/>
          <w:szCs w:val="18"/>
          <w:color w:val="auto"/>
        </w:rPr>
      </w:pPr>
    </w:p>
    <w:p>
      <w:pPr>
        <w:ind w:left="1660" w:right="340" w:hanging="514"/>
        <w:spacing w:after="0" w:line="277" w:lineRule="auto"/>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GO, RaniPill HC and other materials;</w:t>
      </w:r>
    </w:p>
    <w:p>
      <w:pPr>
        <w:spacing w:after="0" w:line="170" w:lineRule="exact"/>
        <w:rPr>
          <w:rFonts w:ascii="Arial" w:cs="Arial" w:eastAsia="Arial" w:hAnsi="Arial"/>
          <w:sz w:val="18"/>
          <w:szCs w:val="18"/>
          <w:color w:val="auto"/>
        </w:rPr>
      </w:pPr>
    </w:p>
    <w:p>
      <w:pPr>
        <w:ind w:left="1660" w:hanging="514"/>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25" w:lineRule="exact"/>
        <w:rPr>
          <w:rFonts w:ascii="Arial" w:cs="Arial" w:eastAsia="Arial" w:hAnsi="Arial"/>
          <w:sz w:val="18"/>
          <w:szCs w:val="18"/>
          <w:color w:val="auto"/>
        </w:rPr>
      </w:pPr>
    </w:p>
    <w:p>
      <w:pPr>
        <w:ind w:left="1660" w:hanging="514"/>
        <w:spacing w:after="0"/>
        <w:tabs>
          <w:tab w:leader="none" w:pos="1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services.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Internal expenses, consisting of:</w:t>
      </w:r>
    </w:p>
    <w:p>
      <w:pPr>
        <w:spacing w:after="0" w:line="225" w:lineRule="exact"/>
        <w:rPr>
          <w:sz w:val="20"/>
          <w:szCs w:val="20"/>
          <w:color w:val="auto"/>
        </w:rPr>
      </w:pPr>
    </w:p>
    <w:p>
      <w:pPr>
        <w:ind w:left="1660" w:right="940" w:hanging="514"/>
        <w:spacing w:after="0" w:line="277" w:lineRule="auto"/>
        <w:tabs>
          <w:tab w:leader="none" w:pos="1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including salaries, bonuses, equity-based compensation and benefits for personnel engaged in the research and development functions;</w:t>
      </w:r>
    </w:p>
    <w:p>
      <w:pPr>
        <w:spacing w:after="0" w:line="170" w:lineRule="exact"/>
        <w:rPr>
          <w:rFonts w:ascii="Arial" w:cs="Arial" w:eastAsia="Arial" w:hAnsi="Arial"/>
          <w:sz w:val="18"/>
          <w:szCs w:val="18"/>
          <w:color w:val="auto"/>
        </w:rPr>
      </w:pPr>
    </w:p>
    <w:p>
      <w:pPr>
        <w:ind w:left="1660" w:right="480" w:hanging="514"/>
        <w:spacing w:after="0" w:line="277" w:lineRule="auto"/>
        <w:tabs>
          <w:tab w:leader="none" w:pos="1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70" w:lineRule="exact"/>
        <w:rPr>
          <w:rFonts w:ascii="Arial" w:cs="Arial" w:eastAsia="Arial" w:hAnsi="Arial"/>
          <w:sz w:val="18"/>
          <w:szCs w:val="18"/>
          <w:color w:val="auto"/>
        </w:rPr>
      </w:pPr>
    </w:p>
    <w:p>
      <w:pPr>
        <w:ind w:left="1660" w:hanging="514"/>
        <w:spacing w:after="0"/>
        <w:tabs>
          <w:tab w:leader="none" w:pos="1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77" w:lineRule="exact"/>
        <w:rPr>
          <w:sz w:val="20"/>
          <w:szCs w:val="20"/>
          <w:color w:val="auto"/>
        </w:rPr>
      </w:pPr>
    </w:p>
    <w:p>
      <w:pPr>
        <w:ind w:right="360" w:firstLine="1018"/>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right="40" w:firstLine="1018"/>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right="40" w:firstLine="1018"/>
        <w:spacing w:after="0" w:line="270"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in the foreseeable 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GO and RaniPill HC and our product candidates is highly uncertain, and we may never succeed in successfully developing the RaniPill GO and/or RaniPill HC or achieve the development of, and regulatory approval for, our product candidates.</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20" w:firstLine="1018"/>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88" w:lineRule="exact"/>
        <w:rPr>
          <w:sz w:val="20"/>
          <w:szCs w:val="20"/>
          <w:color w:val="auto"/>
        </w:rPr>
      </w:pPr>
    </w:p>
    <w:p>
      <w:pPr>
        <w:ind w:right="200" w:firstLine="1018"/>
        <w:spacing w:after="0" w:line="257"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GO and RaniPill HC and our product candidates.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80" w:firstLine="1018"/>
        <w:spacing w:after="0" w:line="277" w:lineRule="auto"/>
        <w:rPr>
          <w:sz w:val="20"/>
          <w:szCs w:val="20"/>
          <w:color w:val="auto"/>
        </w:rPr>
      </w:pPr>
      <w:r>
        <w:rPr>
          <w:rFonts w:ascii="Arial" w:cs="Arial" w:eastAsia="Arial" w:hAnsi="Arial"/>
          <w:sz w:val="18"/>
          <w:szCs w:val="18"/>
          <w:color w:val="auto"/>
        </w:rPr>
        <w:t>Other income (expense), net primarily consists of interest income earned on our cash equivalents and marketable securities and interest expense from our long-term debt and amortization of debt discount and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70" w:lineRule="exact"/>
        <w:rPr>
          <w:sz w:val="20"/>
          <w:szCs w:val="20"/>
          <w:color w:val="auto"/>
        </w:rPr>
      </w:pPr>
    </w:p>
    <w:p>
      <w:pPr>
        <w:ind w:firstLine="1018"/>
        <w:spacing w:after="0" w:line="296" w:lineRule="auto"/>
        <w:rPr>
          <w:sz w:val="20"/>
          <w:szCs w:val="20"/>
          <w:color w:val="auto"/>
        </w:rPr>
      </w:pPr>
      <w:r>
        <w:rPr>
          <w:rFonts w:ascii="Arial" w:cs="Arial" w:eastAsia="Arial" w:hAnsi="Arial"/>
          <w:sz w:val="16"/>
          <w:szCs w:val="16"/>
          <w:color w:val="auto"/>
        </w:rPr>
        <w:t>In August 2021, based on the Organizational Transactions, the Company became the sole managing member of Rani LLC. As of December 31, 2022, the Company held approximately 50% of the Class A Units of Rani LLC, and approximately 50% of the outstanding Class A Units of Rani LLC are held by the Continuing LLC Owners. Therefore, we report NCI based on the Class A Units of Rani LLC held by the Continuing LLC Owners on our consolidated balance sheet as of December 31, 2022. Income or loss attributed to the NCI in Rani LLC is based on the Class A Units outstanding during the period for which the income or loss is generated and is presented on the consolidated statements of operations and comprehensive income or loss.</w:t>
      </w:r>
    </w:p>
    <w:p>
      <w:pPr>
        <w:spacing w:after="0" w:line="161" w:lineRule="exact"/>
        <w:rPr>
          <w:sz w:val="20"/>
          <w:szCs w:val="20"/>
          <w:color w:val="auto"/>
        </w:rPr>
      </w:pPr>
    </w:p>
    <w:p>
      <w:pPr>
        <w:ind w:right="240" w:firstLine="1018"/>
        <w:spacing w:after="0" w:line="279"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2022, there were 5,173,947 exchanges of Paired Interests and 158,051 exchanges of noncorresponding Class A Units of Rani LLC for an equal number of shares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right="340" w:firstLine="1018"/>
        <w:spacing w:after="0" w:line="257" w:lineRule="auto"/>
        <w:rPr>
          <w:sz w:val="20"/>
          <w:szCs w:val="20"/>
          <w:color w:val="auto"/>
        </w:rPr>
      </w:pPr>
      <w:r>
        <w:rPr>
          <w:rFonts w:ascii="Arial" w:cs="Arial" w:eastAsia="Arial" w:hAnsi="Arial"/>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88"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InCube Labs,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right="200" w:firstLine="1018"/>
        <w:spacing w:after="0" w:line="259" w:lineRule="auto"/>
        <w:rPr>
          <w:sz w:val="20"/>
          <w:szCs w:val="20"/>
          <w:color w:val="auto"/>
        </w:rPr>
      </w:pPr>
      <w:r>
        <w:rPr>
          <w:rFonts w:ascii="Arial" w:cs="Arial" w:eastAsia="Arial" w:hAnsi="Arial"/>
          <w:sz w:val="18"/>
          <w:szCs w:val="18"/>
          <w:color w:val="auto"/>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8" w:name="page99"/>
    <w:bookmarkEnd w:id="98"/>
    <w:p>
      <w:pPr>
        <w:ind w:right="20"/>
        <w:spacing w:after="0" w:line="291" w:lineRule="auto"/>
        <w:rPr>
          <w:sz w:val="20"/>
          <w:szCs w:val="20"/>
          <w:color w:val="auto"/>
        </w:rPr>
      </w:pPr>
      <w:r>
        <w:rPr>
          <w:rFonts w:ascii="Arial" w:cs="Arial" w:eastAsia="Arial" w:hAnsi="Arial"/>
          <w:sz w:val="16"/>
          <w:szCs w:val="16"/>
          <w:color w:val="auto"/>
        </w:rPr>
        <w:t>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66" w:lineRule="exact"/>
        <w:rPr>
          <w:sz w:val="20"/>
          <w:szCs w:val="20"/>
          <w:color w:val="auto"/>
        </w:rPr>
      </w:pPr>
    </w:p>
    <w:p>
      <w:pPr>
        <w:ind w:right="80" w:firstLine="1018"/>
        <w:spacing w:after="0" w:line="271" w:lineRule="auto"/>
        <w:rPr>
          <w:sz w:val="20"/>
          <w:szCs w:val="20"/>
          <w:color w:val="auto"/>
        </w:rPr>
      </w:pPr>
      <w:r>
        <w:rPr>
          <w:rFonts w:ascii="Arial" w:cs="Arial" w:eastAsia="Arial" w:hAnsi="Arial"/>
          <w:sz w:val="17"/>
          <w:szCs w:val="17"/>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8" w:lineRule="exact"/>
        <w:rPr>
          <w:sz w:val="20"/>
          <w:szCs w:val="20"/>
          <w:color w:val="auto"/>
        </w:rPr>
      </w:pPr>
    </w:p>
    <w:p>
      <w:pPr>
        <w:ind w:right="380" w:firstLine="1018"/>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net of the amount charged to ICL under the RMS-ICL Service Agreement, which is included in the consolidated statements of operations and comprehensive loss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right="40" w:firstLine="1018"/>
        <w:spacing w:after="0" w:line="269"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60" w:firstLine="1018"/>
        <w:spacing w:after="0" w:line="286" w:lineRule="auto"/>
        <w:rPr>
          <w:sz w:val="20"/>
          <w:szCs w:val="20"/>
          <w:color w:val="auto"/>
        </w:rPr>
      </w:pPr>
      <w:r>
        <w:rPr>
          <w:rFonts w:ascii="Arial" w:cs="Arial" w:eastAsia="Arial" w:hAnsi="Arial"/>
          <w:sz w:val="17"/>
          <w:szCs w:val="17"/>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year ended December 31, 2022, these parties to the TRA exchanged 2,317,184 Paired Interests that resulted in tax benefits subject to the TRA.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40" w:firstLine="1018"/>
        <w:spacing w:after="0" w:line="254" w:lineRule="auto"/>
        <w:rPr>
          <w:sz w:val="20"/>
          <w:szCs w:val="20"/>
          <w:color w:val="auto"/>
        </w:rPr>
      </w:pPr>
      <w:r>
        <w:rPr>
          <w:rFonts w:ascii="Arial" w:cs="Arial" w:eastAsia="Arial" w:hAnsi="Arial"/>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25" w:lineRule="exact"/>
        <w:rPr>
          <w:sz w:val="20"/>
          <w:szCs w:val="20"/>
          <w:color w:val="auto"/>
        </w:rPr>
      </w:pPr>
    </w:p>
    <w:p>
      <w:pPr>
        <w:ind w:right="140" w:firstLine="1018"/>
        <w:spacing w:after="0" w:line="273" w:lineRule="auto"/>
        <w:rPr>
          <w:sz w:val="20"/>
          <w:szCs w:val="20"/>
          <w:color w:val="auto"/>
        </w:rPr>
      </w:pPr>
      <w:r>
        <w:rPr>
          <w:rFonts w:ascii="Arial" w:cs="Arial" w:eastAsia="Arial" w:hAnsi="Arial"/>
          <w:sz w:val="17"/>
          <w:szCs w:val="17"/>
          <w:color w:val="auto"/>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pacing w:after="0" w:line="178" w:lineRule="exact"/>
        <w:rPr>
          <w:sz w:val="20"/>
          <w:szCs w:val="20"/>
          <w:color w:val="auto"/>
        </w:rPr>
      </w:pPr>
    </w:p>
    <w:p>
      <w:pPr>
        <w:ind w:right="840" w:firstLine="1018"/>
        <w:spacing w:after="0" w:line="277" w:lineRule="auto"/>
        <w:rPr>
          <w:sz w:val="20"/>
          <w:szCs w:val="20"/>
          <w:color w:val="auto"/>
        </w:rPr>
      </w:pPr>
      <w:r>
        <w:rPr>
          <w:rFonts w:ascii="Arial" w:cs="Arial" w:eastAsia="Arial" w:hAnsi="Arial"/>
          <w:sz w:val="18"/>
          <w:szCs w:val="18"/>
          <w:color w:val="auto"/>
        </w:rPr>
        <w:t>During the year ended December 31, 2022, these parties to the Rani LLC Agreement exchanged 2,317,184 Paired Interests for the Company's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40" w:firstLine="1018"/>
        <w:spacing w:after="0" w:line="27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Annual Report on Form 10-K.</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0" w:name="page101"/>
    <w:bookmarkEnd w:id="100"/>
    <w:p>
      <w:pPr>
        <w:ind w:left="102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4"/>
                <w:szCs w:val="14"/>
                <w:color w:val="auto"/>
              </w:rPr>
            </w:pPr>
          </w:p>
        </w:tc>
      </w:tr>
      <w:tr>
        <w:trPr>
          <w:trHeight w:val="23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(3.6 )</w:t>
            </w:r>
          </w:p>
        </w:tc>
        <w:tc>
          <w:tcPr>
            <w:tcW w:w="180" w:type="dxa"/>
            <w:vAlign w:val="bottom"/>
          </w:tcPr>
          <w:p>
            <w:pPr>
              <w:spacing w:after="0"/>
              <w:rPr>
                <w:sz w:val="21"/>
                <w:szCs w:val="21"/>
                <w:color w:val="auto"/>
              </w:rPr>
            </w:pPr>
          </w:p>
        </w:tc>
      </w:tr>
      <w:tr>
        <w:trPr>
          <w:trHeight w:val="237"/>
        </w:trPr>
        <w:tc>
          <w:tcPr>
            <w:tcW w:w="55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54,316</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58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(63,451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(51,599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 and other,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(700 )</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Pr>
          <w:p>
            <w:pPr>
              <w:spacing w:after="0"/>
              <w:rPr>
                <w:sz w:val="20"/>
                <w:szCs w:val="20"/>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(1,071 )</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(466 )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estimated fair value of preferred unit warrant</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(371 )</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0"/>
        </w:trPr>
        <w:tc>
          <w:tcPr>
            <w:tcW w:w="5580" w:type="dxa"/>
            <w:vAlign w:val="bottom"/>
          </w:tcPr>
          <w:p>
            <w:pPr>
              <w:ind w:left="54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20"/>
                <w:szCs w:val="20"/>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(63,274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(53,047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5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(70 )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(41 )</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(63,344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(53,088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5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(32,756 )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(44,757 )</w:t>
            </w:r>
          </w:p>
        </w:tc>
        <w:tc>
          <w:tcPr>
            <w:tcW w:w="2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(26.8 )</w:t>
            </w:r>
          </w:p>
        </w:tc>
        <w:tc>
          <w:tcPr>
            <w:tcW w:w="180" w:type="dxa"/>
            <w:vAlign w:val="bottom"/>
            <w:shd w:val="clear" w:color="auto" w:fill="CFF0FC"/>
          </w:tcPr>
          <w:p>
            <w:pPr>
              <w:spacing w:after="0"/>
              <w:rPr>
                <w:sz w:val="21"/>
                <w:szCs w:val="2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36"/>
        </w:trPr>
        <w:tc>
          <w:tcPr>
            <w:tcW w:w="558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(30,588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(8,331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-187960</wp:posOffset>
            </wp:positionV>
            <wp:extent cx="60325"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No comparable result in the period</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right="80" w:firstLine="1018"/>
        <w:spacing w:after="0" w:line="277" w:lineRule="auto"/>
        <w:rPr>
          <w:sz w:val="20"/>
          <w:szCs w:val="20"/>
          <w:color w:val="auto"/>
        </w:rPr>
      </w:pPr>
      <w:r>
        <w:rPr>
          <w:rFonts w:ascii="Arial" w:cs="Arial" w:eastAsia="Arial" w:hAnsi="Arial"/>
          <w:sz w:val="18"/>
          <w:szCs w:val="18"/>
          <w:color w:val="auto"/>
        </w:rPr>
        <w:t>For the year ended December 31, 2022, we had no contract revenue. For the year ended December 31, 2021, we recognized contract revenue related to the Takeda agreement of $2.7 million.</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Payroll, equity-based compensation and related benefits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20,120</w:t>
            </w:r>
          </w:p>
        </w:tc>
        <w:tc>
          <w:tcPr>
            <w:tcW w:w="80" w:type="dxa"/>
            <w:vAlign w:val="bottom"/>
            <w:shd w:val="clear" w:color="auto" w:fill="CFF0FC"/>
          </w:tcPr>
          <w:p>
            <w:pPr>
              <w:spacing w:after="0"/>
              <w:rPr>
                <w:sz w:val="20"/>
                <w:szCs w:val="20"/>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Facilities, materials and supplies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3,595</w:t>
            </w: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Third-party services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80" w:type="dxa"/>
            <w:vAlign w:val="bottom"/>
            <w:shd w:val="clear" w:color="auto" w:fill="CFF0FC"/>
          </w:tcPr>
          <w:p>
            <w:pPr>
              <w:spacing w:after="0"/>
              <w:rPr>
                <w:sz w:val="21"/>
                <w:szCs w:val="2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0"/>
                <w:szCs w:val="20"/>
                <w:color w:val="auto"/>
              </w:rPr>
            </w:pPr>
          </w:p>
        </w:tc>
      </w:tr>
      <w:tr>
        <w:trPr>
          <w:trHeight w:val="277"/>
        </w:trPr>
        <w:tc>
          <w:tcPr>
            <w:tcW w:w="6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0" w:firstLine="1018"/>
        <w:spacing w:after="0" w:line="257" w:lineRule="auto"/>
        <w:rPr>
          <w:sz w:val="20"/>
          <w:szCs w:val="20"/>
          <w:color w:val="auto"/>
        </w:rPr>
      </w:pPr>
      <w:r>
        <w:rPr>
          <w:rFonts w:ascii="Arial" w:cs="Arial" w:eastAsia="Arial" w:hAnsi="Arial"/>
          <w:sz w:val="18"/>
          <w:szCs w:val="18"/>
          <w:color w:val="auto"/>
        </w:rPr>
        <w:t>Research and development expenses were $36.6 million for the year ended December 31, 2022, compared to $26.5 million for the year ended December 31, 2021. The difference was primarily attributed to higher compensation costs of $6.6 million due to headcount growth, third-party services expense of $3.3 million and facilities, materials and supplies expense of $2.1 million due to increased preclinical and clinical development activities, partially offset by a decrease of $1.9 million in equity-based compensation due to our non-recurring IPO and Organizational Transactions for the year ended December 31, 2021.</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firstLine="1018"/>
        <w:spacing w:after="0" w:line="257" w:lineRule="auto"/>
        <w:rPr>
          <w:sz w:val="20"/>
          <w:szCs w:val="20"/>
          <w:color w:val="auto"/>
        </w:rPr>
      </w:pPr>
      <w:r>
        <w:rPr>
          <w:rFonts w:ascii="Arial" w:cs="Arial" w:eastAsia="Arial" w:hAnsi="Arial"/>
          <w:sz w:val="18"/>
          <w:szCs w:val="18"/>
          <w:color w:val="auto"/>
        </w:rPr>
        <w:t>General and administrative expenses were $26.8 million for the year ended December 31, 2022, compared to $27.8 million for the year ended December 31, 2021. The difference was primarily attributed to higher compensation costs of $2.0 million due to headcount growth, third-party services of $1.6 million due to public company related costs, and travel expenses of $1.0 million, partially offset by a decrease of $4.9 million in equity-based compensation due to our non-recurring IPO and Organizational Transactions for the year ended December 31, 2021 and facility, material and supplies expenses of $0.6 million.</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right="400" w:firstLine="1018"/>
        <w:spacing w:after="0" w:line="263" w:lineRule="auto"/>
        <w:rPr>
          <w:sz w:val="20"/>
          <w:szCs w:val="20"/>
          <w:color w:val="auto"/>
        </w:rPr>
      </w:pPr>
      <w:r>
        <w:rPr>
          <w:rFonts w:ascii="Arial" w:cs="Arial" w:eastAsia="Arial" w:hAnsi="Arial"/>
          <w:sz w:val="18"/>
          <w:szCs w:val="18"/>
          <w:color w:val="auto"/>
        </w:rPr>
        <w:t>Other income, net, was $0.2 million for the year ended December 31, 2022, compared to other expense, net, of $1.4 million for the year ended December 31, 2021. The difference was primarily attributed to an increase in interest income of $1.2 million from our investment in marketable securities, loss on extinguishment of debt of $0.7 million, and change in estimated fair</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value of preferred unit warrants of $0.4 million, partially offset by an increase in interest expense of $0.6 million from our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right="60" w:firstLine="1018"/>
        <w:spacing w:after="0" w:line="271" w:lineRule="auto"/>
        <w:rPr>
          <w:sz w:val="20"/>
          <w:szCs w:val="20"/>
          <w:color w:val="auto"/>
        </w:rPr>
      </w:pPr>
      <w:r>
        <w:rPr>
          <w:rFonts w:ascii="Arial" w:cs="Arial" w:eastAsia="Arial" w:hAnsi="Arial"/>
          <w:sz w:val="17"/>
          <w:szCs w:val="17"/>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 In August 2021, we raised net proceeds of $73.6 million from the IPO.</w:t>
      </w:r>
    </w:p>
    <w:p>
      <w:pPr>
        <w:spacing w:after="0" w:line="178" w:lineRule="exact"/>
        <w:rPr>
          <w:sz w:val="20"/>
          <w:szCs w:val="20"/>
          <w:color w:val="auto"/>
        </w:rPr>
      </w:pPr>
    </w:p>
    <w:p>
      <w:pPr>
        <w:ind w:right="80" w:firstLine="1018"/>
        <w:spacing w:after="0" w:line="273" w:lineRule="auto"/>
        <w:rPr>
          <w:sz w:val="20"/>
          <w:szCs w:val="20"/>
          <w:color w:val="auto"/>
        </w:rPr>
      </w:pPr>
      <w:r>
        <w:rPr>
          <w:rFonts w:ascii="Arial" w:cs="Arial" w:eastAsia="Arial" w:hAnsi="Arial"/>
          <w:sz w:val="17"/>
          <w:szCs w:val="17"/>
          <w:color w:val="auto"/>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December 31, 2022, we were in compliance with all applicable debt covenants under the Loan Agreement and had cash, cash equivalents and marketable securities totaling $98.5 million.</w:t>
      </w:r>
    </w:p>
    <w:p>
      <w:pPr>
        <w:spacing w:after="0" w:line="178" w:lineRule="exact"/>
        <w:rPr>
          <w:sz w:val="20"/>
          <w:szCs w:val="20"/>
          <w:color w:val="auto"/>
        </w:rPr>
      </w:pPr>
    </w:p>
    <w:p>
      <w:pPr>
        <w:ind w:right="20" w:firstLine="1018"/>
        <w:spacing w:after="0" w:line="259" w:lineRule="auto"/>
        <w:rPr>
          <w:sz w:val="20"/>
          <w:szCs w:val="20"/>
          <w:color w:val="auto"/>
        </w:rPr>
      </w:pPr>
      <w:r>
        <w:rPr>
          <w:rFonts w:ascii="Arial" w:cs="Arial" w:eastAsia="Arial" w:hAnsi="Arial"/>
          <w:sz w:val="18"/>
          <w:szCs w:val="18"/>
          <w:color w:val="auto"/>
        </w:rPr>
        <w:t>In August 2022, we entered into the Sales Agreement with the Agents, pursuant to which we may offer and sell from time to time through the Agents up to $150.0 million of shares of our Class A common stock, in such share amounts as we may specify by delivering a placement notice to the Agents, in accordance with the terms and conditions set forth in the Sales Agreement. As of December 31, 2022, we had not delivered any placement notices to either of the Agents.</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Since our inception, we have incurred significant losses and negative cash flows from operations. Our net losses were $63.3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$53.1 million for the year ended December 31, 2022 and 2021, respectively. As of December 31, 2022, we had an accumulated deficit of $38.9 million.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to continue to incur significant losses for the foreseeable future, and our net losses may fluctuate significantly from period to period, depending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timing of and expenditures on our planned research and development activities. Until such time as we can generate sufficient revenue from commercial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sales, if ever, we expect to finance our operations through a combination of equity offerings and debt financings, which may include ATM Sales,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capital sources, which may include strategic collaborations or other arrangements with third parties. We may be unable to raise additional funds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 into such agreements or arrangements on favorable terms, or at all. If we are unable to raise capital or enter into such 36 agreements as and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needed, we may have to significantly delay, scale back or discontinue the development or commercialization of one or more of our product candidates.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Insufficient liquidity may also require us to relinquish rights to product candidates at an earlier stage of development or on less favorable terms than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would otherwise choose.</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90" w:lineRule="auto"/>
        <w:rPr>
          <w:sz w:val="20"/>
          <w:szCs w:val="20"/>
          <w:color w:val="auto"/>
        </w:rPr>
      </w:pPr>
      <w:r>
        <w:rPr>
          <w:rFonts w:ascii="Arial" w:cs="Arial" w:eastAsia="Arial" w:hAnsi="Arial"/>
          <w:sz w:val="16"/>
          <w:szCs w:val="16"/>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165" w:lineRule="exact"/>
        <w:rPr>
          <w:sz w:val="20"/>
          <w:szCs w:val="20"/>
          <w:color w:val="auto"/>
        </w:rPr>
      </w:pPr>
    </w:p>
    <w:p>
      <w:pPr>
        <w:jc w:val="both"/>
        <w:ind w:right="140" w:firstLine="1018"/>
        <w:spacing w:after="0" w:line="263" w:lineRule="auto"/>
        <w:rPr>
          <w:sz w:val="20"/>
          <w:szCs w:val="20"/>
          <w:color w:val="auto"/>
        </w:rPr>
      </w:pPr>
      <w:r>
        <w:rPr>
          <w:rFonts w:ascii="Arial" w:cs="Arial" w:eastAsia="Arial" w:hAnsi="Arial"/>
          <w:sz w:val="18"/>
          <w:szCs w:val="18"/>
          <w:color w:val="auto"/>
        </w:rPr>
        <w:t>As of December 31, 2022,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2" w:name="page103"/>
    <w:bookmarkEnd w:id="102"/>
    <w:p>
      <w:pPr>
        <w:ind w:right="240"/>
        <w:spacing w:after="0" w:line="277" w:lineRule="auto"/>
        <w:rPr>
          <w:sz w:val="20"/>
          <w:szCs w:val="20"/>
          <w:color w:val="auto"/>
        </w:rPr>
      </w:pPr>
      <w:r>
        <w:rPr>
          <w:rFonts w:ascii="Arial" w:cs="Arial" w:eastAsia="Arial" w:hAnsi="Arial"/>
          <w:sz w:val="18"/>
          <w:szCs w:val="18"/>
          <w:color w:val="auto"/>
        </w:rPr>
        <w:t>Interest or non-corresponding Class A Units of Rani LLC subject to the TRA, the TRA payable would range from zero to $22.9 million at December 31, 2022.</w:t>
      </w:r>
    </w:p>
    <w:p>
      <w:pPr>
        <w:spacing w:after="0" w:line="170"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40" w:firstLine="1018"/>
        <w:spacing w:after="0" w:line="293" w:lineRule="auto"/>
        <w:rPr>
          <w:sz w:val="20"/>
          <w:szCs w:val="20"/>
          <w:color w:val="auto"/>
        </w:rPr>
      </w:pPr>
      <w:r>
        <w:rPr>
          <w:rFonts w:ascii="Arial" w:cs="Arial" w:eastAsia="Arial" w:hAnsi="Arial"/>
          <w:sz w:val="16"/>
          <w:szCs w:val="16"/>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GO, RaniPill HC and our product candidates and because the extent to which we may enter into strategic collaborations or other arrangements with third parties for development of the RaniPill GO, RaniPill HC and/or our product candidates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 In addition, we expect to incur additional costs operating as a public company.</w:t>
      </w:r>
    </w:p>
    <w:p>
      <w:pPr>
        <w:spacing w:after="0" w:line="164" w:lineRule="exact"/>
        <w:rPr>
          <w:sz w:val="20"/>
          <w:szCs w:val="20"/>
          <w:color w:val="auto"/>
        </w:rPr>
      </w:pPr>
    </w:p>
    <w:p>
      <w:pPr>
        <w:ind w:right="160" w:firstLine="1018"/>
        <w:spacing w:after="0" w:line="257" w:lineRule="auto"/>
        <w:rPr>
          <w:sz w:val="20"/>
          <w:szCs w:val="20"/>
          <w:color w:val="auto"/>
        </w:rPr>
      </w:pPr>
      <w:r>
        <w:rPr>
          <w:rFonts w:ascii="Arial" w:cs="Arial" w:eastAsia="Arial" w:hAnsi="Arial"/>
          <w:sz w:val="18"/>
          <w:szCs w:val="18"/>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88" w:lineRule="exact"/>
        <w:rPr>
          <w:sz w:val="20"/>
          <w:szCs w:val="20"/>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25" w:lineRule="exact"/>
        <w:rPr>
          <w:rFonts w:ascii="Arial" w:cs="Arial" w:eastAsia="Arial" w:hAnsi="Arial"/>
          <w:sz w:val="18"/>
          <w:szCs w:val="18"/>
          <w:color w:val="auto"/>
        </w:rPr>
      </w:pPr>
    </w:p>
    <w:p>
      <w:pPr>
        <w:ind w:left="1540" w:right="40" w:hanging="514"/>
        <w:spacing w:after="0" w:line="259" w:lineRule="auto"/>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spacing w:after="0" w:line="186"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rFonts w:ascii="Arial" w:cs="Arial" w:eastAsia="Arial" w:hAnsi="Arial"/>
          <w:sz w:val="18"/>
          <w:szCs w:val="18"/>
          <w:color w:val="auto"/>
        </w:rPr>
      </w:pPr>
    </w:p>
    <w:p>
      <w:pPr>
        <w:ind w:left="1540" w:right="80" w:hanging="514"/>
        <w:spacing w:after="0" w:line="277" w:lineRule="auto"/>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70"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3" w:name="page104"/>
    <w:bookmarkEnd w:id="103"/>
    <w:p>
      <w:pPr>
        <w:ind w:left="1540" w:right="300" w:hanging="514"/>
        <w:spacing w:after="0" w:line="263" w:lineRule="auto"/>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83"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rFonts w:ascii="Arial" w:cs="Arial" w:eastAsia="Arial" w:hAnsi="Arial"/>
          <w:sz w:val="18"/>
          <w:szCs w:val="18"/>
          <w:color w:val="auto"/>
        </w:rPr>
      </w:pPr>
    </w:p>
    <w:p>
      <w:pPr>
        <w:ind w:left="1540" w:hanging="514"/>
        <w:spacing w:after="0"/>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25" w:lineRule="exact"/>
        <w:rPr>
          <w:rFonts w:ascii="Arial" w:cs="Arial" w:eastAsia="Arial" w:hAnsi="Arial"/>
          <w:sz w:val="18"/>
          <w:szCs w:val="18"/>
          <w:color w:val="auto"/>
        </w:rPr>
      </w:pPr>
    </w:p>
    <w:p>
      <w:pPr>
        <w:ind w:left="1540" w:right="80" w:hanging="514"/>
        <w:spacing w:after="0" w:line="277" w:lineRule="auto"/>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70" w:lineRule="exact"/>
        <w:rPr>
          <w:rFonts w:ascii="Arial" w:cs="Arial" w:eastAsia="Arial" w:hAnsi="Arial"/>
          <w:sz w:val="18"/>
          <w:szCs w:val="18"/>
          <w:color w:val="auto"/>
        </w:rPr>
      </w:pPr>
    </w:p>
    <w:p>
      <w:pPr>
        <w:ind w:left="1540" w:right="140" w:hanging="514"/>
        <w:spacing w:after="0" w:line="277" w:lineRule="auto"/>
        <w:tabs>
          <w:tab w:leader="none" w:pos="1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right="80" w:firstLine="1018"/>
        <w:spacing w:after="0" w:line="271" w:lineRule="auto"/>
        <w:rPr>
          <w:sz w:val="20"/>
          <w:szCs w:val="20"/>
          <w:color w:val="auto"/>
        </w:rPr>
      </w:pPr>
      <w:r>
        <w:rPr>
          <w:rFonts w:ascii="Arial" w:cs="Arial" w:eastAsia="Arial" w:hAnsi="Arial"/>
          <w:sz w:val="17"/>
          <w:szCs w:val="17"/>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cash equivalents, and marketable securities:</w:t>
      </w:r>
    </w:p>
    <w:p>
      <w:pPr>
        <w:spacing w:after="0" w:line="325"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27,007</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71,475</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cash equivalents, and marketable securities</w:t>
            </w: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98,482</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40" w:firstLine="1018"/>
        <w:spacing w:after="0" w:line="263" w:lineRule="auto"/>
        <w:rPr>
          <w:sz w:val="20"/>
          <w:szCs w:val="20"/>
          <w:color w:val="auto"/>
        </w:rPr>
      </w:pPr>
      <w:r>
        <w:rPr>
          <w:rFonts w:ascii="Arial" w:cs="Arial" w:eastAsia="Arial" w:hAnsi="Arial"/>
          <w:sz w:val="18"/>
          <w:szCs w:val="18"/>
          <w:color w:val="auto"/>
        </w:rPr>
        <w:t>As of December 31, 2022, we had cash, cash equivalents, marketable securities of $98.5 million, compared to $117.5 million as of December 31, 2021. We believe our cash, cash equivalents, and marketable securities will be sufficient to meet our anticipated operating requirements for at least the next twelve months following the date of issuance of these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65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(72,436 )</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(506 )</w:t>
            </w:r>
          </w:p>
        </w:tc>
      </w:tr>
      <w:tr>
        <w:trPr>
          <w:trHeight w:val="24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20" w:type="dxa"/>
            <w:vAlign w:val="bottom"/>
          </w:tcPr>
          <w:p>
            <w:pPr>
              <w:spacing w:after="0"/>
              <w:rPr>
                <w:sz w:val="20"/>
                <w:szCs w:val="20"/>
                <w:color w:val="auto"/>
              </w:rPr>
            </w:pPr>
            <w:r>
              <w:rPr>
                <w:rFonts w:ascii="Arial" w:cs="Arial" w:eastAsia="Arial" w:hAnsi="Arial"/>
                <w:sz w:val="18"/>
                <w:szCs w:val="18"/>
                <w:color w:val="auto"/>
                <w:w w:val="99"/>
              </w:rPr>
              <w:t>Net (decrease) increase in cash, cash equivalents and restricted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 xml:space="preserve">(89,946 </w:t>
            </w:r>
            <w:r>
              <w:rPr>
                <w:rFonts w:ascii="Arial" w:cs="Arial" w:eastAsia="Arial" w:hAnsi="Arial"/>
                <w:sz w:val="18"/>
                <w:szCs w:val="18"/>
                <w:color w:val="auto"/>
                <w:highlight w:val="white"/>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44,395</w:t>
            </w:r>
          </w:p>
        </w:tc>
        <w:tc>
          <w:tcPr>
            <w:tcW w:w="10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firstLine="1018"/>
        <w:spacing w:after="0" w:line="301" w:lineRule="auto"/>
        <w:rPr>
          <w:sz w:val="20"/>
          <w:szCs w:val="20"/>
          <w:color w:val="auto"/>
        </w:rPr>
      </w:pPr>
      <w:r>
        <w:rPr>
          <w:rFonts w:ascii="Arial" w:cs="Arial" w:eastAsia="Arial" w:hAnsi="Arial"/>
          <w:sz w:val="16"/>
          <w:szCs w:val="16"/>
          <w:color w:val="auto"/>
        </w:rPr>
        <w:t>Net cash used in operating activities for the year ended December 31, 2022 was $46.5 million, which was primarily attributable to a net loss of $63.3 million, partially offset by the equity-based compensation expense of $15.8 million, non-cash operating lease expense of $0.8 million, noncash depreciation and amortization expense of $0.5 million and net accretion and amortization of investments in marketable securities of $0.9 million. Additionally, there was a decrease in prepaid expenses and other current assets of $0.5 million and an increase in accrued expenses of $0.7 million.</w:t>
      </w:r>
    </w:p>
    <w:p>
      <w:pPr>
        <w:spacing w:after="0" w:line="157" w:lineRule="exact"/>
        <w:rPr>
          <w:sz w:val="20"/>
          <w:szCs w:val="20"/>
          <w:color w:val="auto"/>
        </w:rPr>
      </w:pPr>
    </w:p>
    <w:p>
      <w:pPr>
        <w:jc w:val="both"/>
        <w:ind w:right="100" w:firstLine="1018"/>
        <w:spacing w:after="0" w:line="311" w:lineRule="auto"/>
        <w:rPr>
          <w:sz w:val="20"/>
          <w:szCs w:val="20"/>
          <w:color w:val="auto"/>
        </w:rPr>
      </w:pPr>
      <w:r>
        <w:rPr>
          <w:rFonts w:ascii="Arial" w:cs="Arial" w:eastAsia="Arial" w:hAnsi="Arial"/>
          <w:sz w:val="16"/>
          <w:szCs w:val="16"/>
          <w:color w:val="auto"/>
        </w:rPr>
        <w:t>Net cash used in operating activities for the year ended December 31, 2021 was $32.2 million, which was primarily attributable to a net loss of $53.1 million, partially offset by the equity-based compensation expense of $22.6 million, a loss on the extinguishment of the debt of $0.7 million, non-cash depreciation and amortization of $0.5 million, and the change in the estimated fair value of our preferred unit warrant liability of $0.4 million.</w:t>
      </w:r>
    </w:p>
    <w:p>
      <w:pPr>
        <w:spacing w:after="0" w:line="149" w:lineRule="exact"/>
        <w:rPr>
          <w:sz w:val="20"/>
          <w:szCs w:val="20"/>
          <w:color w:val="auto"/>
        </w:rPr>
      </w:pPr>
    </w:p>
    <w:p>
      <w:pPr>
        <w:ind w:right="320" w:firstLine="1018"/>
        <w:spacing w:after="0" w:line="342" w:lineRule="auto"/>
        <w:rPr>
          <w:sz w:val="20"/>
          <w:szCs w:val="20"/>
          <w:color w:val="auto"/>
        </w:rPr>
      </w:pPr>
      <w:r>
        <w:rPr>
          <w:rFonts w:ascii="Arial" w:cs="Arial" w:eastAsia="Arial" w:hAnsi="Arial"/>
          <w:sz w:val="16"/>
          <w:szCs w:val="16"/>
          <w:color w:val="auto"/>
        </w:rPr>
        <w:t>Additionally, there was an increase of $2.0 million in prepaid expenses and other assets due to director and officer insurance as a result of becoming a publicly traded company, an increase in accrued expenses of $0.7 million, and a decrease in deferred revenue of $2.7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20" w:firstLine="1018"/>
        <w:spacing w:after="0" w:line="342" w:lineRule="auto"/>
        <w:rPr>
          <w:sz w:val="20"/>
          <w:szCs w:val="20"/>
          <w:color w:val="auto"/>
        </w:rPr>
      </w:pPr>
      <w:r>
        <w:rPr>
          <w:rFonts w:ascii="Arial" w:cs="Arial" w:eastAsia="Arial" w:hAnsi="Arial"/>
          <w:sz w:val="16"/>
          <w:szCs w:val="16"/>
          <w:color w:val="auto"/>
        </w:rPr>
        <w:t>For the year ended December 31, 2022, net cash used in investing activities was $72.4 million consisting of $73.8 million in purchases of marketable securities, $3.0 million in proceeds from maturities of marketable securities and $1.6 million in purchases of property and equipment.</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For the year ended December 31, 2021, net cash used in investing activities was $0.5 million, consisting solely of purchases of property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60" w:firstLine="1018"/>
        <w:spacing w:after="0" w:line="311" w:lineRule="auto"/>
        <w:rPr>
          <w:sz w:val="20"/>
          <w:szCs w:val="20"/>
          <w:color w:val="auto"/>
        </w:rPr>
      </w:pPr>
      <w:r>
        <w:rPr>
          <w:rFonts w:ascii="Arial" w:cs="Arial" w:eastAsia="Arial" w:hAnsi="Arial"/>
          <w:sz w:val="16"/>
          <w:szCs w:val="16"/>
          <w:color w:val="auto"/>
        </w:rPr>
        <w:t>For the year ended December 31, 2022, net cash provided by financing activities was $29.0 million, which was primarily attributable to proceeds from the issuance of long-term debt and warrants, net of issuance costs of $29.6 million. These items were partially offset by a $0.6 million decrease for employee taxes paid on net share settlement on the vesting of restricted stock units and payment of deferred financing costs of $0.3 million.</w:t>
      </w:r>
    </w:p>
    <w:p>
      <w:pPr>
        <w:spacing w:after="0" w:line="149" w:lineRule="exact"/>
        <w:rPr>
          <w:sz w:val="20"/>
          <w:szCs w:val="20"/>
          <w:color w:val="auto"/>
        </w:rPr>
      </w:pPr>
    </w:p>
    <w:p>
      <w:pPr>
        <w:ind w:right="140" w:firstLine="1018"/>
        <w:spacing w:after="0" w:line="259" w:lineRule="auto"/>
        <w:rPr>
          <w:sz w:val="20"/>
          <w:szCs w:val="20"/>
          <w:color w:val="auto"/>
        </w:rPr>
      </w:pPr>
      <w:r>
        <w:rPr>
          <w:rFonts w:ascii="Arial" w:cs="Arial" w:eastAsia="Arial" w:hAnsi="Arial"/>
          <w:sz w:val="18"/>
          <w:szCs w:val="18"/>
          <w:color w:val="auto"/>
        </w:rPr>
        <w:t>For the year ended December 31, 2021, cash provided by financing activities was approximately $77.1 million, consisting of the proceeds from the issuance of Class A common stock sold in the IPO for net proceeds of $73.6 million, the sale and issuance of our Series E Preferred Units for net proceeds of $6.3 million, and $1.7 million of principal payments received from our related party note receivable, partially offset by repayments of the paycheck protection plan loan of $1.3 million and convertible loan of $3.3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2022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of December 31, 2022</w:t>
            </w: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Short-term</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4"/>
                <w:szCs w:val="14"/>
                <w:color w:val="auto"/>
              </w:rPr>
            </w:pPr>
          </w:p>
        </w:tc>
      </w:tr>
      <w:tr>
        <w:trPr>
          <w:trHeight w:val="237"/>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2"/>
                <w:szCs w:val="12"/>
                <w:color w:val="auto"/>
              </w:rPr>
              <w:t>(1)</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0"/>
                <w:szCs w:val="20"/>
                <w:color w:val="auto"/>
              </w:rPr>
            </w:pPr>
          </w:p>
        </w:tc>
      </w:tr>
      <w:tr>
        <w:trPr>
          <w:trHeight w:val="237"/>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Debt obligations </w:t>
            </w:r>
            <w:r>
              <w:rPr>
                <w:rFonts w:ascii="Arial" w:cs="Arial" w:eastAsia="Arial" w:hAnsi="Arial"/>
                <w:sz w:val="12"/>
                <w:szCs w:val="12"/>
                <w:color w:val="auto"/>
              </w:rPr>
              <w:t>(2)</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31,650</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31,650</w:t>
            </w:r>
          </w:p>
        </w:tc>
        <w:tc>
          <w:tcPr>
            <w:tcW w:w="100" w:type="dxa"/>
            <w:vAlign w:val="bottom"/>
            <w:tcBorders>
              <w:bottom w:val="single" w:sz="8" w:color="CFF0FC"/>
            </w:tcBorders>
          </w:tcPr>
          <w:p>
            <w:pPr>
              <w:spacing w:after="0"/>
              <w:rPr>
                <w:sz w:val="20"/>
                <w:szCs w:val="20"/>
                <w:color w:val="auto"/>
              </w:rPr>
            </w:pPr>
          </w:p>
        </w:tc>
      </w:tr>
      <w:tr>
        <w:trPr>
          <w:trHeight w:val="277"/>
        </w:trPr>
        <w:tc>
          <w:tcPr>
            <w:tcW w:w="4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32,715</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-187960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-187960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ind w:right="2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operating lease payments. See Note 8 to the consolidated financial statements contained in Part II, Item 8 of this Annual Report on Form 10-K for additional information.</w:t>
      </w:r>
    </w:p>
    <w:p>
      <w:pPr>
        <w:spacing w:after="0" w:line="170" w:lineRule="exact"/>
        <w:rPr>
          <w:rFonts w:ascii="Arial" w:cs="Arial" w:eastAsia="Arial" w:hAnsi="Arial"/>
          <w:sz w:val="18"/>
          <w:szCs w:val="18"/>
          <w:color w:val="auto"/>
        </w:rPr>
      </w:pPr>
    </w:p>
    <w:p>
      <w:pPr>
        <w:ind w:right="380" w:firstLine="8"/>
        <w:spacing w:after="0" w:line="308"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Represents long-term debt principal maturities and final payment equal to 5.5% of aggregate amount funded, excluding interest. See Note 13 to the consolidated financial statements contained in Part II, Item 8 of this Annual Report on Form 10-K for additional information.</w:t>
      </w:r>
    </w:p>
    <w:p>
      <w:pPr>
        <w:spacing w:after="0" w:line="146" w:lineRule="exact"/>
        <w:rPr>
          <w:sz w:val="20"/>
          <w:szCs w:val="20"/>
          <w:color w:val="auto"/>
        </w:rPr>
      </w:pPr>
    </w:p>
    <w:p>
      <w:pPr>
        <w:ind w:firstLine="1018"/>
        <w:spacing w:after="0" w:line="308" w:lineRule="auto"/>
        <w:rPr>
          <w:sz w:val="20"/>
          <w:szCs w:val="20"/>
          <w:color w:val="auto"/>
        </w:rPr>
      </w:pPr>
      <w:r>
        <w:rPr>
          <w:rFonts w:ascii="Arial" w:cs="Arial" w:eastAsia="Arial" w:hAnsi="Arial"/>
          <w:sz w:val="17"/>
          <w:szCs w:val="17"/>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 is based on our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240" w:firstLine="1018"/>
        <w:spacing w:after="0" w:line="263"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60" w:firstLine="1018"/>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we do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77"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Clinical and preclinical costs are a component of research and development expense. We accrue and expense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60" w:firstLine="1018"/>
        <w:spacing w:after="0" w:line="277" w:lineRule="auto"/>
        <w:rPr>
          <w:sz w:val="20"/>
          <w:szCs w:val="20"/>
          <w:color w:val="auto"/>
        </w:rPr>
      </w:pPr>
      <w:r>
        <w:rPr>
          <w:rFonts w:ascii="Arial" w:cs="Arial" w:eastAsia="Arial" w:hAnsi="Arial"/>
          <w:sz w:val="18"/>
          <w:szCs w:val="18"/>
          <w:color w:val="auto"/>
        </w:rPr>
        <w:t>For a description of the expected impact of recent accounting pronouncements, see “Note 2. Summary of Significant Accounting Policies” in the “</w:t>
      </w:r>
      <w:r>
        <w:rPr>
          <w:rFonts w:ascii="Arial" w:cs="Arial" w:eastAsia="Arial" w:hAnsi="Arial"/>
          <w:sz w:val="18"/>
          <w:szCs w:val="18"/>
          <w:i w:val="1"/>
          <w:iCs w:val="1"/>
          <w:color w:val="auto"/>
        </w:rPr>
        <w:t>Notes to the Consolidated Financial Statements</w:t>
      </w:r>
      <w:r>
        <w:rPr>
          <w:rFonts w:ascii="Arial" w:cs="Arial" w:eastAsia="Arial" w:hAnsi="Arial"/>
          <w:sz w:val="18"/>
          <w:szCs w:val="18"/>
          <w:color w:val="auto"/>
        </w:rPr>
        <w:t>” contained in Part II,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 Accounting Election</w:t>
      </w:r>
    </w:p>
    <w:p>
      <w:pPr>
        <w:spacing w:after="0" w:line="225" w:lineRule="exact"/>
        <w:rPr>
          <w:sz w:val="20"/>
          <w:szCs w:val="20"/>
          <w:color w:val="auto"/>
        </w:rPr>
      </w:pPr>
    </w:p>
    <w:p>
      <w:pPr>
        <w:ind w:right="20" w:firstLine="1018"/>
        <w:spacing w:after="0" w:line="272" w:lineRule="auto"/>
        <w:rPr>
          <w:sz w:val="20"/>
          <w:szCs w:val="20"/>
          <w:color w:val="auto"/>
        </w:rPr>
      </w:pPr>
      <w:r>
        <w:rPr>
          <w:rFonts w:ascii="Arial" w:cs="Arial" w:eastAsia="Arial" w:hAnsi="Arial"/>
          <w:sz w:val="17"/>
          <w:szCs w:val="17"/>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6" w:name="page107"/>
    <w:bookmarkEnd w:id="106"/>
    <w:p>
      <w:pPr>
        <w:ind w:left="1020"/>
        <w:spacing w:after="0"/>
        <w:rPr>
          <w:sz w:val="20"/>
          <w:szCs w:val="20"/>
          <w:color w:val="auto"/>
        </w:rPr>
      </w:pPr>
      <w:r>
        <w:rPr>
          <w:rFonts w:ascii="Arial" w:cs="Arial" w:eastAsia="Arial" w:hAnsi="Arial"/>
          <w:sz w:val="17"/>
          <w:szCs w:val="17"/>
          <w:color w:val="auto"/>
        </w:rPr>
        <w:t>We will remain an emerging growth company until the earliest of (1) December 31, 2026 (the last day of the fiscal year following the fifth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closing of our initial public offering), (2) the last day of the fiscal year in which we have total annual gross revenue of at least $1.235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billion, (3) the last day of the fiscal year in which we are deemed to be a “large accelerated filer” as defined in Rule 12b-2 under the Securities 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 of 1934, as amended (the “Exchange Act”), which would occur if the market value of our Class A common stock held by non-affiliates exceeded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 $1.0 billion in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debt securities during the prior three-year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34"/>
        </w:trPr>
        <w:tc>
          <w:tcPr>
            <w:tcW w:w="103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0"/>
                <w:szCs w:val="20"/>
                <w:color w:val="auto"/>
              </w:rPr>
            </w:pPr>
          </w:p>
        </w:tc>
      </w:tr>
      <w:tr>
        <w:trPr>
          <w:trHeight w:val="432"/>
        </w:trPr>
        <w:tc>
          <w:tcPr>
            <w:tcW w:w="10340" w:type="dxa"/>
            <w:vAlign w:val="bottom"/>
            <w:gridSpan w:val="1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Pr>
          <w:p>
            <w:pPr>
              <w:spacing w:after="0"/>
              <w:rPr>
                <w:sz w:val="24"/>
                <w:szCs w:val="24"/>
                <w:color w:val="auto"/>
              </w:rPr>
            </w:pPr>
          </w:p>
        </w:tc>
      </w:tr>
      <w:tr>
        <w:trPr>
          <w:trHeight w:val="418"/>
        </w:trPr>
        <w:tc>
          <w:tcPr>
            <w:tcW w:w="10340" w:type="dxa"/>
            <w:vAlign w:val="bottom"/>
            <w:gridSpan w:val="10"/>
          </w:tcPr>
          <w:p>
            <w:pPr>
              <w:ind w:left="20"/>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ID:42)</w:t>
            </w: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109</w:t>
            </w:r>
          </w:p>
        </w:tc>
      </w:tr>
      <w:tr>
        <w:trPr>
          <w:trHeight w:val="20"/>
        </w:trPr>
        <w:tc>
          <w:tcPr>
            <w:tcW w:w="13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0340" w:type="dxa"/>
            <w:vAlign w:val="bottom"/>
            <w:gridSpan w:val="10"/>
          </w:tcPr>
          <w:p>
            <w:pPr>
              <w:ind w:left="20"/>
              <w:spacing w:after="0"/>
              <w:rPr>
                <w:sz w:val="20"/>
                <w:szCs w:val="20"/>
                <w:color w:val="auto"/>
              </w:rPr>
            </w:pPr>
            <w:r>
              <w:rPr>
                <w:rFonts w:ascii="Arial" w:cs="Arial" w:eastAsia="Arial" w:hAnsi="Arial"/>
                <w:sz w:val="18"/>
                <w:szCs w:val="18"/>
                <w:color w:val="0000FF"/>
              </w:rPr>
              <w:t>Consolidated Balance Sheets as of December 31, 2022 and 2021</w:t>
            </w: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110</w:t>
            </w:r>
          </w:p>
        </w:tc>
      </w:tr>
      <w:tr>
        <w:trPr>
          <w:trHeight w:val="20"/>
        </w:trPr>
        <w:tc>
          <w:tcPr>
            <w:tcW w:w="138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648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89"/>
              </w:rPr>
              <w:t>Consolidated Statements of Operations for the Years Ended December 31, 2022 and 2021</w:t>
            </w:r>
          </w:p>
        </w:tc>
        <w:tc>
          <w:tcPr>
            <w:tcW w:w="20" w:type="dxa"/>
            <w:vAlign w:val="bottom"/>
            <w:tcBorders>
              <w:bottom w:val="single" w:sz="8" w:color="0000EE"/>
            </w:tcBorders>
          </w:tcPr>
          <w:p>
            <w:pPr>
              <w:spacing w:after="0"/>
              <w:rPr>
                <w:sz w:val="18"/>
                <w:szCs w:val="18"/>
                <w:color w:val="auto"/>
              </w:rPr>
            </w:pPr>
          </w:p>
        </w:tc>
        <w:tc>
          <w:tcPr>
            <w:tcW w:w="3840" w:type="dxa"/>
            <w:vAlign w:val="bottom"/>
            <w:gridSpan w:val="4"/>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w w:val="79"/>
              </w:rPr>
              <w:t>111</w:t>
            </w:r>
          </w:p>
        </w:tc>
      </w:tr>
      <w:tr>
        <w:trPr>
          <w:trHeight w:val="209"/>
        </w:trPr>
        <w:tc>
          <w:tcPr>
            <w:tcW w:w="720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89"/>
              </w:rPr>
              <w:t>Consolidated Statements of Comprehensive Loss for the Years Ended December 31, 2022 and 2021</w:t>
            </w:r>
          </w:p>
        </w:tc>
        <w:tc>
          <w:tcPr>
            <w:tcW w:w="20" w:type="dxa"/>
            <w:vAlign w:val="bottom"/>
            <w:tcBorders>
              <w:bottom w:val="single" w:sz="8" w:color="0000EE"/>
            </w:tcBorders>
          </w:tcPr>
          <w:p>
            <w:pPr>
              <w:spacing w:after="0"/>
              <w:rPr>
                <w:sz w:val="18"/>
                <w:szCs w:val="18"/>
                <w:color w:val="auto"/>
              </w:rPr>
            </w:pPr>
          </w:p>
        </w:tc>
        <w:tc>
          <w:tcPr>
            <w:tcW w:w="312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112</w:t>
            </w:r>
          </w:p>
        </w:tc>
      </w:tr>
      <w:tr>
        <w:trPr>
          <w:trHeight w:val="210"/>
        </w:trPr>
        <w:tc>
          <w:tcPr>
            <w:tcW w:w="1034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0"/>
              </w:rPr>
              <w:t>Consolidated Statements of Changes in Stockholders’ Equity/Convertible Preferred Units and Members' Deficit for the Years ended December</w:t>
            </w:r>
          </w:p>
        </w:tc>
        <w:tc>
          <w:tcPr>
            <w:tcW w:w="900" w:type="dxa"/>
            <w:vAlign w:val="bottom"/>
          </w:tcPr>
          <w:p>
            <w:pPr>
              <w:spacing w:after="0"/>
              <w:rPr>
                <w:sz w:val="18"/>
                <w:szCs w:val="18"/>
                <w:color w:val="auto"/>
              </w:rPr>
            </w:pPr>
          </w:p>
        </w:tc>
      </w:tr>
      <w:tr>
        <w:trPr>
          <w:trHeight w:val="196"/>
        </w:trPr>
        <w:tc>
          <w:tcPr>
            <w:tcW w:w="10340" w:type="dxa"/>
            <w:vAlign w:val="bottom"/>
            <w:gridSpan w:val="10"/>
          </w:tcPr>
          <w:p>
            <w:pPr>
              <w:ind w:left="20"/>
              <w:spacing w:after="0" w:line="196" w:lineRule="exact"/>
              <w:rPr>
                <w:sz w:val="20"/>
                <w:szCs w:val="20"/>
                <w:color w:val="auto"/>
              </w:rPr>
            </w:pPr>
            <w:r>
              <w:rPr>
                <w:rFonts w:ascii="Arial" w:cs="Arial" w:eastAsia="Arial" w:hAnsi="Arial"/>
                <w:sz w:val="18"/>
                <w:szCs w:val="18"/>
                <w:color w:val="0000FF"/>
              </w:rPr>
              <w:t>31, 2022 and 2021</w:t>
            </w:r>
          </w:p>
        </w:tc>
        <w:tc>
          <w:tcPr>
            <w:tcW w:w="900" w:type="dxa"/>
            <w:vAlign w:val="bottom"/>
          </w:tcPr>
          <w:p>
            <w:pPr>
              <w:ind w:left="620"/>
              <w:spacing w:after="0" w:line="196" w:lineRule="exact"/>
              <w:rPr>
                <w:sz w:val="20"/>
                <w:szCs w:val="20"/>
                <w:color w:val="auto"/>
              </w:rPr>
            </w:pPr>
            <w:r>
              <w:rPr>
                <w:rFonts w:ascii="Arial" w:cs="Arial" w:eastAsia="Arial" w:hAnsi="Arial"/>
                <w:sz w:val="18"/>
                <w:szCs w:val="18"/>
                <w:color w:val="auto"/>
                <w:w w:val="86"/>
              </w:rPr>
              <w:t>113</w:t>
            </w:r>
          </w:p>
        </w:tc>
      </w:tr>
      <w:tr>
        <w:trPr>
          <w:trHeight w:val="20"/>
        </w:trPr>
        <w:tc>
          <w:tcPr>
            <w:tcW w:w="13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9"/>
        </w:trPr>
        <w:tc>
          <w:tcPr>
            <w:tcW w:w="10340" w:type="dxa"/>
            <w:vAlign w:val="bottom"/>
            <w:gridSpan w:val="10"/>
          </w:tcPr>
          <w:p>
            <w:pPr>
              <w:ind w:left="20"/>
              <w:spacing w:after="0"/>
              <w:rPr>
                <w:sz w:val="20"/>
                <w:szCs w:val="20"/>
                <w:color w:val="auto"/>
              </w:rPr>
            </w:pPr>
            <w:r>
              <w:rPr>
                <w:rFonts w:ascii="Arial" w:cs="Arial" w:eastAsia="Arial" w:hAnsi="Arial"/>
                <w:sz w:val="18"/>
                <w:szCs w:val="18"/>
                <w:color w:val="0000FF"/>
              </w:rPr>
              <w:t>Consolidated Statements of Cash Flows for the Years Ended December 31, 2022 and 2021</w:t>
            </w: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114</w:t>
            </w:r>
          </w:p>
        </w:tc>
      </w:tr>
      <w:tr>
        <w:trPr>
          <w:trHeight w:val="210"/>
        </w:trPr>
        <w:tc>
          <w:tcPr>
            <w:tcW w:w="6520" w:type="dxa"/>
            <w:vAlign w:val="bottom"/>
            <w:tcBorders>
              <w:top w:val="single" w:sz="8" w:color="0000FF"/>
            </w:tcBorders>
            <w:gridSpan w:val="7"/>
          </w:tcPr>
          <w:p>
            <w:pPr>
              <w:ind w:left="20"/>
              <w:spacing w:after="0"/>
              <w:rPr>
                <w:sz w:val="20"/>
                <w:szCs w:val="20"/>
                <w:color w:val="auto"/>
              </w:rPr>
            </w:pPr>
            <w:r>
              <w:rPr>
                <w:rFonts w:ascii="Arial" w:cs="Arial" w:eastAsia="Arial" w:hAnsi="Arial"/>
                <w:sz w:val="18"/>
                <w:szCs w:val="18"/>
                <w:color w:val="0000FF"/>
              </w:rPr>
              <w:t>Notes to the Consolidated Financial Statements</w:t>
            </w:r>
          </w:p>
        </w:tc>
        <w:tc>
          <w:tcPr>
            <w:tcW w:w="3820" w:type="dxa"/>
            <w:vAlign w:val="bottom"/>
            <w:gridSpan w:val="3"/>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115</w:t>
            </w:r>
          </w:p>
        </w:tc>
      </w:tr>
      <w:tr>
        <w:trPr>
          <w:trHeight w:val="574"/>
        </w:trPr>
        <w:tc>
          <w:tcPr>
            <w:tcW w:w="1380" w:type="dxa"/>
            <w:vAlign w:val="bottom"/>
            <w:tcBorders>
              <w:top w:val="single" w:sz="8" w:color="0000FF"/>
            </w:tcBorders>
          </w:tcPr>
          <w:p>
            <w:pPr>
              <w:spacing w:after="0"/>
              <w:rPr>
                <w:sz w:val="24"/>
                <w:szCs w:val="24"/>
                <w:color w:val="auto"/>
              </w:rPr>
            </w:pPr>
          </w:p>
        </w:tc>
        <w:tc>
          <w:tcPr>
            <w:tcW w:w="20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w w:val="79"/>
              </w:rPr>
              <w:t>108</w:t>
            </w:r>
          </w:p>
        </w:tc>
      </w:tr>
      <w:tr>
        <w:trPr>
          <w:trHeight w:val="115"/>
        </w:trPr>
        <w:tc>
          <w:tcPr>
            <w:tcW w:w="1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Rani Therapeutics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Rani Therapeutics Holdings, Inc. (the Company) as of December 31, 2022 and 2021, the related consolidated statements of operations, comprehensive loss, changes in stockholders’ equity / convertible preferred units and members' deficit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par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Restricted cash equivalents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100,924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6,038</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108,027</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Related party payable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72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34,023</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top w:val="single" w:sz="8" w:color="CFF0FC"/>
            </w:tcBorders>
          </w:tcPr>
          <w:p>
            <w:pPr>
              <w:spacing w:after="0"/>
              <w:rPr>
                <w:sz w:val="20"/>
                <w:szCs w:val="20"/>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Preferred stock, $0.0001 par value - 20,000 shares authorized; none issued and outstanding as of</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31, 2022 and December 31, 2021</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0"/>
              <w:spacing w:after="0"/>
              <w:rPr>
                <w:sz w:val="20"/>
                <w:szCs w:val="20"/>
                <w:color w:val="auto"/>
              </w:rPr>
            </w:pPr>
            <w:r>
              <w:rPr>
                <w:rFonts w:ascii="Arial" w:cs="Arial" w:eastAsia="Arial" w:hAnsi="Arial"/>
                <w:sz w:val="18"/>
                <w:szCs w:val="18"/>
                <w:color w:val="auto"/>
                <w:w w:val="93"/>
              </w:rPr>
              <w:t>Class A common stock, $0.0001 par value - 800,000 shares authorized; 25,295 and 19,712 issued and</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Class B common stock, $0.0001 par value - 40,000 shares authorized; 24,116 and 29,290 issued and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15"/>
        </w:trPr>
        <w:tc>
          <w:tcPr>
            <w:tcW w:w="7720" w:type="dxa"/>
            <w:vAlign w:val="bottom"/>
          </w:tcPr>
          <w:p>
            <w:pPr>
              <w:ind w:left="20"/>
              <w:spacing w:after="0"/>
              <w:rPr>
                <w:sz w:val="20"/>
                <w:szCs w:val="20"/>
                <w:color w:val="auto"/>
              </w:rPr>
            </w:pPr>
            <w:r>
              <w:rPr>
                <w:rFonts w:ascii="Arial" w:cs="Arial" w:eastAsia="Arial" w:hAnsi="Arial"/>
                <w:sz w:val="18"/>
                <w:szCs w:val="18"/>
                <w:color w:val="auto"/>
                <w:w w:val="93"/>
              </w:rPr>
              <w:t>Class C common stock, $0.0001 par value - 20,000 shares authorized; none issued and outstanding as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of December 31, 2022 and December 31, 2021</w:t>
            </w:r>
          </w:p>
        </w:tc>
        <w:tc>
          <w:tcPr>
            <w:tcW w:w="9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55,737</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(73 )</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(38,919 )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(8,331 )</w:t>
            </w:r>
          </w:p>
        </w:tc>
      </w:tr>
      <w:tr>
        <w:trPr>
          <w:trHeight w:val="236"/>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 attributable to Rani Therapeutics Holdings, Inc.</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36,855</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47,411</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37,149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121,567</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108,027</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-4354195</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-2767965</wp:posOffset>
            </wp:positionV>
            <wp:extent cx="68580"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-668020</wp:posOffset>
            </wp:positionV>
            <wp:extent cx="6858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2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revenue</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26,482</w:t>
            </w: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26,844</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27,834</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63,451</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560"/>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(63,451 )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(51,599 )</w:t>
            </w:r>
          </w:p>
        </w:tc>
      </w:tr>
      <w:tr>
        <w:trPr>
          <w:trHeight w:val="24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Interest income and other, net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r>
      <w:tr>
        <w:trPr>
          <w:trHeight w:val="24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(700 )</w:t>
            </w: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Interest expense and other, net</w:t>
            </w:r>
          </w:p>
        </w:tc>
        <w:tc>
          <w:tcPr>
            <w:tcW w:w="96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(1,071 )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(466 )</w:t>
            </w: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estimated fair value of preferred unit warrant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56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(63,274 )</w:t>
            </w:r>
          </w:p>
        </w:tc>
        <w:tc>
          <w:tcPr>
            <w:tcW w:w="9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(53,047 )</w:t>
            </w:r>
          </w:p>
        </w:tc>
      </w:tr>
      <w:tr>
        <w:trPr>
          <w:trHeight w:val="24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(70 )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(63,344 )</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(53,088 )</w:t>
            </w:r>
          </w:p>
        </w:tc>
      </w:tr>
      <w:tr>
        <w:trPr>
          <w:trHeight w:val="243"/>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non-controlling interest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1"/>
              </w:rPr>
              <w:t>(32,756 )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(44,757 )</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Rani Therapeutics Holdings, Inc.</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(30,588 )</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(8,331 )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3"/>
              </w:rPr>
              <w:t>Net loss per Class A common share attributable to Rani Therapeutics Holdings, Inc., basic and diluted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Class A common shares outstanding—basic and diluted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23,817</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-2116455</wp:posOffset>
            </wp:positionV>
            <wp:extent cx="6858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-1182370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85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-548005</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124333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43330" cy="20574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(63,344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(53,088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unrealized loss on marketable securities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(149 )</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(63,493 )</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(53,088 )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 attributable to non-controlling interest</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(32,832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(44,757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 attributable to Rani Therapeutics Holdings, Inc.</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(30,661 )</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(8,331 )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-530860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EQUITY/CONVERTIBLE PREFERRED UNITS AND MEMBERS'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DEFICIT</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6"/>
              </w:rPr>
              <w:t>Class A Common Stock</w:t>
            </w:r>
          </w:p>
        </w:tc>
        <w:tc>
          <w:tcPr>
            <w:tcW w:w="1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Borders>
              <w:bottom w:val="single" w:sz="8" w:color="auto"/>
            </w:tcBorders>
            <w:gridSpan w:val="7"/>
          </w:tcPr>
          <w:p>
            <w:pPr>
              <w:ind w:left="160"/>
              <w:spacing w:after="0"/>
              <w:rPr>
                <w:sz w:val="20"/>
                <w:szCs w:val="20"/>
                <w:color w:val="auto"/>
              </w:rPr>
            </w:pPr>
            <w:r>
              <w:rPr>
                <w:rFonts w:ascii="Arial" w:cs="Arial" w:eastAsia="Arial" w:hAnsi="Arial"/>
                <w:sz w:val="12"/>
                <w:szCs w:val="12"/>
                <w:b w:val="1"/>
                <w:bCs w:val="1"/>
                <w:color w:val="auto"/>
                <w:w w:val="87"/>
              </w:rPr>
              <w:t>Class B Common Stock</w:t>
            </w:r>
          </w:p>
        </w:tc>
        <w:tc>
          <w:tcPr>
            <w:tcW w:w="1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182"/>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88"/>
              </w:rPr>
              <w:t>Additional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jc w:val="center"/>
              <w:ind w:right="262"/>
              <w:spacing w:after="0" w:line="135"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380"/>
              <w:spacing w:after="0" w:line="135" w:lineRule="exact"/>
              <w:rPr>
                <w:sz w:val="20"/>
                <w:szCs w:val="20"/>
                <w:color w:val="auto"/>
              </w:rPr>
            </w:pPr>
            <w:r>
              <w:rPr>
                <w:rFonts w:ascii="Arial" w:cs="Arial" w:eastAsia="Arial" w:hAnsi="Arial"/>
                <w:sz w:val="12"/>
                <w:szCs w:val="12"/>
                <w:b w:val="1"/>
                <w:bCs w:val="1"/>
                <w:color w:val="auto"/>
                <w:w w:val="87"/>
              </w:rPr>
              <w:t>Non-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91"/>
              </w:rPr>
              <w:t>Paid In</w:t>
            </w:r>
          </w:p>
        </w:tc>
        <w:tc>
          <w:tcPr>
            <w:tcW w:w="100" w:type="dxa"/>
            <w:vAlign w:val="bottom"/>
          </w:tcPr>
          <w:p>
            <w:pPr>
              <w:spacing w:after="0"/>
              <w:rPr>
                <w:sz w:val="11"/>
                <w:szCs w:val="11"/>
                <w:color w:val="auto"/>
              </w:rPr>
            </w:pPr>
          </w:p>
        </w:tc>
        <w:tc>
          <w:tcPr>
            <w:tcW w:w="1020" w:type="dxa"/>
            <w:vAlign w:val="bottom"/>
            <w:gridSpan w:val="5"/>
          </w:tcPr>
          <w:p>
            <w:pPr>
              <w:jc w:val="center"/>
              <w:ind w:right="182"/>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20" w:type="dxa"/>
            <w:vAlign w:val="bottom"/>
            <w:gridSpan w:val="5"/>
          </w:tcPr>
          <w:p>
            <w:pPr>
              <w:jc w:val="right"/>
              <w:ind w:right="300"/>
              <w:spacing w:after="0" w:line="135"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1"/>
                <w:szCs w:val="11"/>
                <w:color w:val="auto"/>
              </w:rPr>
            </w:pPr>
          </w:p>
        </w:tc>
        <w:tc>
          <w:tcPr>
            <w:tcW w:w="840" w:type="dxa"/>
            <w:vAlign w:val="bottom"/>
            <w:gridSpan w:val="3"/>
          </w:tcPr>
          <w:p>
            <w:pPr>
              <w:jc w:val="center"/>
              <w:ind w:right="300"/>
              <w:spacing w:after="0" w:line="135" w:lineRule="exact"/>
              <w:rPr>
                <w:sz w:val="20"/>
                <w:szCs w:val="20"/>
                <w:color w:val="auto"/>
              </w:rPr>
            </w:pPr>
            <w:r>
              <w:rPr>
                <w:rFonts w:ascii="Arial" w:cs="Arial" w:eastAsia="Arial" w:hAnsi="Arial"/>
                <w:sz w:val="12"/>
                <w:szCs w:val="12"/>
                <w:b w:val="1"/>
                <w:bCs w:val="1"/>
                <w:color w:val="auto"/>
                <w:w w:val="84"/>
              </w:rPr>
              <w:t>Controlling</w:t>
            </w:r>
          </w:p>
        </w:tc>
        <w:tc>
          <w:tcPr>
            <w:tcW w:w="80" w:type="dxa"/>
            <w:vAlign w:val="bottom"/>
          </w:tcPr>
          <w:p>
            <w:pPr>
              <w:spacing w:after="0"/>
              <w:rPr>
                <w:sz w:val="11"/>
                <w:szCs w:val="11"/>
                <w:color w:val="auto"/>
              </w:rPr>
            </w:pPr>
          </w:p>
        </w:tc>
        <w:tc>
          <w:tcPr>
            <w:tcW w:w="12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Total Stockholders'</w:t>
            </w:r>
          </w:p>
        </w:tc>
      </w:tr>
      <w:tr>
        <w:trPr>
          <w:trHeight w:val="153"/>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Amount</w:t>
            </w:r>
          </w:p>
        </w:tc>
        <w:tc>
          <w:tcPr>
            <w:tcW w:w="24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72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ind w:right="22"/>
              <w:spacing w:after="0"/>
              <w:rPr>
                <w:sz w:val="20"/>
                <w:szCs w:val="20"/>
                <w:color w:val="auto"/>
              </w:rPr>
            </w:pPr>
            <w:r>
              <w:rPr>
                <w:rFonts w:ascii="Arial" w:cs="Arial" w:eastAsia="Arial" w:hAnsi="Arial"/>
                <w:sz w:val="12"/>
                <w:szCs w:val="12"/>
                <w:b w:val="1"/>
                <w:bCs w:val="1"/>
                <w:color w:val="auto"/>
                <w:w w:val="78"/>
              </w:rPr>
              <w:t>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w w:val="87"/>
              </w:rPr>
              <w:t>Deficit</w:t>
            </w:r>
          </w:p>
        </w:tc>
        <w:tc>
          <w:tcPr>
            <w:tcW w:w="20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82"/>
              <w:spacing w:after="0"/>
              <w:rPr>
                <w:sz w:val="20"/>
                <w:szCs w:val="20"/>
                <w:color w:val="auto"/>
              </w:rPr>
            </w:pPr>
            <w:r>
              <w:rPr>
                <w:rFonts w:ascii="Arial" w:cs="Arial" w:eastAsia="Arial" w:hAnsi="Arial"/>
                <w:sz w:val="12"/>
                <w:szCs w:val="12"/>
                <w:b w:val="1"/>
                <w:bCs w:val="1"/>
                <w:color w:val="auto"/>
                <w:w w:val="92"/>
              </w:rPr>
              <w:t>Interest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3"/>
                <w:szCs w:val="13"/>
                <w:color w:val="auto"/>
              </w:rPr>
            </w:pPr>
          </w:p>
        </w:tc>
      </w:tr>
      <w:tr>
        <w:trPr>
          <w:trHeight w:val="159"/>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 at December 31, 2021</w:t>
            </w:r>
          </w:p>
        </w:tc>
        <w:tc>
          <w:tcPr>
            <w:tcW w:w="8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2"/>
                <w:szCs w:val="12"/>
                <w:color w:val="auto"/>
              </w:rPr>
              <w:t>19,712</w:t>
            </w:r>
          </w:p>
        </w:tc>
        <w:tc>
          <w:tcPr>
            <w:tcW w:w="120" w:type="dxa"/>
            <w:vAlign w:val="bottom"/>
            <w:tcBorders>
              <w:left w:val="single" w:sz="8" w:color="CFF0FC"/>
            </w:tcBorders>
            <w:shd w:val="clear" w:color="auto" w:fill="CFF0FC"/>
          </w:tcPr>
          <w:p>
            <w:pPr>
              <w:spacing w:after="0"/>
              <w:rPr>
                <w:sz w:val="13"/>
                <w:szCs w:val="13"/>
                <w:color w:val="auto"/>
              </w:rPr>
            </w:pPr>
          </w:p>
        </w:tc>
        <w:tc>
          <w:tcPr>
            <w:tcW w:w="520" w:type="dxa"/>
            <w:vAlign w:val="bottom"/>
            <w:gridSpan w:val="2"/>
            <w:shd w:val="clear" w:color="auto" w:fill="CFF0FC"/>
          </w:tcPr>
          <w:p>
            <w:pPr>
              <w:jc w:val="center"/>
              <w:ind w:right="42"/>
              <w:spacing w:after="0"/>
              <w:rPr>
                <w:sz w:val="20"/>
                <w:szCs w:val="20"/>
                <w:color w:val="auto"/>
              </w:rPr>
            </w:pPr>
            <w:r>
              <w:rPr>
                <w:rFonts w:ascii="Arial" w:cs="Arial" w:eastAsia="Arial" w:hAnsi="Arial"/>
                <w:sz w:val="12"/>
                <w:szCs w:val="12"/>
                <w:color w:val="auto"/>
                <w:w w:val="89"/>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980" w:type="dxa"/>
            <w:vAlign w:val="bottom"/>
            <w:gridSpan w:val="5"/>
            <w:shd w:val="clear" w:color="auto" w:fill="CFF0FC"/>
          </w:tcPr>
          <w:p>
            <w:pPr>
              <w:jc w:val="right"/>
              <w:spacing w:after="0"/>
              <w:rPr>
                <w:sz w:val="20"/>
                <w:szCs w:val="20"/>
                <w:color w:val="auto"/>
              </w:rPr>
            </w:pPr>
            <w:r>
              <w:rPr>
                <w:rFonts w:ascii="Arial" w:cs="Arial" w:eastAsia="Arial" w:hAnsi="Arial"/>
                <w:sz w:val="12"/>
                <w:szCs w:val="12"/>
                <w:color w:val="auto"/>
              </w:rPr>
              <w:t>29,290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w w:val="89"/>
              </w:rPr>
              <w:t>$</w:t>
            </w: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540" w:type="dxa"/>
            <w:vAlign w:val="bottom"/>
            <w:gridSpan w:val="2"/>
            <w:shd w:val="clear" w:color="auto" w:fill="CFF0FC"/>
          </w:tcPr>
          <w:p>
            <w:pPr>
              <w:jc w:val="right"/>
              <w:ind w:right="18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55,737</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jc w:val="right"/>
              <w:ind w:right="2"/>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(8,331 )</w:t>
            </w: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74,156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121,567</w:t>
            </w:r>
          </w:p>
        </w:tc>
        <w:tc>
          <w:tcPr>
            <w:tcW w:w="100" w:type="dxa"/>
            <w:vAlign w:val="bottom"/>
            <w:shd w:val="clear" w:color="auto" w:fill="CFF0FC"/>
          </w:tcPr>
          <w:p>
            <w:pPr>
              <w:spacing w:after="0"/>
              <w:rPr>
                <w:sz w:val="13"/>
                <w:szCs w:val="13"/>
                <w:color w:val="auto"/>
              </w:rPr>
            </w:pPr>
          </w:p>
        </w:tc>
      </w:tr>
      <w:tr>
        <w:trPr>
          <w:trHeight w:val="142"/>
        </w:trPr>
        <w:tc>
          <w:tcPr>
            <w:tcW w:w="2420" w:type="dxa"/>
            <w:vAlign w:val="bottom"/>
          </w:tcPr>
          <w:p>
            <w:pPr>
              <w:ind w:left="20"/>
              <w:spacing w:after="0"/>
              <w:rPr>
                <w:sz w:val="20"/>
                <w:szCs w:val="20"/>
                <w:color w:val="auto"/>
              </w:rPr>
            </w:pPr>
            <w:r>
              <w:rPr>
                <w:rFonts w:ascii="Arial" w:cs="Arial" w:eastAsia="Arial" w:hAnsi="Arial"/>
                <w:sz w:val="12"/>
                <w:szCs w:val="12"/>
                <w:color w:val="auto"/>
                <w:w w:val="92"/>
              </w:rPr>
              <w:t>Effect of exchanges of Paired Interests and non-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color w:val="auto"/>
              </w:rPr>
              <w:t>corresponding Class A Units of Rani LLC</w:t>
            </w:r>
          </w:p>
        </w:tc>
        <w:tc>
          <w:tcPr>
            <w:tcW w:w="8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5,332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1</w:t>
            </w:r>
          </w:p>
        </w:tc>
        <w:tc>
          <w:tcPr>
            <w:tcW w:w="1200" w:type="dxa"/>
            <w:vAlign w:val="bottom"/>
            <w:gridSpan w:val="6"/>
          </w:tcPr>
          <w:p>
            <w:pPr>
              <w:jc w:val="right"/>
              <w:ind w:right="180"/>
              <w:spacing w:after="0"/>
              <w:rPr>
                <w:sz w:val="20"/>
                <w:szCs w:val="20"/>
                <w:color w:val="auto"/>
              </w:rPr>
            </w:pPr>
            <w:r>
              <w:rPr>
                <w:rFonts w:ascii="Arial" w:cs="Arial" w:eastAsia="Arial" w:hAnsi="Arial"/>
                <w:sz w:val="12"/>
                <w:szCs w:val="12"/>
                <w:color w:val="auto"/>
              </w:rPr>
              <w:t>(5,174 )</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122"/>
              <w:spacing w:after="0"/>
              <w:rPr>
                <w:sz w:val="20"/>
                <w:szCs w:val="20"/>
                <w:color w:val="auto"/>
              </w:rPr>
            </w:pPr>
            <w:r>
              <w:rPr>
                <w:rFonts w:ascii="Arial" w:cs="Arial" w:eastAsia="Arial" w:hAnsi="Arial"/>
                <w:sz w:val="12"/>
                <w:szCs w:val="12"/>
                <w:color w:val="auto"/>
                <w:w w:val="88"/>
              </w:rPr>
              <w:t>(1 )</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w w:val="90"/>
              </w:rPr>
              <w:t>Non-controlling interest adjustment for changes in</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proportionate ownership in Rani LLC</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2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12,377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(12,377 )</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Issuance of warrants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gridSpan w:val="2"/>
          </w:tcPr>
          <w:p>
            <w:pPr>
              <w:jc w:val="right"/>
              <w:ind w:right="2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503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503</w:t>
            </w:r>
          </w:p>
        </w:tc>
        <w:tc>
          <w:tcPr>
            <w:tcW w:w="100" w:type="dxa"/>
            <w:vAlign w:val="bottom"/>
          </w:tcPr>
          <w:p>
            <w:pPr>
              <w:spacing w:after="0"/>
              <w:rPr>
                <w:sz w:val="13"/>
                <w:szCs w:val="13"/>
                <w:color w:val="auto"/>
              </w:rPr>
            </w:pPr>
          </w:p>
        </w:tc>
      </w:tr>
      <w:tr>
        <w:trPr>
          <w:trHeight w:val="146"/>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w w:val="89"/>
              </w:rPr>
              <w:t>Issuance of common stock under employee equity</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w w:val="96"/>
              </w:rPr>
              <w:t>plans, net of shares withheld for tax settlement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9"/>
              </w:rPr>
              <w:t>204</w:t>
            </w:r>
          </w:p>
        </w:tc>
        <w:tc>
          <w:tcPr>
            <w:tcW w:w="120" w:type="dxa"/>
            <w:vAlign w:val="bottom"/>
            <w:tcBorders>
              <w:lef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(626 )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(626 )</w:t>
            </w:r>
          </w:p>
        </w:tc>
      </w:tr>
      <w:tr>
        <w:trPr>
          <w:trHeight w:val="142"/>
        </w:trPr>
        <w:tc>
          <w:tcPr>
            <w:tcW w:w="2420" w:type="dxa"/>
            <w:vAlign w:val="bottom"/>
          </w:tcPr>
          <w:p>
            <w:pPr>
              <w:ind w:left="20"/>
              <w:spacing w:after="0"/>
              <w:rPr>
                <w:sz w:val="20"/>
                <w:szCs w:val="20"/>
                <w:color w:val="auto"/>
              </w:rPr>
            </w:pPr>
            <w:r>
              <w:rPr>
                <w:rFonts w:ascii="Arial" w:cs="Arial" w:eastAsia="Arial" w:hAnsi="Arial"/>
                <w:sz w:val="12"/>
                <w:szCs w:val="12"/>
                <w:color w:val="auto"/>
                <w:w w:val="90"/>
              </w:rPr>
              <w:t>Issuance of common stock under employee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color w:val="auto"/>
              </w:rPr>
              <w:t>purchase plan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39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271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271</w:t>
            </w:r>
          </w:p>
        </w:tc>
        <w:tc>
          <w:tcPr>
            <w:tcW w:w="100" w:type="dxa"/>
            <w:vAlign w:val="bottom"/>
          </w:tcPr>
          <w:p>
            <w:pPr>
              <w:spacing w:after="0"/>
              <w:rPr>
                <w:sz w:val="13"/>
                <w:szCs w:val="13"/>
                <w:color w:val="auto"/>
              </w:rPr>
            </w:pP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Forfeiture of restricted stock awards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(5 )</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2"/>
                <w:szCs w:val="12"/>
                <w:color w:val="auto"/>
              </w:rPr>
              <w:t>(7 )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(13 )</w:t>
            </w: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Equity-based compensation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9"/>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7,587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gridSpan w:val="2"/>
            <w:shd w:val="clear" w:color="auto" w:fill="CFF0FC"/>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8,208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15,795</w:t>
            </w:r>
          </w:p>
        </w:tc>
        <w:tc>
          <w:tcPr>
            <w:tcW w:w="100" w:type="dxa"/>
            <w:vAlign w:val="bottom"/>
            <w:shd w:val="clear" w:color="auto" w:fill="CFF0FC"/>
          </w:tcPr>
          <w:p>
            <w:pPr>
              <w:spacing w:after="0"/>
              <w:rPr>
                <w:sz w:val="14"/>
                <w:szCs w:val="14"/>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gridSpan w:val="2"/>
          </w:tcPr>
          <w:p>
            <w:pPr>
              <w:jc w:val="right"/>
              <w:ind w:right="2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(30,588 )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(32,756 )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(63,344 )</w:t>
            </w:r>
          </w:p>
        </w:tc>
      </w:tr>
      <w:tr>
        <w:trPr>
          <w:trHeight w:val="162"/>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comprehensive loss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2"/>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(73 )</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(76 )</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(149 )</w:t>
            </w:r>
          </w:p>
        </w:tc>
      </w:tr>
      <w:tr>
        <w:trPr>
          <w:trHeight w:val="20"/>
        </w:trPr>
        <w:tc>
          <w:tcPr>
            <w:tcW w:w="24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2420" w:type="dxa"/>
            <w:vAlign w:val="bottom"/>
          </w:tcPr>
          <w:p>
            <w:pPr>
              <w:ind w:left="20"/>
              <w:spacing w:after="0"/>
              <w:rPr>
                <w:sz w:val="20"/>
                <w:szCs w:val="20"/>
                <w:color w:val="auto"/>
              </w:rPr>
            </w:pPr>
            <w:r>
              <w:rPr>
                <w:rFonts w:ascii="Arial" w:cs="Arial" w:eastAsia="Arial" w:hAnsi="Arial"/>
                <w:sz w:val="12"/>
                <w:szCs w:val="12"/>
                <w:color w:val="auto"/>
              </w:rPr>
              <w:t>Balance at December 31, 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25,295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center"/>
              <w:ind w:right="202"/>
              <w:spacing w:after="0"/>
              <w:rPr>
                <w:sz w:val="20"/>
                <w:szCs w:val="20"/>
                <w:color w:val="auto"/>
              </w:rPr>
            </w:pPr>
            <w:r>
              <w:rPr>
                <w:rFonts w:ascii="Arial" w:cs="Arial" w:eastAsia="Arial" w:hAnsi="Arial"/>
                <w:sz w:val="12"/>
                <w:szCs w:val="12"/>
                <w:color w:val="auto"/>
                <w:w w:val="89"/>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24,116</w:t>
            </w:r>
          </w:p>
        </w:tc>
        <w:tc>
          <w:tcPr>
            <w:tcW w:w="220" w:type="dxa"/>
            <w:vAlign w:val="bottom"/>
          </w:tcPr>
          <w:p>
            <w:pPr>
              <w:spacing w:after="0"/>
              <w:rPr>
                <w:sz w:val="13"/>
                <w:szCs w:val="13"/>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300" w:type="dxa"/>
            <w:vAlign w:val="bottom"/>
          </w:tcPr>
          <w:p>
            <w:pPr>
              <w:jc w:val="right"/>
              <w:ind w:right="182"/>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75,842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(73 )</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(38,919 )</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3"/>
                <w:szCs w:val="1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37,149</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74,004</w:t>
            </w:r>
          </w:p>
        </w:tc>
        <w:tc>
          <w:tcPr>
            <w:tcW w:w="100" w:type="dxa"/>
            <w:vAlign w:val="bottom"/>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5"/>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8"/>
          </w:tcPr>
          <w:p>
            <w:pPr>
              <w:ind w:left="100"/>
              <w:spacing w:after="0"/>
              <w:rPr>
                <w:sz w:val="20"/>
                <w:szCs w:val="20"/>
                <w:color w:val="auto"/>
              </w:rPr>
            </w:pPr>
            <w:r>
              <w:rPr>
                <w:rFonts w:ascii="Arial" w:cs="Arial" w:eastAsia="Arial" w:hAnsi="Arial"/>
                <w:sz w:val="12"/>
                <w:szCs w:val="12"/>
                <w:b w:val="1"/>
                <w:bCs w:val="1"/>
                <w:color w:val="auto"/>
              </w:rPr>
              <w:t>Class A Common Stock</w:t>
            </w:r>
          </w:p>
        </w:tc>
        <w:tc>
          <w:tcPr>
            <w:tcW w:w="1360" w:type="dxa"/>
            <w:vAlign w:val="bottom"/>
            <w:gridSpan w:val="8"/>
          </w:tcPr>
          <w:p>
            <w:pPr>
              <w:jc w:val="center"/>
              <w:spacing w:after="0"/>
              <w:rPr>
                <w:sz w:val="20"/>
                <w:szCs w:val="20"/>
                <w:color w:val="auto"/>
              </w:rPr>
            </w:pPr>
            <w:r>
              <w:rPr>
                <w:rFonts w:ascii="Arial" w:cs="Arial" w:eastAsia="Arial" w:hAnsi="Arial"/>
                <w:sz w:val="12"/>
                <w:szCs w:val="12"/>
                <w:b w:val="1"/>
                <w:bCs w:val="1"/>
                <w:color w:val="auto"/>
                <w:w w:val="87"/>
              </w:rPr>
              <w:t>Class B 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2420" w:type="dxa"/>
            <w:vAlign w:val="bottom"/>
          </w:tcPr>
          <w:p>
            <w:pPr>
              <w:spacing w:after="0"/>
              <w:rPr>
                <w:sz w:val="12"/>
                <w:szCs w:val="12"/>
                <w:color w:val="auto"/>
              </w:rPr>
            </w:pPr>
          </w:p>
        </w:tc>
        <w:tc>
          <w:tcPr>
            <w:tcW w:w="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Convertible</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right="42"/>
              <w:spacing w:after="0"/>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80" w:type="dxa"/>
            <w:vAlign w:val="bottom"/>
          </w:tcPr>
          <w:p>
            <w:pPr>
              <w:spacing w:after="0"/>
              <w:rPr>
                <w:sz w:val="12"/>
                <w:szCs w:val="12"/>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6"/>
              </w:rPr>
              <w:t>Total Stockholders'</w:t>
            </w: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2"/>
              <w:spacing w:after="0" w:line="135" w:lineRule="exact"/>
              <w:rPr>
                <w:sz w:val="20"/>
                <w:szCs w:val="20"/>
                <w:color w:val="auto"/>
              </w:rPr>
            </w:pPr>
            <w:r>
              <w:rPr>
                <w:rFonts w:ascii="Arial" w:cs="Arial" w:eastAsia="Arial" w:hAnsi="Arial"/>
                <w:sz w:val="12"/>
                <w:szCs w:val="12"/>
                <w:b w:val="1"/>
                <w:bCs w:val="1"/>
                <w:color w:val="auto"/>
                <w:w w:val="89"/>
              </w:rPr>
              <w:t>Preferred</w:t>
            </w:r>
          </w:p>
        </w:tc>
        <w:tc>
          <w:tcPr>
            <w:tcW w:w="140" w:type="dxa"/>
            <w:vAlign w:val="bottom"/>
            <w:tcBorders>
              <w:right w:val="single" w:sz="8" w:color="auto"/>
            </w:tcBorders>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Members’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2"/>
              <w:spacing w:after="0" w:line="135" w:lineRule="exact"/>
              <w:rPr>
                <w:sz w:val="20"/>
                <w:szCs w:val="20"/>
                <w:color w:val="auto"/>
              </w:rPr>
            </w:pPr>
            <w:r>
              <w:rPr>
                <w:rFonts w:ascii="Arial" w:cs="Arial" w:eastAsia="Arial" w:hAnsi="Arial"/>
                <w:sz w:val="12"/>
                <w:szCs w:val="12"/>
                <w:b w:val="1"/>
                <w:bCs w:val="1"/>
                <w:color w:val="auto"/>
                <w:w w:val="91"/>
              </w:rPr>
              <w:t>Paid In</w:t>
            </w:r>
          </w:p>
        </w:tc>
        <w:tc>
          <w:tcPr>
            <w:tcW w:w="140" w:type="dxa"/>
            <w:vAlign w:val="bottom"/>
          </w:tcPr>
          <w:p>
            <w:pPr>
              <w:spacing w:after="0"/>
              <w:rPr>
                <w:sz w:val="11"/>
                <w:szCs w:val="11"/>
                <w:color w:val="auto"/>
              </w:rPr>
            </w:pPr>
          </w:p>
        </w:tc>
        <w:tc>
          <w:tcPr>
            <w:tcW w:w="880" w:type="dxa"/>
            <w:vAlign w:val="bottom"/>
            <w:gridSpan w:val="4"/>
          </w:tcPr>
          <w:p>
            <w:pPr>
              <w:jc w:val="right"/>
              <w:ind w:right="18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1"/>
                <w:szCs w:val="11"/>
                <w:color w:val="auto"/>
              </w:rPr>
            </w:pPr>
          </w:p>
        </w:tc>
        <w:tc>
          <w:tcPr>
            <w:tcW w:w="84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2"/>
              </w:rPr>
              <w:t>Equity/(Members'</w:t>
            </w:r>
          </w:p>
        </w:tc>
      </w:tr>
      <w:tr>
        <w:trPr>
          <w:trHeight w:val="153"/>
        </w:trPr>
        <w:tc>
          <w:tcPr>
            <w:tcW w:w="2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93"/>
              </w:rPr>
              <w:t>Units</w:t>
            </w:r>
          </w:p>
        </w:tc>
        <w:tc>
          <w:tcPr>
            <w:tcW w:w="14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13"/>
                <w:szCs w:val="13"/>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102"/>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
              <w:spacing w:after="0"/>
              <w:rPr>
                <w:sz w:val="20"/>
                <w:szCs w:val="20"/>
                <w:color w:val="auto"/>
              </w:rPr>
            </w:pPr>
            <w:r>
              <w:rPr>
                <w:rFonts w:ascii="Arial" w:cs="Arial" w:eastAsia="Arial" w:hAnsi="Arial"/>
                <w:sz w:val="12"/>
                <w:szCs w:val="12"/>
                <w:b w:val="1"/>
                <w:bCs w:val="1"/>
                <w:color w:val="auto"/>
                <w:w w:val="87"/>
              </w:rPr>
              <w:t>Interest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88"/>
              </w:rPr>
              <w:t>Deficit)</w:t>
            </w:r>
          </w:p>
        </w:tc>
        <w:tc>
          <w:tcPr>
            <w:tcW w:w="100" w:type="dxa"/>
            <w:vAlign w:val="bottom"/>
          </w:tcPr>
          <w:p>
            <w:pPr>
              <w:spacing w:after="0"/>
              <w:rPr>
                <w:sz w:val="13"/>
                <w:szCs w:val="13"/>
                <w:color w:val="auto"/>
              </w:rPr>
            </w:pPr>
          </w:p>
        </w:tc>
      </w:tr>
      <w:tr>
        <w:trPr>
          <w:trHeight w:val="159"/>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 at 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184,714</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jc w:val="right"/>
              <w:ind w:right="9"/>
              <w:spacing w:after="0"/>
              <w:rPr>
                <w:sz w:val="20"/>
                <w:szCs w:val="20"/>
                <w:color w:val="auto"/>
              </w:rPr>
            </w:pPr>
            <w:r>
              <w:rPr>
                <w:rFonts w:ascii="Arial" w:cs="Arial" w:eastAsia="Arial" w:hAnsi="Arial"/>
                <w:sz w:val="9"/>
                <w:szCs w:val="9"/>
                <w:color w:val="auto"/>
                <w:w w:val="78"/>
              </w:rPr>
              <w:t>$</w:t>
            </w:r>
          </w:p>
        </w:tc>
        <w:tc>
          <w:tcPr>
            <w:tcW w:w="660" w:type="dxa"/>
            <w:vAlign w:val="bottom"/>
            <w:tcBorders>
              <w:right w:val="single" w:sz="8" w:color="CFF0FC"/>
            </w:tcBorders>
            <w:gridSpan w:val="3"/>
            <w:shd w:val="clear" w:color="auto" w:fill="CFF0FC"/>
          </w:tcPr>
          <w:p>
            <w:pPr>
              <w:jc w:val="right"/>
              <w:ind w:right="42"/>
              <w:spacing w:after="0"/>
              <w:rPr>
                <w:sz w:val="20"/>
                <w:szCs w:val="20"/>
                <w:color w:val="auto"/>
              </w:rPr>
            </w:pPr>
            <w:r>
              <w:rPr>
                <w:rFonts w:ascii="Arial" w:cs="Arial" w:eastAsia="Arial" w:hAnsi="Arial"/>
                <w:sz w:val="12"/>
                <w:szCs w:val="12"/>
                <w:color w:val="auto"/>
                <w:w w:val="98"/>
              </w:rPr>
              <w:t>(113,339 )</w:t>
            </w:r>
          </w:p>
        </w:tc>
        <w:tc>
          <w:tcPr>
            <w:tcW w:w="2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9"/>
                <w:szCs w:val="9"/>
                <w:color w:val="auto"/>
                <w:w w:val="78"/>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(113,339 )</w:t>
            </w:r>
          </w:p>
        </w:tc>
      </w:tr>
      <w:tr>
        <w:trPr>
          <w:trHeight w:val="142"/>
        </w:trPr>
        <w:tc>
          <w:tcPr>
            <w:tcW w:w="2420" w:type="dxa"/>
            <w:vAlign w:val="bottom"/>
          </w:tcPr>
          <w:p>
            <w:pPr>
              <w:ind w:left="40"/>
              <w:spacing w:after="0"/>
              <w:rPr>
                <w:sz w:val="20"/>
                <w:szCs w:val="20"/>
                <w:color w:val="auto"/>
              </w:rPr>
            </w:pPr>
            <w:r>
              <w:rPr>
                <w:rFonts w:ascii="Arial" w:cs="Arial" w:eastAsia="Arial" w:hAnsi="Arial"/>
                <w:sz w:val="12"/>
                <w:szCs w:val="12"/>
                <w:b w:val="1"/>
                <w:bCs w:val="1"/>
                <w:i w:val="1"/>
                <w:iCs w:val="1"/>
                <w:color w:val="auto"/>
              </w:rPr>
              <w:t>Activity prior to initial public offering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2"/>
                <w:szCs w:val="12"/>
                <w:b w:val="1"/>
                <w:bCs w:val="1"/>
                <w:i w:val="1"/>
                <w:iCs w:val="1"/>
                <w:color w:val="auto"/>
              </w:rPr>
              <w:t>("IPO") and related Organizational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Transactions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Series E preferred units</w:t>
            </w: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6,320</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420" w:type="dxa"/>
            <w:vAlign w:val="bottom"/>
          </w:tcPr>
          <w:p>
            <w:pPr>
              <w:ind w:left="20"/>
              <w:spacing w:after="0"/>
              <w:rPr>
                <w:sz w:val="20"/>
                <w:szCs w:val="20"/>
                <w:color w:val="auto"/>
              </w:rPr>
            </w:pPr>
            <w:r>
              <w:rPr>
                <w:rFonts w:ascii="Arial" w:cs="Arial" w:eastAsia="Arial" w:hAnsi="Arial"/>
                <w:sz w:val="12"/>
                <w:szCs w:val="12"/>
                <w:color w:val="auto"/>
              </w:rPr>
              <w:t>Equity-based compensation from secondary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color w:val="auto"/>
              </w:rPr>
              <w:t>sales transactions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453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453</w:t>
            </w:r>
          </w:p>
        </w:tc>
        <w:tc>
          <w:tcPr>
            <w:tcW w:w="100" w:type="dxa"/>
            <w:vAlign w:val="bottom"/>
          </w:tcPr>
          <w:p>
            <w:pPr>
              <w:spacing w:after="0"/>
              <w:rPr>
                <w:sz w:val="13"/>
                <w:szCs w:val="13"/>
                <w:color w:val="auto"/>
              </w:rPr>
            </w:pP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Exercise of warrant for common units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FF0FC"/>
          </w:tcPr>
          <w:p>
            <w:pPr>
              <w:spacing w:after="0"/>
              <w:rPr>
                <w:sz w:val="14"/>
                <w:szCs w:val="14"/>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Settlement of preferred unit warrant liability</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691</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Equity-based compensation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17,324</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17,324</w:t>
            </w:r>
          </w:p>
        </w:tc>
        <w:tc>
          <w:tcPr>
            <w:tcW w:w="100" w:type="dxa"/>
            <w:vAlign w:val="bottom"/>
            <w:shd w:val="clear" w:color="auto" w:fill="CFF0FC"/>
          </w:tcPr>
          <w:p>
            <w:pPr>
              <w:spacing w:after="0"/>
              <w:rPr>
                <w:sz w:val="14"/>
                <w:szCs w:val="14"/>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42"/>
              <w:spacing w:after="0"/>
              <w:rPr>
                <w:sz w:val="20"/>
                <w:szCs w:val="20"/>
                <w:color w:val="auto"/>
              </w:rPr>
            </w:pPr>
            <w:r>
              <w:rPr>
                <w:rFonts w:ascii="Arial" w:cs="Arial" w:eastAsia="Arial" w:hAnsi="Arial"/>
                <w:sz w:val="12"/>
                <w:szCs w:val="12"/>
                <w:color w:val="auto"/>
              </w:rPr>
              <w:t>(31,727 )</w:t>
            </w:r>
          </w:p>
        </w:tc>
        <w:tc>
          <w:tcPr>
            <w:tcW w:w="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(31,727 )</w:t>
            </w:r>
          </w:p>
        </w:tc>
      </w:tr>
      <w:tr>
        <w:trPr>
          <w:trHeight w:val="146"/>
        </w:trPr>
        <w:tc>
          <w:tcPr>
            <w:tcW w:w="2420" w:type="dxa"/>
            <w:vAlign w:val="bottom"/>
            <w:shd w:val="clear" w:color="auto" w:fill="CFF0FC"/>
          </w:tcPr>
          <w:p>
            <w:pPr>
              <w:ind w:left="60"/>
              <w:spacing w:after="0"/>
              <w:rPr>
                <w:sz w:val="20"/>
                <w:szCs w:val="20"/>
                <w:color w:val="auto"/>
              </w:rPr>
            </w:pPr>
            <w:r>
              <w:rPr>
                <w:rFonts w:ascii="Arial" w:cs="Arial" w:eastAsia="Arial" w:hAnsi="Arial"/>
                <w:sz w:val="12"/>
                <w:szCs w:val="12"/>
                <w:b w:val="1"/>
                <w:bCs w:val="1"/>
                <w:i w:val="1"/>
                <w:iCs w:val="1"/>
                <w:color w:val="auto"/>
                <w:w w:val="92"/>
              </w:rPr>
              <w:t>Effects of the IPO and related Organizational</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b w:val="1"/>
                <w:bCs w:val="1"/>
                <w:i w:val="1"/>
                <w:iCs w:val="1"/>
                <w:color w:val="auto"/>
              </w:rPr>
              <w:t>Transactions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4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Effects of Organizational Transactions</w:t>
            </w:r>
          </w:p>
        </w:tc>
        <w:tc>
          <w:tcPr>
            <w:tcW w:w="80" w:type="dxa"/>
            <w:vAlign w:val="bottom"/>
          </w:tcPr>
          <w:p>
            <w:pPr>
              <w:spacing w:after="0"/>
              <w:rPr>
                <w:sz w:val="13"/>
                <w:szCs w:val="13"/>
                <w:color w:val="auto"/>
              </w:rPr>
            </w:pPr>
          </w:p>
        </w:tc>
        <w:tc>
          <w:tcPr>
            <w:tcW w:w="760" w:type="dxa"/>
            <w:vAlign w:val="bottom"/>
            <w:tcBorders>
              <w:right w:val="single" w:sz="8" w:color="auto"/>
            </w:tcBorders>
            <w:gridSpan w:val="3"/>
          </w:tcPr>
          <w:p>
            <w:pPr>
              <w:jc w:val="right"/>
              <w:ind w:right="42"/>
              <w:spacing w:after="0"/>
              <w:rPr>
                <w:sz w:val="20"/>
                <w:szCs w:val="20"/>
                <w:color w:val="auto"/>
              </w:rPr>
            </w:pPr>
            <w:r>
              <w:rPr>
                <w:rFonts w:ascii="Arial" w:cs="Arial" w:eastAsia="Arial" w:hAnsi="Arial"/>
                <w:sz w:val="12"/>
                <w:szCs w:val="12"/>
                <w:color w:val="auto"/>
              </w:rPr>
              <w:t>(191,725 )</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127,263</w:t>
            </w:r>
          </w:p>
        </w:tc>
        <w:tc>
          <w:tcPr>
            <w:tcW w:w="1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12,048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29,290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2"/>
              <w:spacing w:after="0"/>
              <w:rPr>
                <w:sz w:val="20"/>
                <w:szCs w:val="20"/>
                <w:color w:val="auto"/>
              </w:rPr>
            </w:pPr>
            <w:r>
              <w:rPr>
                <w:rFonts w:ascii="Arial" w:cs="Arial" w:eastAsia="Arial" w:hAnsi="Arial"/>
                <w:sz w:val="12"/>
                <w:szCs w:val="12"/>
                <w:color w:val="auto"/>
              </w:rPr>
              <w:t>18,106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46,352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191,725</w:t>
            </w:r>
          </w:p>
        </w:tc>
        <w:tc>
          <w:tcPr>
            <w:tcW w:w="100" w:type="dxa"/>
            <w:vAlign w:val="bottom"/>
          </w:tcPr>
          <w:p>
            <w:pPr>
              <w:spacing w:after="0"/>
              <w:rPr>
                <w:sz w:val="13"/>
                <w:szCs w:val="13"/>
                <w:color w:val="auto"/>
              </w:rPr>
            </w:pPr>
          </w:p>
        </w:tc>
      </w:tr>
      <w:tr>
        <w:trPr>
          <w:trHeight w:val="146"/>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Class A common stock in</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35"/>
        </w:trPr>
        <w:tc>
          <w:tcPr>
            <w:tcW w:w="24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w w:val="96"/>
              </w:rPr>
              <w:t>connection with the IPO, net of issuance costs</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of $10,686</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7,667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73,647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73,648</w:t>
            </w:r>
          </w:p>
        </w:tc>
        <w:tc>
          <w:tcPr>
            <w:tcW w:w="100" w:type="dxa"/>
            <w:vAlign w:val="bottom"/>
            <w:shd w:val="clear" w:color="auto" w:fill="CFF0FC"/>
          </w:tcPr>
          <w:p>
            <w:pPr>
              <w:spacing w:after="0"/>
              <w:rPr>
                <w:sz w:val="13"/>
                <w:szCs w:val="13"/>
                <w:color w:val="auto"/>
              </w:rPr>
            </w:pPr>
          </w:p>
        </w:tc>
      </w:tr>
      <w:tr>
        <w:trPr>
          <w:trHeight w:val="142"/>
        </w:trPr>
        <w:tc>
          <w:tcPr>
            <w:tcW w:w="2420" w:type="dxa"/>
            <w:vAlign w:val="bottom"/>
          </w:tcPr>
          <w:p>
            <w:pPr>
              <w:ind w:left="20"/>
              <w:spacing w:after="0"/>
              <w:rPr>
                <w:sz w:val="20"/>
                <w:szCs w:val="20"/>
                <w:color w:val="auto"/>
              </w:rPr>
            </w:pPr>
            <w:r>
              <w:rPr>
                <w:rFonts w:ascii="Arial" w:cs="Arial" w:eastAsia="Arial" w:hAnsi="Arial"/>
                <w:sz w:val="12"/>
                <w:szCs w:val="12"/>
                <w:color w:val="auto"/>
              </w:rPr>
              <w:t>Non-controlling interest adjustment for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2"/>
                <w:szCs w:val="12"/>
                <w:color w:val="auto"/>
                <w:w w:val="95"/>
              </w:rPr>
              <w:t>purchase of newly issued Class A units of Rani</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color w:val="auto"/>
              </w:rPr>
              <w:t>LLC with proceeds from the IPO</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(37,895 )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37,895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(149 )</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(233 )</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(382 )</w:t>
            </w:r>
          </w:p>
        </w:tc>
      </w:tr>
      <w:tr>
        <w:trPr>
          <w:trHeight w:val="142"/>
        </w:trPr>
        <w:tc>
          <w:tcPr>
            <w:tcW w:w="2420" w:type="dxa"/>
            <w:vAlign w:val="bottom"/>
          </w:tcPr>
          <w:p>
            <w:pPr>
              <w:ind w:left="40"/>
              <w:spacing w:after="0"/>
              <w:rPr>
                <w:sz w:val="20"/>
                <w:szCs w:val="20"/>
                <w:color w:val="auto"/>
              </w:rPr>
            </w:pPr>
            <w:r>
              <w:rPr>
                <w:rFonts w:ascii="Arial" w:cs="Arial" w:eastAsia="Arial" w:hAnsi="Arial"/>
                <w:sz w:val="12"/>
                <w:szCs w:val="12"/>
                <w:b w:val="1"/>
                <w:bCs w:val="1"/>
                <w:i w:val="1"/>
                <w:iCs w:val="1"/>
                <w:color w:val="auto"/>
                <w:w w:val="97"/>
              </w:rPr>
              <w:t>Activity subsequent to the IPO and related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242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Organizational Transactions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Equity-based compensation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1,880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2,940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4,820</w:t>
            </w:r>
          </w:p>
        </w:tc>
        <w:tc>
          <w:tcPr>
            <w:tcW w:w="100" w:type="dxa"/>
            <w:vAlign w:val="bottom"/>
            <w:shd w:val="clear" w:color="auto" w:fill="CFF0FC"/>
          </w:tcPr>
          <w:p>
            <w:pPr>
              <w:spacing w:after="0"/>
              <w:rPr>
                <w:sz w:val="14"/>
                <w:szCs w:val="14"/>
                <w:color w:val="auto"/>
              </w:rPr>
            </w:pPr>
          </w:p>
        </w:tc>
      </w:tr>
      <w:tr>
        <w:trPr>
          <w:trHeight w:val="159"/>
        </w:trPr>
        <w:tc>
          <w:tcPr>
            <w:tcW w:w="2420" w:type="dxa"/>
            <w:vAlign w:val="bottom"/>
          </w:tcPr>
          <w:p>
            <w:pPr>
              <w:ind w:left="20"/>
              <w:spacing w:after="0"/>
              <w:rPr>
                <w:sz w:val="20"/>
                <w:szCs w:val="20"/>
                <w:color w:val="auto"/>
              </w:rPr>
            </w:pPr>
            <w:r>
              <w:rPr>
                <w:rFonts w:ascii="Arial" w:cs="Arial" w:eastAsia="Arial" w:hAnsi="Arial"/>
                <w:sz w:val="12"/>
                <w:szCs w:val="12"/>
                <w:color w:val="auto"/>
              </w:rPr>
              <w:t>Forfeiture of restricted stock awards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(3 )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2"/>
                <w:szCs w:val="12"/>
                <w:color w:val="auto"/>
              </w:rPr>
              <w:t>(2 )</w:t>
            </w:r>
          </w:p>
        </w:tc>
      </w:tr>
      <w:tr>
        <w:trPr>
          <w:trHeight w:val="162"/>
        </w:trPr>
        <w:tc>
          <w:tcPr>
            <w:tcW w:w="242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2"/>
                <w:szCs w:val="12"/>
                <w:color w:val="auto"/>
              </w:rPr>
              <w:t>(8,182 )</w:t>
            </w:r>
          </w:p>
        </w:tc>
        <w:tc>
          <w:tcPr>
            <w:tcW w:w="12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(12,797 )</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(20,979 )</w:t>
            </w:r>
          </w:p>
        </w:tc>
      </w:tr>
      <w:tr>
        <w:trPr>
          <w:trHeight w:val="20"/>
        </w:trPr>
        <w:tc>
          <w:tcPr>
            <w:tcW w:w="24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2420" w:type="dxa"/>
            <w:vAlign w:val="bottom"/>
          </w:tcPr>
          <w:p>
            <w:pPr>
              <w:ind w:left="20"/>
              <w:spacing w:after="0"/>
              <w:rPr>
                <w:sz w:val="20"/>
                <w:szCs w:val="20"/>
                <w:color w:val="auto"/>
              </w:rPr>
            </w:pPr>
            <w:r>
              <w:rPr>
                <w:rFonts w:ascii="Arial" w:cs="Arial" w:eastAsia="Arial" w:hAnsi="Arial"/>
                <w:sz w:val="12"/>
                <w:szCs w:val="12"/>
                <w:color w:val="auto"/>
              </w:rPr>
              <w:t>Balance at December 31, 2021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auto"/>
            </w:tcBorders>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9"/>
                <w:szCs w:val="9"/>
                <w:color w:val="auto"/>
                <w:w w:val="78"/>
              </w:rPr>
              <w:t>$</w:t>
            </w:r>
          </w:p>
        </w:tc>
        <w:tc>
          <w:tcPr>
            <w:tcW w:w="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19,712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2"/>
                <w:szCs w:val="12"/>
                <w:color w:val="auto"/>
                <w:w w:val="89"/>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29,290</w:t>
            </w:r>
          </w:p>
        </w:tc>
        <w:tc>
          <w:tcPr>
            <w:tcW w:w="220" w:type="dxa"/>
            <w:vAlign w:val="bottom"/>
          </w:tcPr>
          <w:p>
            <w:pPr>
              <w:spacing w:after="0"/>
              <w:rPr>
                <w:sz w:val="13"/>
                <w:szCs w:val="13"/>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2"/>
              <w:spacing w:after="0"/>
              <w:rPr>
                <w:sz w:val="20"/>
                <w:szCs w:val="20"/>
                <w:color w:val="auto"/>
              </w:rPr>
            </w:pPr>
            <w:r>
              <w:rPr>
                <w:rFonts w:ascii="Arial" w:cs="Arial" w:eastAsia="Arial" w:hAnsi="Arial"/>
                <w:sz w:val="12"/>
                <w:szCs w:val="12"/>
                <w:color w:val="auto"/>
              </w:rPr>
              <w:t>55,737</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(8,331 )</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74,156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121,567</w:t>
            </w:r>
          </w:p>
        </w:tc>
        <w:tc>
          <w:tcPr>
            <w:tcW w:w="100" w:type="dxa"/>
            <w:vAlign w:val="bottom"/>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-3325495</wp:posOffset>
            </wp:positionV>
            <wp:extent cx="7683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-3325495</wp:posOffset>
            </wp:positionV>
            <wp:extent cx="7683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-3325495</wp:posOffset>
            </wp:positionV>
            <wp:extent cx="7683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-3325495</wp:posOffset>
            </wp:positionV>
            <wp:extent cx="7747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-3325495</wp:posOffset>
            </wp:positionV>
            <wp:extent cx="6858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-3325495</wp:posOffset>
            </wp:positionV>
            <wp:extent cx="6858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-3325495</wp:posOffset>
            </wp:positionV>
            <wp:extent cx="6858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-3325495</wp:posOffset>
            </wp:positionV>
            <wp:extent cx="6858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-136525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-136525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-136525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-136525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-136525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-136525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-136525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-136525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-136525</wp:posOffset>
            </wp:positionV>
            <wp:extent cx="7683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(63,344 )</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(53,088 )</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15,782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22,595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Non-cash operating lease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discount and issuance costs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9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(851 )</w:t>
            </w: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preferred unit warrant liability</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9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(1,975 )</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9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(764 )</w:t>
            </w: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party payable</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(73 )</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(19 )</w:t>
            </w:r>
          </w:p>
        </w:tc>
      </w:tr>
      <w:tr>
        <w:trPr>
          <w:trHeight w:val="220"/>
        </w:trPr>
        <w:tc>
          <w:tcPr>
            <w:tcW w:w="77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(2,717 )</w:t>
            </w:r>
          </w:p>
        </w:tc>
      </w:tr>
      <w:tr>
        <w:trPr>
          <w:trHeight w:val="23"/>
        </w:trPr>
        <w:tc>
          <w:tcPr>
            <w:tcW w:w="77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(46,515 )</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9"/>
              </w:rPr>
              <w:t>(32,245 )</w:t>
            </w:r>
          </w:p>
        </w:tc>
      </w:tr>
      <w:tr>
        <w:trPr>
          <w:trHeight w:val="22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marketable securities</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(73,817 )</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(1,619 )</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(506 )</w:t>
            </w:r>
          </w:p>
        </w:tc>
      </w:tr>
      <w:tr>
        <w:trPr>
          <w:trHeight w:val="23"/>
        </w:trPr>
        <w:tc>
          <w:tcPr>
            <w:tcW w:w="77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4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(72,436 )</w:t>
            </w: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(506 )</w:t>
            </w: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the issuance of long-term debt and warrants, net of issuance costs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29,574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under employee stock purchase plan</w:t>
            </w: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Tax withholdings paid on behalf of employees for net share settlement</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(626 )</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Payment of deferred financing costs</w:t>
            </w:r>
          </w:p>
        </w:tc>
        <w:tc>
          <w:tcPr>
            <w:tcW w:w="9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(260 )</w:t>
            </w:r>
          </w:p>
        </w:tc>
        <w:tc>
          <w:tcPr>
            <w:tcW w:w="9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Class A common stock sold in the IPO, net of issuance costs</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73,648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preferred units, net of issuance costs</w:t>
            </w:r>
          </w:p>
        </w:tc>
        <w:tc>
          <w:tcPr>
            <w:tcW w:w="9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6,320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exercise of warrants for common units</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Repayment of the Paycheck Protection Program Loan</w:t>
            </w:r>
          </w:p>
        </w:tc>
        <w:tc>
          <w:tcPr>
            <w:tcW w:w="9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(1,254 )</w:t>
            </w: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 of convertible note</w:t>
            </w:r>
          </w:p>
        </w:tc>
        <w:tc>
          <w:tcPr>
            <w:tcW w:w="9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(3,314 )</w:t>
            </w: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Principal and interest repayments from related party for note receivable</w:t>
            </w:r>
          </w:p>
        </w:tc>
        <w:tc>
          <w:tcPr>
            <w:tcW w:w="9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29,005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740" w:type="dxa"/>
            <w:vAlign w:val="bottom"/>
          </w:tcPr>
          <w:p>
            <w:pPr>
              <w:ind w:left="560"/>
              <w:spacing w:after="0"/>
              <w:rPr>
                <w:sz w:val="20"/>
                <w:szCs w:val="20"/>
                <w:color w:val="auto"/>
              </w:rPr>
            </w:pPr>
            <w:r>
              <w:rPr>
                <w:rFonts w:ascii="Arial" w:cs="Arial" w:eastAsia="Arial" w:hAnsi="Arial"/>
                <w:sz w:val="16"/>
                <w:szCs w:val="16"/>
                <w:color w:val="auto"/>
              </w:rPr>
              <w:t>Net (decrease) increase in cash, cash equivalents and restricted cash equivalents</w:t>
            </w:r>
          </w:p>
        </w:tc>
        <w:tc>
          <w:tcPr>
            <w:tcW w:w="9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(89,946 )</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44,395</w:t>
            </w:r>
          </w:p>
        </w:tc>
        <w:tc>
          <w:tcPr>
            <w:tcW w:w="100" w:type="dxa"/>
            <w:vAlign w:val="bottom"/>
          </w:tcPr>
          <w:p>
            <w:pPr>
              <w:spacing w:after="0"/>
              <w:rPr>
                <w:sz w:val="19"/>
                <w:szCs w:val="19"/>
                <w:color w:val="auto"/>
              </w:rPr>
            </w:pPr>
          </w:p>
        </w:tc>
      </w:tr>
      <w:tr>
        <w:trPr>
          <w:trHeight w:val="23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117,453</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73,058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equivalents, end of period</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27,507</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117,453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and equipment purchases included in accounts payable and accrued expenses</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Exchanges of Paired Interests and non-corresponding Class A Units of Rani LLC</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78,487</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costs deducted from long-term debt proceeds</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Deferred financing costs included in prepaid expenses</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Interest income receivable included in prepaid expenses</w:t>
            </w: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Exchange of Class A Units of Rani LLC from the Former LLC Owners</w:t>
            </w: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132,527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Settlement of preferred unit warrant liability</w:t>
            </w:r>
          </w:p>
        </w:tc>
        <w:tc>
          <w:tcPr>
            <w:tcW w:w="960" w:type="dxa"/>
            <w:vAlign w:val="bottom"/>
          </w:tcPr>
          <w:p>
            <w:pPr>
              <w:jc w:val="right"/>
              <w:ind w:right="7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-5142865</wp:posOffset>
            </wp:positionV>
            <wp:extent cx="6858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-5142865</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-4551045</wp:posOffset>
            </wp:positionV>
            <wp:extent cx="685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-2485390</wp:posOffset>
            </wp:positionV>
            <wp:extent cx="685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-2185035</wp:posOffset>
            </wp:positionV>
            <wp:extent cx="6858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-1542415</wp:posOffset>
            </wp:positionV>
            <wp:extent cx="124333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4333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-1224915</wp:posOffset>
            </wp:positionV>
            <wp:extent cx="124333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4333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1243330" cy="196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4333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-539115</wp:posOffset>
            </wp:positionV>
            <wp:extent cx="1243330" cy="196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4333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-196850</wp:posOffset>
            </wp:positionV>
            <wp:extent cx="1243330" cy="1974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43330" cy="19748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60" w:firstLine="1018"/>
        <w:spacing w:after="0" w:line="257" w:lineRule="auto"/>
        <w:rPr>
          <w:sz w:val="20"/>
          <w:szCs w:val="20"/>
          <w:color w:val="auto"/>
        </w:rPr>
      </w:pPr>
      <w:r>
        <w:rPr>
          <w:rFonts w:ascii="Arial" w:cs="Arial" w:eastAsia="Arial" w:hAnsi="Arial"/>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prior to December 15, 2022, RMS are collectively referred to herein as “Rani” or the “Company.” RMS was dissolved on December 15, 2022.</w:t>
      </w:r>
    </w:p>
    <w:p>
      <w:pPr>
        <w:spacing w:after="0" w:line="188" w:lineRule="exact"/>
        <w:rPr>
          <w:sz w:val="20"/>
          <w:szCs w:val="20"/>
          <w:color w:val="auto"/>
        </w:rPr>
      </w:pPr>
    </w:p>
    <w:p>
      <w:pPr>
        <w:ind w:right="180" w:firstLine="1018"/>
        <w:spacing w:after="0" w:line="259" w:lineRule="auto"/>
        <w:rPr>
          <w:sz w:val="20"/>
          <w:szCs w:val="20"/>
          <w:color w:val="auto"/>
        </w:rPr>
      </w:pPr>
      <w:r>
        <w:rPr>
          <w:rFonts w:ascii="Arial" w:cs="Arial" w:eastAsia="Arial" w:hAnsi="Arial"/>
          <w:sz w:val="18"/>
          <w:szCs w:val="18"/>
          <w:color w:val="auto"/>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Organizational Transactions</w:t>
      </w:r>
    </w:p>
    <w:p>
      <w:pPr>
        <w:spacing w:after="0" w:line="225" w:lineRule="exact"/>
        <w:rPr>
          <w:sz w:val="20"/>
          <w:szCs w:val="20"/>
          <w:color w:val="auto"/>
        </w:rPr>
      </w:pPr>
    </w:p>
    <w:p>
      <w:pPr>
        <w:ind w:right="80" w:firstLine="1018"/>
        <w:spacing w:after="0" w:line="259" w:lineRule="auto"/>
        <w:rPr>
          <w:sz w:val="20"/>
          <w:szCs w:val="20"/>
          <w:color w:val="auto"/>
        </w:rPr>
      </w:pPr>
      <w:r>
        <w:rPr>
          <w:rFonts w:ascii="Arial" w:cs="Arial" w:eastAsia="Arial" w:hAnsi="Arial"/>
          <w:sz w:val="18"/>
          <w:szCs w:val="18"/>
          <w:color w:val="auto"/>
        </w:rPr>
        <w:t>In August 2021, the Company closed its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connection with the IPO, the Company was party to the following organizational transactions (the “Organizational Transactions”):</w:t>
      </w:r>
    </w:p>
    <w:p>
      <w:pPr>
        <w:spacing w:after="0" w:line="237" w:lineRule="exact"/>
        <w:rPr>
          <w:sz w:val="20"/>
          <w:szCs w:val="20"/>
          <w:color w:val="auto"/>
        </w:rPr>
      </w:pPr>
    </w:p>
    <w:p>
      <w:pPr>
        <w:ind w:left="1020" w:right="80" w:hanging="503"/>
        <w:spacing w:after="0" w:line="255"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spacing w:after="0" w:line="192" w:lineRule="exact"/>
        <w:rPr>
          <w:rFonts w:ascii="Arial" w:cs="Arial" w:eastAsia="Arial" w:hAnsi="Arial"/>
          <w:sz w:val="18"/>
          <w:szCs w:val="18"/>
          <w:color w:val="auto"/>
        </w:rPr>
      </w:pPr>
    </w:p>
    <w:p>
      <w:pPr>
        <w:ind w:left="1020" w:right="40" w:hanging="503"/>
        <w:spacing w:after="0" w:line="259"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186"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Exchanged 12,047,925 shares of Class A common stock for existing Class A Units of Rani LLC held by certain individuals and entities (the “Former LLC Owners”) on a one-for-one basis;</w:t>
      </w:r>
    </w:p>
    <w:p>
      <w:pPr>
        <w:spacing w:after="0" w:line="170"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Entered into a Registration Rights Agreement with certain of the Continuing LLC Owners.</w:t>
      </w:r>
    </w:p>
    <w:p>
      <w:pPr>
        <w:spacing w:after="0" w:line="225" w:lineRule="exact"/>
        <w:rPr>
          <w:sz w:val="20"/>
          <w:szCs w:val="20"/>
          <w:color w:val="auto"/>
        </w:rPr>
      </w:pPr>
    </w:p>
    <w:p>
      <w:pPr>
        <w:ind w:right="40" w:firstLine="1018"/>
        <w:spacing w:after="0" w:line="290" w:lineRule="auto"/>
        <w:rPr>
          <w:sz w:val="20"/>
          <w:szCs w:val="20"/>
          <w:color w:val="auto"/>
        </w:rPr>
      </w:pPr>
      <w:r>
        <w:rPr>
          <w:rFonts w:ascii="Arial" w:cs="Arial" w:eastAsia="Arial" w:hAnsi="Arial"/>
          <w:sz w:val="16"/>
          <w:szCs w:val="16"/>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December 31, 2022,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80" w:firstLine="1018"/>
        <w:spacing w:after="0" w:line="287" w:lineRule="auto"/>
        <w:rPr>
          <w:sz w:val="20"/>
          <w:szCs w:val="20"/>
          <w:color w:val="auto"/>
        </w:rPr>
      </w:pPr>
      <w:r>
        <w:rPr>
          <w:rFonts w:ascii="Arial" w:cs="Arial" w:eastAsia="Arial" w:hAnsi="Arial"/>
          <w:sz w:val="16"/>
          <w:szCs w:val="16"/>
          <w:color w:val="auto"/>
        </w:rPr>
        <w:t>The Company has incurred recurring losses since its inception, including net losses of $63.3 million for the year ended December 31, 2022. As of December 31, 2022, the Company had an accumulated deficit of $38.9 million and for the year ended December 31, 2022 had negative cash flows from operations of $46.5 million. The Company expects to continue to generate operating losses and negative operating cash flows for the foreseeable future as it continues to develop the RaniPill capsule. The Company expects that its cash and cash equivalents, and marketable securities of $98.5 million as of December 31, 2022 will be sufficient to fund its operations through at least twelve months from the date the consolidated financial statements are issued.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of its product candidates. If the Company obtains regulatory approval for the RaniPill capsule, it expects to incur significant expenses related to developing its internal commercialization capability to support manufacturing, product sales, marketing, and distribution.</w:t>
      </w:r>
    </w:p>
    <w:p>
      <w:pPr>
        <w:spacing w:after="0" w:line="168"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Current global economic conditions and market volatility resulting from the novel coronavirus disease (“COVID-19”) pandemic or other factors could also adversely impact the Company’s ability to access capital when and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1018"/>
        <w:spacing w:after="0" w:line="277"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w:t>
      </w:r>
    </w:p>
    <w:p>
      <w:pPr>
        <w:spacing w:after="0" w:line="170" w:lineRule="exact"/>
        <w:rPr>
          <w:sz w:val="20"/>
          <w:szCs w:val="20"/>
          <w:color w:val="auto"/>
        </w:rPr>
      </w:pPr>
    </w:p>
    <w:p>
      <w:pPr>
        <w:jc w:val="both"/>
        <w:ind w:right="120" w:firstLine="1018"/>
        <w:spacing w:after="0" w:line="257" w:lineRule="auto"/>
        <w:rPr>
          <w:sz w:val="20"/>
          <w:szCs w:val="20"/>
          <w:color w:val="auto"/>
        </w:rPr>
      </w:pPr>
      <w:r>
        <w:rPr>
          <w:rFonts w:ascii="Arial" w:cs="Arial" w:eastAsia="Arial" w:hAnsi="Arial"/>
          <w:sz w:val="18"/>
          <w:szCs w:val="18"/>
          <w:color w:val="auto"/>
        </w:rPr>
        <w:t>The Company operates and controls all of the business and affairs of Rani LLC and, through Rani LLC and, prior to December 15, 2022,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88" w:lineRule="exact"/>
        <w:rPr>
          <w:sz w:val="20"/>
          <w:szCs w:val="20"/>
          <w:color w:val="auto"/>
        </w:rPr>
      </w:pPr>
    </w:p>
    <w:p>
      <w:pPr>
        <w:jc w:val="both"/>
        <w:ind w:right="60" w:firstLine="1018"/>
        <w:spacing w:after="0" w:line="263" w:lineRule="auto"/>
        <w:rPr>
          <w:sz w:val="20"/>
          <w:szCs w:val="20"/>
          <w:color w:val="auto"/>
        </w:rPr>
      </w:pPr>
      <w:r>
        <w:rPr>
          <w:rFonts w:ascii="Arial" w:cs="Arial" w:eastAsia="Arial" w:hAnsi="Arial"/>
          <w:sz w:val="18"/>
          <w:szCs w:val="18"/>
          <w:color w:val="auto"/>
        </w:rPr>
        <w:t>The Organizational Transactions were considered transactions between entities under common control. As a result, the consolidated financial statements for periods prior to the IPO and the Organizational Transactions have been adjusted to combine the previously separate entities for presentation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25" w:lineRule="exact"/>
        <w:rPr>
          <w:sz w:val="20"/>
          <w:szCs w:val="20"/>
          <w:color w:val="auto"/>
        </w:rPr>
      </w:pPr>
    </w:p>
    <w:p>
      <w:pPr>
        <w:ind w:right="140" w:firstLine="1018"/>
        <w:spacing w:after="0" w:line="275" w:lineRule="auto"/>
        <w:rPr>
          <w:sz w:val="20"/>
          <w:szCs w:val="20"/>
          <w:color w:val="auto"/>
        </w:rPr>
      </w:pPr>
      <w:r>
        <w:rPr>
          <w:rFonts w:ascii="Arial" w:cs="Arial" w:eastAsia="Arial" w:hAnsi="Arial"/>
          <w:sz w:val="17"/>
          <w:szCs w:val="17"/>
          <w:color w:val="auto"/>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00" w:firstLine="1018"/>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We evaluate our estimates on an ongoing basis. We base our estimates on our historical experience and also on assumptions that we believe are reasonable; however, actual results may differ materially and adversely from these estimates.</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40" w:firstLine="1018"/>
        <w:spacing w:after="0" w:line="277" w:lineRule="auto"/>
        <w:rPr>
          <w:sz w:val="20"/>
          <w:szCs w:val="20"/>
          <w:color w:val="auto"/>
        </w:rPr>
      </w:pPr>
      <w:r>
        <w:rPr>
          <w:rFonts w:ascii="Arial" w:cs="Arial" w:eastAsia="Arial" w:hAnsi="Arial"/>
          <w:sz w:val="18"/>
          <w:szCs w:val="18"/>
          <w:color w:val="auto"/>
        </w:rPr>
        <w:t>The Company enters into evaluation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right="40" w:firstLine="1018"/>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82" w:lineRule="exact"/>
        <w:rPr>
          <w:sz w:val="20"/>
          <w:szCs w:val="20"/>
          <w:color w:val="auto"/>
        </w:rPr>
      </w:pPr>
    </w:p>
    <w:p>
      <w:pPr>
        <w:ind w:firstLine="1018"/>
        <w:spacing w:after="0" w:line="290" w:lineRule="auto"/>
        <w:rPr>
          <w:sz w:val="20"/>
          <w:szCs w:val="20"/>
          <w:color w:val="auto"/>
        </w:rPr>
      </w:pPr>
      <w:r>
        <w:rPr>
          <w:rFonts w:ascii="Arial" w:cs="Arial" w:eastAsia="Arial" w:hAnsi="Arial"/>
          <w:sz w:val="16"/>
          <w:szCs w:val="16"/>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65"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92" w:lineRule="exact"/>
        <w:rPr>
          <w:sz w:val="20"/>
          <w:szCs w:val="20"/>
          <w:color w:val="auto"/>
        </w:rPr>
      </w:pPr>
    </w:p>
    <w:p>
      <w:pPr>
        <w:jc w:val="both"/>
        <w:ind w:right="220" w:firstLine="1018"/>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right="120" w:firstLine="1018"/>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a contract receivable when it has an unconditional right to consideration. No contract assets balance was recorded as of December 31, 2022 and 2021, respectively.</w:t>
      </w:r>
    </w:p>
    <w:p>
      <w:pPr>
        <w:spacing w:after="0" w:line="124" w:lineRule="exact"/>
        <w:rPr>
          <w:sz w:val="20"/>
          <w:szCs w:val="20"/>
          <w:color w:val="auto"/>
        </w:rPr>
      </w:pPr>
    </w:p>
    <w:p>
      <w:pPr>
        <w:ind w:right="620" w:firstLine="1018"/>
        <w:spacing w:after="0" w:line="342" w:lineRule="auto"/>
        <w:rPr>
          <w:sz w:val="20"/>
          <w:szCs w:val="20"/>
          <w:color w:val="auto"/>
        </w:rPr>
      </w:pPr>
      <w:r>
        <w:rPr>
          <w:rFonts w:ascii="Arial" w:cs="Arial" w:eastAsia="Arial" w:hAnsi="Arial"/>
          <w:sz w:val="16"/>
          <w:szCs w:val="16"/>
          <w:color w:val="auto"/>
        </w:rPr>
        <w:t>Contract liabilities are recorded as deferred revenue when cash payments are received or due in advance of performance or where the Company has unsatisfied performance obligations. The Company had no deferred revenue as of December 31,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firstLine="1018"/>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The</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jc w:val="both"/>
        <w:ind w:right="220"/>
        <w:spacing w:after="0" w:line="263" w:lineRule="auto"/>
        <w:rPr>
          <w:sz w:val="20"/>
          <w:szCs w:val="20"/>
          <w:color w:val="auto"/>
        </w:rPr>
      </w:pPr>
      <w:r>
        <w:rPr>
          <w:rFonts w:ascii="Arial" w:cs="Arial" w:eastAsia="Arial" w:hAnsi="Arial"/>
          <w:sz w:val="18"/>
          <w:szCs w:val="18"/>
          <w:color w:val="auto"/>
        </w:rPr>
        <w:t>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 Equivalents</w:t>
      </w:r>
    </w:p>
    <w:p>
      <w:pPr>
        <w:spacing w:after="0" w:line="225" w:lineRule="exact"/>
        <w:rPr>
          <w:sz w:val="20"/>
          <w:szCs w:val="20"/>
          <w:color w:val="auto"/>
        </w:rPr>
      </w:pPr>
    </w:p>
    <w:p>
      <w:pPr>
        <w:ind w:right="200" w:firstLine="1018"/>
        <w:spacing w:after="0" w:line="296" w:lineRule="auto"/>
        <w:rPr>
          <w:sz w:val="20"/>
          <w:szCs w:val="20"/>
          <w:color w:val="auto"/>
        </w:rPr>
      </w:pPr>
      <w:r>
        <w:rPr>
          <w:rFonts w:ascii="Arial" w:cs="Arial" w:eastAsia="Arial" w:hAnsi="Arial"/>
          <w:sz w:val="16"/>
          <w:szCs w:val="16"/>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Restricted cash equivalents consist of cash collateral required by a bank in connection with the Company's commercial credit cards program. The Company limits its credit risk associated with cash, cash equivalents and restricted cash equivalents by maintaining its bank accounts at major financial institutions.</w:t>
      </w:r>
    </w:p>
    <w:p>
      <w:pPr>
        <w:spacing w:after="0" w:line="161"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equivalents reported within the consolidated balance sheet which, in aggregate, represents the amount reported in the consolidated statements of cash flows for the years ended December 31, 2022 and 2021 (in thousands):</w:t>
      </w: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223"/>
        </w:trPr>
        <w:tc>
          <w:tcPr>
            <w:tcW w:w="65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27,007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cash equivalents</w:t>
            </w: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100"/>
              <w:spacing w:after="0"/>
              <w:rPr>
                <w:sz w:val="20"/>
                <w:szCs w:val="20"/>
                <w:color w:val="auto"/>
              </w:rPr>
            </w:pPr>
            <w:r>
              <w:rPr>
                <w:rFonts w:ascii="Arial" w:cs="Arial" w:eastAsia="Arial" w:hAnsi="Arial"/>
                <w:sz w:val="18"/>
                <w:szCs w:val="18"/>
                <w:color w:val="auto"/>
              </w:rPr>
              <w:t>Total cash, cash equivalents and restricted cash equivalents</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27,507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117,453</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-187960</wp:posOffset>
            </wp:positionV>
            <wp:extent cx="5969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1018"/>
        <w:spacing w:after="0" w:line="270" w:lineRule="auto"/>
        <w:rPr>
          <w:sz w:val="20"/>
          <w:szCs w:val="20"/>
          <w:color w:val="auto"/>
        </w:rPr>
      </w:pPr>
      <w:r>
        <w:rPr>
          <w:rFonts w:ascii="Arial" w:cs="Arial" w:eastAsia="Arial" w:hAnsi="Arial"/>
          <w:sz w:val="17"/>
          <w:szCs w:val="17"/>
          <w:color w:val="auto"/>
        </w:rPr>
        <w:t>The Company invests its excess cash in marketable securities with high credit ratings including securities issued by U.S. and international governments and their agencies, corporate debt securities and commercial paper. The Company has assessed U.S. government treasuries as Level 1 and all other marketable securities as Level 2 within the fair value hierarchy. All the Company's marketable securities have been accounted for as available-for-sale and carried at fair value. The Company classifies all its available-for-sale marketable securities, including those with maturity dates beyond one year, as current assets on the consolidated balance sheets as the Company may sell these securities at any time for use in current operations even if they have not yet reached maturity. The amortized cost of debt securities is adjusted for amortization of premiums and accretion of discounts to maturity, which is included in interest income and other, net on the consolidated statements of operations and comprehensive loss. Realized gains and losses on marketable securities are included in other income (expense) on the consolidated statements of operations. Gains and losses on sales are recorded based on the trade date and determined using the specific identification method.</w:t>
      </w:r>
    </w:p>
    <w:p>
      <w:pPr>
        <w:spacing w:after="0" w:line="181" w:lineRule="exact"/>
        <w:rPr>
          <w:sz w:val="20"/>
          <w:szCs w:val="20"/>
          <w:color w:val="auto"/>
        </w:rPr>
      </w:pPr>
    </w:p>
    <w:p>
      <w:pPr>
        <w:ind w:firstLine="1018"/>
        <w:spacing w:after="0" w:line="289" w:lineRule="auto"/>
        <w:rPr>
          <w:sz w:val="20"/>
          <w:szCs w:val="20"/>
          <w:color w:val="auto"/>
        </w:rPr>
      </w:pPr>
      <w:r>
        <w:rPr>
          <w:rFonts w:ascii="Arial" w:cs="Arial" w:eastAsia="Arial" w:hAnsi="Arial"/>
          <w:sz w:val="16"/>
          <w:szCs w:val="16"/>
          <w:color w:val="auto"/>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we have the intent to sell the securities and whether it is more likely than not that the Company will be required to sell the securities before the recovery of their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December 31, 2022, interest income receivable recorded as a component of prepaid expenses and other current assets on the consolidated balance sheet was de minimis.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ind w:right="180"/>
        <w:spacing w:after="0" w:line="277" w:lineRule="auto"/>
        <w:rPr>
          <w:sz w:val="20"/>
          <w:szCs w:val="20"/>
          <w:color w:val="auto"/>
        </w:rPr>
      </w:pPr>
      <w:r>
        <w:rPr>
          <w:rFonts w:ascii="Arial" w:cs="Arial" w:eastAsia="Arial" w:hAnsi="Arial"/>
          <w:sz w:val="18"/>
          <w:szCs w:val="18"/>
          <w:color w:val="auto"/>
        </w:rPr>
        <w:t>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20" w:right="4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right="20" w:firstLine="1018"/>
        <w:spacing w:after="0" w:line="263" w:lineRule="auto"/>
        <w:rPr>
          <w:sz w:val="20"/>
          <w:szCs w:val="20"/>
          <w:color w:val="auto"/>
        </w:rPr>
      </w:pPr>
      <w:r>
        <w:rPr>
          <w:rFonts w:ascii="Arial" w:cs="Arial" w:eastAsia="Arial" w:hAnsi="Arial"/>
          <w:sz w:val="18"/>
          <w:szCs w:val="18"/>
          <w:color w:val="auto"/>
        </w:rPr>
        <w:t>As of December 31, 2022 and 2021, the carrying values of current assets and liabilities approximates fair value due to their short-term nature. The fair value of the Company’s long-term debt approximated its carrying value based on borrowing rates currently available to the Company for debt with similar terms and maturities (Level 2 inputs).</w:t>
      </w:r>
    </w:p>
    <w:p>
      <w:pPr>
        <w:spacing w:after="0" w:line="184"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firstLine="1018"/>
        <w:spacing w:after="0" w:line="301" w:lineRule="auto"/>
        <w:rPr>
          <w:sz w:val="20"/>
          <w:szCs w:val="20"/>
          <w:color w:val="auto"/>
        </w:rPr>
      </w:pPr>
      <w:r>
        <w:rPr>
          <w:rFonts w:ascii="Arial" w:cs="Arial" w:eastAsia="Arial" w:hAnsi="Arial"/>
          <w:sz w:val="16"/>
          <w:szCs w:val="16"/>
          <w:color w:val="auto"/>
        </w:rPr>
        <w:t>Prior to January 1, 2022, the Company had one cancelable operating lease agreement for its corporate headquarters and recognized related rent expense on a straight-line basis over the term of the lease. The Company’s lease agreement contained termination and renewal options. The Company did not assume termination nor renewals options in its determination of the lease term unless they were deemed to be reasonably certain at the renewal of the lease. The Company began recognizing rent expense on the date that it obtained the legal right to use and control the leased space.</w:t>
      </w:r>
    </w:p>
    <w:p>
      <w:pPr>
        <w:spacing w:after="0" w:line="157" w:lineRule="exact"/>
        <w:rPr>
          <w:sz w:val="20"/>
          <w:szCs w:val="20"/>
          <w:color w:val="auto"/>
        </w:rPr>
      </w:pPr>
    </w:p>
    <w:p>
      <w:pPr>
        <w:ind w:right="60" w:firstLine="1018"/>
        <w:spacing w:after="0" w:line="273" w:lineRule="auto"/>
        <w:rPr>
          <w:sz w:val="20"/>
          <w:szCs w:val="20"/>
          <w:color w:val="auto"/>
        </w:rPr>
      </w:pPr>
      <w:r>
        <w:rPr>
          <w:rFonts w:ascii="Arial" w:cs="Arial" w:eastAsia="Arial" w:hAnsi="Arial"/>
          <w:sz w:val="17"/>
          <w:szCs w:val="17"/>
          <w:color w:val="auto"/>
        </w:rPr>
        <w:t>Subsequent to the adoption of the new leasing standard on January 1, 2022, 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consolidated balance sheet as of December 31, 2022.</w:t>
      </w:r>
    </w:p>
    <w:p>
      <w:pPr>
        <w:spacing w:after="0" w:line="178" w:lineRule="exact"/>
        <w:rPr>
          <w:sz w:val="20"/>
          <w:szCs w:val="20"/>
          <w:color w:val="auto"/>
        </w:rPr>
      </w:pPr>
    </w:p>
    <w:p>
      <w:pPr>
        <w:ind w:firstLine="1018"/>
        <w:spacing w:after="0" w:line="270"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the Company determines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181" w:lineRule="exact"/>
        <w:rPr>
          <w:sz w:val="20"/>
          <w:szCs w:val="20"/>
          <w:color w:val="auto"/>
        </w:rPr>
      </w:pPr>
    </w:p>
    <w:p>
      <w:pPr>
        <w:ind w:right="60" w:firstLine="1018"/>
        <w:spacing w:after="0" w:line="279" w:lineRule="auto"/>
        <w:rPr>
          <w:sz w:val="20"/>
          <w:szCs w:val="20"/>
          <w:color w:val="auto"/>
        </w:rPr>
      </w:pPr>
      <w:r>
        <w:rPr>
          <w:rFonts w:ascii="Arial" w:cs="Arial" w:eastAsia="Arial" w:hAnsi="Arial"/>
          <w:sz w:val="17"/>
          <w:szCs w:val="17"/>
          <w:color w:val="auto"/>
        </w:rPr>
        <w:t>The operating lease ROU assets also include any lease payments made and exclude lease incentives. Lease expense is recognized on a straight-line basis over the expected lease term. The Company has elected to not separate lease and non-lease components for its leased assets and accounts for all lease and non-lease components of its agreements as a single lease component. The lease components resulting in a ROU asset have been recorded on the consolidated balance sheet and amortized as lease expense on a straight-line basis over the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with Detachable Warrants</w:t>
      </w:r>
    </w:p>
    <w:p>
      <w:pPr>
        <w:spacing w:after="0" w:line="225" w:lineRule="exact"/>
        <w:rPr>
          <w:sz w:val="20"/>
          <w:szCs w:val="20"/>
          <w:color w:val="auto"/>
        </w:rPr>
      </w:pPr>
    </w:p>
    <w:p>
      <w:pPr>
        <w:jc w:val="both"/>
        <w:ind w:right="60" w:firstLine="1018"/>
        <w:spacing w:after="0" w:line="263" w:lineRule="auto"/>
        <w:rPr>
          <w:sz w:val="20"/>
          <w:szCs w:val="20"/>
          <w:color w:val="auto"/>
        </w:rPr>
      </w:pPr>
      <w:r>
        <w:rPr>
          <w:rFonts w:ascii="Arial" w:cs="Arial" w:eastAsia="Arial" w:hAnsi="Arial"/>
          <w:sz w:val="18"/>
          <w:szCs w:val="18"/>
          <w:color w:val="auto"/>
        </w:rPr>
        <w:t>Detachable warrants are evaluated for the classification of warrants as either equity instruments, derivative liabilities, or liabilities depending on the specific terms of the warrant agreement. In circumstances in which debt is issued with equity-classified warrants, the proceeds from the issuance of debt are first allocated to the debt and the warrants at their relative estimated fair values.</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spacing w:after="0" w:line="275" w:lineRule="auto"/>
        <w:rPr>
          <w:sz w:val="20"/>
          <w:szCs w:val="20"/>
          <w:color w:val="auto"/>
        </w:rPr>
      </w:pPr>
      <w:r>
        <w:rPr>
          <w:rFonts w:ascii="Arial" w:cs="Arial" w:eastAsia="Arial" w:hAnsi="Arial"/>
          <w:sz w:val="17"/>
          <w:szCs w:val="17"/>
          <w:color w:val="auto"/>
        </w:rPr>
        <w:t>The portion of the proceeds allocated to the warrants are accounted for as paid in capital and a debt discount. The remaining proceeds, as further reduced by discounts created by the bifurcation of embedded derivatives and beneficial conversion features, are allocated to the debt. The Company accounts for debt as liabilities measured at 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 accounting as derivative financial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the Company's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77" w:lineRule="exact"/>
        <w:rPr>
          <w:sz w:val="20"/>
          <w:szCs w:val="20"/>
          <w:color w:val="auto"/>
        </w:rPr>
      </w:pPr>
    </w:p>
    <w:p>
      <w:pPr>
        <w:ind w:right="180" w:firstLine="1018"/>
        <w:spacing w:after="0" w:line="259" w:lineRule="auto"/>
        <w:rPr>
          <w:sz w:val="20"/>
          <w:szCs w:val="20"/>
          <w:color w:val="auto"/>
        </w:rPr>
      </w:pPr>
      <w:r>
        <w:rPr>
          <w:rFonts w:ascii="Arial" w:cs="Arial" w:eastAsia="Arial" w:hAnsi="Arial"/>
          <w:sz w:val="18"/>
          <w:szCs w:val="18"/>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1018"/>
        <w:spacing w:after="0" w:line="269" w:lineRule="auto"/>
        <w:rPr>
          <w:sz w:val="20"/>
          <w:szCs w:val="20"/>
          <w:color w:val="auto"/>
        </w:rPr>
      </w:pPr>
      <w:r>
        <w:rPr>
          <w:rFonts w:ascii="Arial" w:cs="Arial" w:eastAsia="Arial" w:hAnsi="Arial"/>
          <w:sz w:val="17"/>
          <w:szCs w:val="17"/>
          <w:color w:val="auto"/>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employee RSAs is determined based on the estimated fair value of the Company’s Class A common stock on the grant date and is subject to the Company's reacquisition right which is accounted for as a forfeiture provision (Note 9).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w:t>
      </w:r>
    </w:p>
    <w:p>
      <w:pPr>
        <w:spacing w:after="0" w:line="185" w:lineRule="exact"/>
        <w:rPr>
          <w:sz w:val="20"/>
          <w:szCs w:val="20"/>
          <w:color w:val="auto"/>
        </w:rPr>
      </w:pPr>
    </w:p>
    <w:p>
      <w:pPr>
        <w:ind w:right="100" w:firstLine="1018"/>
        <w:spacing w:after="0" w:line="273" w:lineRule="auto"/>
        <w:rPr>
          <w:sz w:val="20"/>
          <w:szCs w:val="20"/>
          <w:color w:val="auto"/>
        </w:rPr>
      </w:pPr>
      <w:r>
        <w:rPr>
          <w:rFonts w:ascii="Arial" w:cs="Arial" w:eastAsia="Arial" w:hAnsi="Arial"/>
          <w:sz w:val="17"/>
          <w:szCs w:val="17"/>
          <w:color w:val="auto"/>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Unit-Based Compensation</w:t>
      </w:r>
    </w:p>
    <w:p>
      <w:pPr>
        <w:spacing w:after="0" w:line="225" w:lineRule="exact"/>
        <w:rPr>
          <w:sz w:val="20"/>
          <w:szCs w:val="20"/>
          <w:color w:val="auto"/>
        </w:rPr>
      </w:pPr>
    </w:p>
    <w:p>
      <w:pPr>
        <w:ind w:right="40" w:firstLine="1018"/>
        <w:spacing w:after="0" w:line="271" w:lineRule="auto"/>
        <w:rPr>
          <w:sz w:val="20"/>
          <w:szCs w:val="20"/>
          <w:color w:val="auto"/>
        </w:rPr>
      </w:pPr>
      <w:r>
        <w:rPr>
          <w:rFonts w:ascii="Arial" w:cs="Arial" w:eastAsia="Arial" w:hAnsi="Arial"/>
          <w:sz w:val="17"/>
          <w:szCs w:val="17"/>
          <w:color w:val="auto"/>
        </w:rPr>
        <w:t>Prior to the IPO, Rani LLC had granted equity-based awards to employees, members of the Board of Managers and nonemployees, including InCube Labs, LLC (“ICL”) employees and consultants, in the form of Profits Interests and/or options to purchase common units. All awards of Profits Interests and options to purchase common units were measured based on the estimated fair value of the award on the date of grant. Forfeitures were recognized when they occurred. All of the Profits Interests were subject to service and performance-based conditions and the Company evaluated the probability of achieving each performance-based condition at each reporting date and recognized equity-based compensation expense for employee and consultant awards and distributions of equity for ICL employee awards in the consolidated financial statements when it was deemed probable that the performance-based condition would be met using the accelerated attribution method over the requisite service period. The options to purchase common units were subject to service conditions and generally vested over three or four years.</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ind w:firstLine="1018"/>
        <w:spacing w:after="0" w:line="254" w:lineRule="auto"/>
        <w:rPr>
          <w:sz w:val="20"/>
          <w:szCs w:val="20"/>
          <w:color w:val="auto"/>
        </w:rPr>
      </w:pPr>
      <w:r>
        <w:rPr>
          <w:rFonts w:ascii="Arial" w:cs="Arial" w:eastAsia="Arial" w:hAnsi="Arial"/>
          <w:sz w:val="18"/>
          <w:szCs w:val="18"/>
          <w:color w:val="auto"/>
        </w:rPr>
        <w:t xml:space="preserve">The Company utilized estimates and assumptions in determining the fair value of its Profits Interests and options to purchase common units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common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Rani LLC sold preferred units, the superior rights, and preferences of the preferred units senior to Rani LLC’s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80" w:firstLine="1018"/>
        <w:spacing w:after="0" w:line="254" w:lineRule="auto"/>
        <w:rPr>
          <w:sz w:val="20"/>
          <w:szCs w:val="20"/>
          <w:color w:val="auto"/>
        </w:rPr>
      </w:pPr>
      <w:r>
        <w:rPr>
          <w:rFonts w:ascii="Arial" w:cs="Arial" w:eastAsia="Arial" w:hAnsi="Arial"/>
          <w:sz w:val="18"/>
          <w:szCs w:val="18"/>
          <w:color w:val="auto"/>
        </w:rPr>
        <w:t>The Company is the managing member of Rani LLC and, as a result, consolidates the financial results of Rani LLC and, prior to December 15, 2022, its taxable subsidiary RMS in the consolidated financial statements. RMS was dissolved on December 15, 2022.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 The Company's tax provision also includes the activity of RMS prior to its dissolution, which is taxed as a corporation for United States federal and state income tax purposes.</w:t>
      </w:r>
    </w:p>
    <w:p>
      <w:pPr>
        <w:spacing w:after="0" w:line="192" w:lineRule="exact"/>
        <w:rPr>
          <w:sz w:val="20"/>
          <w:szCs w:val="20"/>
          <w:color w:val="auto"/>
        </w:rPr>
      </w:pPr>
    </w:p>
    <w:p>
      <w:pPr>
        <w:ind w:right="20" w:firstLine="1018"/>
        <w:spacing w:after="0" w:line="271" w:lineRule="auto"/>
        <w:rPr>
          <w:sz w:val="20"/>
          <w:szCs w:val="20"/>
          <w:color w:val="auto"/>
        </w:rPr>
      </w:pPr>
      <w:r>
        <w:rPr>
          <w:rFonts w:ascii="Arial" w:cs="Arial" w:eastAsia="Arial" w:hAnsi="Arial"/>
          <w:sz w:val="17"/>
          <w:szCs w:val="17"/>
          <w:color w:val="auto"/>
        </w:rPr>
        <w:t>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w:t>
      </w:r>
    </w:p>
    <w:p>
      <w:pPr>
        <w:spacing w:after="0" w:line="178"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0" w:firstLine="1018"/>
        <w:spacing w:after="0" w:line="275" w:lineRule="auto"/>
        <w:rPr>
          <w:sz w:val="20"/>
          <w:szCs w:val="20"/>
          <w:color w:val="auto"/>
        </w:rPr>
      </w:pPr>
      <w:r>
        <w:rPr>
          <w:rFonts w:ascii="Arial" w:cs="Arial" w:eastAsia="Arial" w:hAnsi="Arial"/>
          <w:sz w:val="17"/>
          <w:szCs w:val="17"/>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76"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14).</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180" w:firstLine="1018"/>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70" w:lineRule="exact"/>
        <w:rPr>
          <w:sz w:val="20"/>
          <w:szCs w:val="20"/>
          <w:color w:val="auto"/>
        </w:rPr>
      </w:pPr>
    </w:p>
    <w:p>
      <w:pPr>
        <w:ind w:right="20" w:firstLine="1018"/>
        <w:spacing w:after="0" w:line="255" w:lineRule="auto"/>
        <w:rPr>
          <w:sz w:val="20"/>
          <w:szCs w:val="20"/>
          <w:color w:val="auto"/>
        </w:rPr>
      </w:pPr>
      <w:r>
        <w:rPr>
          <w:rFonts w:ascii="Arial" w:cs="Arial" w:eastAsia="Arial" w:hAnsi="Arial"/>
          <w:sz w:val="18"/>
          <w:szCs w:val="18"/>
          <w:color w:val="auto"/>
        </w:rPr>
        <w:t>In August 2021, based on the Organizational Transactions, Rani Holdings became the sole managing member of Rani LLC. As of December 31, 2022, Rani Holdings held approximately 50% of the Class A Units of Rani LLC, and approximately 50% of the outstanding Class A Units of Rani LLC are held by the Continuing LLC Owners. Therefore, the Company reports NCI based on the Class A Units of Rani LLC held by the Continuing LLC Owners on its consolidated balance sheet as of December 31, 2022. Income or loss attributed to the NCI in Rani LLC is based on the Class A Units outstanding during the period for which the income or loss is generated and is presented on the consolidated statements of operations and comprehensive loss.</w:t>
      </w:r>
    </w:p>
    <w:p>
      <w:pPr>
        <w:spacing w:after="0" w:line="192" w:lineRule="exact"/>
        <w:rPr>
          <w:sz w:val="20"/>
          <w:szCs w:val="20"/>
          <w:color w:val="auto"/>
        </w:rPr>
      </w:pPr>
    </w:p>
    <w:p>
      <w:pPr>
        <w:ind w:right="240" w:firstLine="1018"/>
        <w:spacing w:after="0" w:line="279" w:lineRule="auto"/>
        <w:rPr>
          <w:sz w:val="20"/>
          <w:szCs w:val="20"/>
          <w:color w:val="auto"/>
        </w:rPr>
      </w:pPr>
      <w:r>
        <w:rPr>
          <w:rFonts w:ascii="Arial" w:cs="Arial" w:eastAsia="Arial" w:hAnsi="Arial"/>
          <w:sz w:val="17"/>
          <w:szCs w:val="17"/>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December 31, 2022, there were 5,173,947 exchanges of Paired Interests and 158,051 exchanges of noncorresponding Class A Units of Rani LLC for an equal number of shares of the Company's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40" w:firstLine="1018"/>
        <w:spacing w:after="0" w:line="272" w:lineRule="auto"/>
        <w:rPr>
          <w:sz w:val="20"/>
          <w:szCs w:val="20"/>
          <w:color w:val="auto"/>
        </w:rPr>
      </w:pPr>
      <w:r>
        <w:rPr>
          <w:rFonts w:ascii="Arial" w:cs="Arial" w:eastAsia="Arial" w:hAnsi="Arial"/>
          <w:sz w:val="17"/>
          <w:szCs w:val="17"/>
          <w:color w:val="auto"/>
        </w:rPr>
        <w:t>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Maintenance and repairs are charged to 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1018"/>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Note Receivable</w:t>
      </w:r>
    </w:p>
    <w:p>
      <w:pPr>
        <w:spacing w:after="0" w:line="225" w:lineRule="exact"/>
        <w:rPr>
          <w:sz w:val="20"/>
          <w:szCs w:val="20"/>
          <w:color w:val="auto"/>
        </w:rPr>
      </w:pPr>
    </w:p>
    <w:p>
      <w:pPr>
        <w:ind w:right="180" w:firstLine="1018"/>
        <w:spacing w:after="0" w:line="275" w:lineRule="auto"/>
        <w:rPr>
          <w:sz w:val="20"/>
          <w:szCs w:val="20"/>
          <w:color w:val="auto"/>
        </w:rPr>
      </w:pPr>
      <w:r>
        <w:rPr>
          <w:rFonts w:ascii="Arial" w:cs="Arial" w:eastAsia="Arial" w:hAnsi="Arial"/>
          <w:sz w:val="17"/>
          <w:szCs w:val="17"/>
          <w:color w:val="auto"/>
        </w:rPr>
        <w:t>The principal balance on the related party note receivable was recorded on the consolidated balance sheet along with earned and not yet received interest income. The principal balance was classified on the consolidated balance sheet based upon the expected timing of the repayments by the related party. Interest income received and receivable on the related party note receivable was recorded as a component of interest income in the consolidated statement of operations and comprehensive loss. Associated interest earned was recognized using the effective interest method. In March 2021, the related party repaid in full the $1.7 million of principal and interest related to the note receivable.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right="380" w:firstLine="1018"/>
        <w:spacing w:after="0" w:line="277" w:lineRule="auto"/>
        <w:rPr>
          <w:sz w:val="20"/>
          <w:szCs w:val="20"/>
          <w:color w:val="auto"/>
        </w:rPr>
      </w:pPr>
      <w:r>
        <w:rPr>
          <w:rFonts w:ascii="Arial" w:cs="Arial" w:eastAsia="Arial" w:hAnsi="Arial"/>
          <w:sz w:val="18"/>
          <w:szCs w:val="18"/>
          <w:color w:val="auto"/>
        </w:rPr>
        <w:t>Outstanding warrants to purchase preferred units of the Company were classified as liabilities in the accompanying consolidated balance sheets due to a contingent redemption right of the holder of the preferred unit warrants that is outside of the</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2" w:name="page123"/>
    <w:bookmarkEnd w:id="122"/>
    <w:p>
      <w:pPr>
        <w:ind w:right="260"/>
        <w:spacing w:after="0" w:line="296" w:lineRule="auto"/>
        <w:rPr>
          <w:sz w:val="20"/>
          <w:szCs w:val="20"/>
          <w:color w:val="auto"/>
        </w:rPr>
      </w:pPr>
      <w:r>
        <w:rPr>
          <w:rFonts w:ascii="Arial" w:cs="Arial" w:eastAsia="Arial" w:hAnsi="Arial"/>
          <w:sz w:val="16"/>
          <w:szCs w:val="16"/>
          <w:color w:val="auto"/>
        </w:rPr>
        <w:t>control of the Company that precluded equity classification. Such preferred unit warrants were subject to re-measurement at the end of each reporting period until they were settled in July 2021. The Company estimated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was revalued and reclassified to members’ deficit upon the completion of the Company’s IPO.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Class A Common Share Attributable to Rani Holdings</w:t>
      </w:r>
    </w:p>
    <w:p>
      <w:pPr>
        <w:spacing w:after="0" w:line="225" w:lineRule="exact"/>
        <w:rPr>
          <w:sz w:val="20"/>
          <w:szCs w:val="20"/>
          <w:color w:val="auto"/>
        </w:rPr>
      </w:pPr>
    </w:p>
    <w:p>
      <w:pPr>
        <w:jc w:val="both"/>
        <w:ind w:right="120" w:firstLine="1018"/>
        <w:spacing w:after="0" w:line="279" w:lineRule="auto"/>
        <w:rPr>
          <w:sz w:val="20"/>
          <w:szCs w:val="20"/>
          <w:color w:val="auto"/>
        </w:rPr>
      </w:pPr>
      <w:r>
        <w:rPr>
          <w:rFonts w:ascii="Arial" w:cs="Arial" w:eastAsia="Arial" w:hAnsi="Arial"/>
          <w:sz w:val="17"/>
          <w:szCs w:val="17"/>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 w:firstLine="101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1018"/>
        <w:spacing w:after="0" w:line="270" w:lineRule="auto"/>
        <w:rPr>
          <w:sz w:val="20"/>
          <w:szCs w:val="20"/>
          <w:color w:val="auto"/>
        </w:rPr>
      </w:pPr>
      <w:r>
        <w:rPr>
          <w:rFonts w:ascii="Arial" w:cs="Arial" w:eastAsia="Arial" w:hAnsi="Arial"/>
          <w:sz w:val="17"/>
          <w:szCs w:val="17"/>
          <w:color w:val="auto"/>
        </w:rPr>
        <w:t>In February 2016, the FASB issued ASU 2016-02, Leases (“Topic 842”), as subsequently amended, to improve financial reporting and disclosures about leasing transactions. The Company adopted this standard on January 1, 2022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where applicable. The Company did not elect the practical expedient allowing the use-of-hindsight which would require the Company to reassess the lease term of its leases based on all facts and circumstances through the effective date and did not elect the practical expedient pertaining to land easements as this is not applicable to the current contract portfolio. The Company elected the post-transition practical expedient to not separate lease components from non-lease components for all existing lease classes. The Company also elected a policy of not recording leases on its balance sheets when the leases have a term of twelve months or less and the Company is not reasonably certain to elect an option to purchase the leased asset.</w:t>
      </w:r>
    </w:p>
    <w:p>
      <w:pPr>
        <w:spacing w:after="0" w:line="181" w:lineRule="exact"/>
        <w:rPr>
          <w:sz w:val="20"/>
          <w:szCs w:val="20"/>
          <w:color w:val="auto"/>
        </w:rPr>
      </w:pPr>
    </w:p>
    <w:p>
      <w:pPr>
        <w:ind w:right="40" w:firstLine="1018"/>
        <w:spacing w:after="0" w:line="259" w:lineRule="auto"/>
        <w:rPr>
          <w:sz w:val="20"/>
          <w:szCs w:val="20"/>
          <w:color w:val="auto"/>
        </w:rPr>
      </w:pPr>
      <w:r>
        <w:rPr>
          <w:rFonts w:ascii="Arial" w:cs="Arial" w:eastAsia="Arial" w:hAnsi="Arial"/>
          <w:sz w:val="18"/>
          <w:szCs w:val="18"/>
          <w:color w:val="auto"/>
        </w:rPr>
        <w:t>The adoption of this standard resulted in the recognition of a ROU asset and lease liabilities of $1.3 million, respectively. The adoption of the standard had no impact on the Company’s consolidated statements of operations and comprehensive loss or to its cash flows from or used in operating, financing, or investing activities on its consolidated statements of cash flows. No cumulative-effect adjustment within accumulated deficit was required to be recorded as a result of adopting this standard.</w:t>
      </w:r>
    </w:p>
    <w:p>
      <w:pPr>
        <w:spacing w:after="0" w:line="187" w:lineRule="exact"/>
        <w:rPr>
          <w:sz w:val="20"/>
          <w:szCs w:val="20"/>
          <w:color w:val="auto"/>
        </w:rPr>
      </w:pPr>
    </w:p>
    <w:p>
      <w:pPr>
        <w:ind w:right="60" w:firstLine="1018"/>
        <w:spacing w:after="0" w:line="269" w:lineRule="auto"/>
        <w:rPr>
          <w:sz w:val="20"/>
          <w:szCs w:val="20"/>
          <w:color w:val="auto"/>
        </w:rPr>
      </w:pPr>
      <w:r>
        <w:rPr>
          <w:rFonts w:ascii="Arial" w:cs="Arial" w:eastAsia="Arial" w:hAnsi="Arial"/>
          <w:sz w:val="17"/>
          <w:szCs w:val="17"/>
          <w:color w:val="auto"/>
        </w:rPr>
        <w:t>In June 2016, the FASB issued ASU 2016-13, Financial Instruments—Credit Losses (“ASU 2016-13”), that revises the measurement of credit losses for most financial instruments measured at amortized cost, including trade receivables, from an incurred loss methodology to an expected loss methodology which results in earlier recognition of credit losses. Under the incurred loss model, a loss is not recognized until it is probable that the loss-causing event has already occurred. The standard introduces a forward-looking expected credit loss model that requires an estimate of the expected credit losses over the life of the instrument by considering all relevant information including historical experience, current conditions, and reasonable and supportable forecasts that affect collectability. In addition, the standard also modifies the impairment model for available-for-sale debt securities, which are measured at fair value, by eliminating the consideration for the length of time fair value has been less than amortized cost when assessing credit loss for a debt security and provides for reversals of credit losses through income upon credit improvement. The Company early adopted this standard on July 1, 2022, for the interim period ended September 30, 2022. Based on the composition of the Company's investment portfolio, which reflects the Company's primary investment objective of capital preservation, the adoption of this standard did not have a material impact on the Company's consolidated financial statements or related disclosures.</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3. Cash Equivalents, Restricted Cash Equivalents and Marketable Securities</w:t>
      </w:r>
    </w:p>
    <w:p>
      <w:pPr>
        <w:spacing w:after="0" w:line="229" w:lineRule="exact"/>
        <w:rPr>
          <w:sz w:val="20"/>
          <w:szCs w:val="20"/>
          <w:color w:val="auto"/>
        </w:rPr>
      </w:pPr>
    </w:p>
    <w:p>
      <w:pPr>
        <w:ind w:right="600" w:firstLine="1018"/>
        <w:spacing w:after="0" w:line="277" w:lineRule="auto"/>
        <w:rPr>
          <w:sz w:val="20"/>
          <w:szCs w:val="20"/>
          <w:color w:val="auto"/>
        </w:rPr>
      </w:pPr>
      <w:r>
        <w:rPr>
          <w:rFonts w:ascii="Arial" w:cs="Arial" w:eastAsia="Arial" w:hAnsi="Arial"/>
          <w:sz w:val="18"/>
          <w:szCs w:val="18"/>
          <w:color w:val="auto"/>
        </w:rPr>
        <w:t>The following tables summarizes the amortized cost and fair value of the Company's cash equivalents, restricted cash equivalents and marketable securities by major investment category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2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1"/>
                <w:szCs w:val="11"/>
                <w:color w:val="auto"/>
              </w:rPr>
            </w:pPr>
          </w:p>
        </w:tc>
        <w:tc>
          <w:tcPr>
            <w:tcW w:w="1060" w:type="dxa"/>
            <w:vAlign w:val="bottom"/>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w w:val="90"/>
              </w:rPr>
              <w:t>Unrealized</w:t>
            </w:r>
          </w:p>
        </w:tc>
        <w:tc>
          <w:tcPr>
            <w:tcW w:w="10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0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left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00"/>
              <w:spacing w:after="0"/>
              <w:rPr>
                <w:sz w:val="20"/>
                <w:szCs w:val="20"/>
                <w:color w:val="auto"/>
              </w:rPr>
            </w:pPr>
            <w:r>
              <w:rPr>
                <w:rFonts w:ascii="Arial" w:cs="Arial" w:eastAsia="Arial" w:hAnsi="Arial"/>
                <w:sz w:val="18"/>
                <w:szCs w:val="18"/>
                <w:color w:val="auto"/>
              </w:rPr>
              <w:t>Total cash equivalents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Restricted cash equivalents:</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cash equivalents and restricted cash equivalents</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25,813</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right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left w:val="single" w:sz="8" w:color="CFF0FC"/>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(107 )</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(39 )</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marketable securities</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71,624</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right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left w:val="single" w:sz="8" w:color="CFF0FC"/>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Total cash equivalents, restricted cash equivalents and</w:t>
            </w:r>
          </w:p>
        </w:tc>
        <w:tc>
          <w:tcPr>
            <w:tcW w:w="3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97,437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(149 )</w:t>
            </w: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3" w:lineRule="exact"/>
              <w:rPr>
                <w:sz w:val="20"/>
                <w:szCs w:val="20"/>
                <w:color w:val="auto"/>
              </w:rPr>
            </w:pPr>
            <w:r>
              <w:rPr>
                <w:rFonts w:ascii="Arial" w:cs="Arial" w:eastAsia="Arial" w:hAnsi="Arial"/>
                <w:sz w:val="18"/>
                <w:szCs w:val="18"/>
                <w:color w:val="auto"/>
              </w:rPr>
              <w:t>marketable securities</w:t>
            </w:r>
          </w:p>
        </w:tc>
        <w:tc>
          <w:tcPr>
            <w:tcW w:w="3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1"/>
                <w:szCs w:val="11"/>
                <w:color w:val="auto"/>
              </w:rPr>
            </w:pPr>
          </w:p>
        </w:tc>
        <w:tc>
          <w:tcPr>
            <w:tcW w:w="1060" w:type="dxa"/>
            <w:vAlign w:val="bottom"/>
            <w:gridSpan w:val="2"/>
          </w:tcPr>
          <w:p>
            <w:pPr>
              <w:jc w:val="right"/>
              <w:ind w:right="27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9"/>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0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left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115,595</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115,595</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-3034030</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-3034030</wp:posOffset>
            </wp:positionV>
            <wp:extent cx="60325"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-3034030</wp:posOffset>
            </wp:positionV>
            <wp:extent cx="60325"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-3034030</wp:posOffset>
            </wp:positionV>
            <wp:extent cx="60325"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-2399665</wp:posOffset>
            </wp:positionV>
            <wp:extent cx="237490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74900" cy="1797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-1439545</wp:posOffset>
            </wp:positionV>
            <wp:extent cx="68580"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-1439545</wp:posOffset>
            </wp:positionV>
            <wp:extent cx="60325"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-1439545</wp:posOffset>
            </wp:positionV>
            <wp:extent cx="60325" cy="3003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-1439545</wp:posOffset>
            </wp:positionV>
            <wp:extent cx="60325" cy="3003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3003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032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032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As of December 31, 2022, all marketable securities held have maturity dates within one year or less. The Company regularly reviews its available-for-sale marketable securities in an unrealized loss position and evaluates the current expected credit loss by considering factors such as historical experience, market data, issuer-specific factors, and current economic conditions. As of December 31, 2022,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December 31, 2022</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2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25,313</w:t>
            </w:r>
          </w:p>
        </w:tc>
        <w:tc>
          <w:tcPr>
            <w:tcW w:w="100" w:type="dxa"/>
            <w:vAlign w:val="bottom"/>
            <w:shd w:val="clear" w:color="auto" w:fill="CFF0FC"/>
          </w:tcPr>
          <w:p>
            <w:pPr>
              <w:spacing w:after="0"/>
              <w:rPr>
                <w:sz w:val="21"/>
                <w:szCs w:val="21"/>
                <w:color w:val="auto"/>
              </w:rPr>
            </w:pPr>
          </w:p>
        </w:tc>
      </w:tr>
      <w:tr>
        <w:trPr>
          <w:trHeight w:val="237"/>
        </w:trPr>
        <w:tc>
          <w:tcPr>
            <w:tcW w:w="4920" w:type="dxa"/>
            <w:vAlign w:val="bottom"/>
          </w:tcPr>
          <w:p>
            <w:pPr>
              <w:ind w:left="100"/>
              <w:spacing w:after="0"/>
              <w:rPr>
                <w:sz w:val="20"/>
                <w:szCs w:val="20"/>
                <w:color w:val="auto"/>
              </w:rPr>
            </w:pPr>
            <w:r>
              <w:rPr>
                <w:rFonts w:ascii="Arial" w:cs="Arial" w:eastAsia="Arial" w:hAnsi="Arial"/>
                <w:sz w:val="18"/>
                <w:szCs w:val="18"/>
                <w:color w:val="auto"/>
              </w:rPr>
              <w:t>Restricted cash equivalents: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7"/>
        </w:trPr>
        <w:tc>
          <w:tcPr>
            <w:tcW w:w="49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36,456</w:t>
            </w:r>
          </w:p>
        </w:tc>
        <w:tc>
          <w:tcPr>
            <w:tcW w:w="100" w:type="dxa"/>
            <w:vAlign w:val="bottom"/>
            <w:shd w:val="clear" w:color="auto" w:fill="CFF0FC"/>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tcPr>
          <w:p>
            <w:pPr>
              <w:spacing w:after="0"/>
              <w:rPr>
                <w:sz w:val="20"/>
                <w:szCs w:val="20"/>
                <w:color w:val="auto"/>
              </w:rPr>
            </w:pPr>
          </w:p>
        </w:tc>
      </w:tr>
      <w:tr>
        <w:trPr>
          <w:trHeight w:val="249"/>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International government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62,269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35,019</w:t>
            </w:r>
          </w:p>
        </w:tc>
        <w:tc>
          <w:tcPr>
            <w:tcW w:w="2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tbl>
      <w:tblPr>
        <w:tblLayout w:type="fixed"/>
        <w:tblInd w:w="86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w w:val="98"/>
              </w:rPr>
              <w:t>As of December 31, 2021</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9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115,595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115,595</w:t>
            </w:r>
          </w:p>
        </w:tc>
        <w:tc>
          <w:tcPr>
            <w:tcW w:w="10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-187960</wp:posOffset>
            </wp:positionV>
            <wp:extent cx="6032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03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-187960</wp:posOffset>
            </wp:positionV>
            <wp:extent cx="60325"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ind w:right="60" w:firstLine="1018"/>
        <w:spacing w:after="0" w:line="257" w:lineRule="auto"/>
        <w:rPr>
          <w:sz w:val="20"/>
          <w:szCs w:val="20"/>
          <w:color w:val="auto"/>
        </w:rPr>
      </w:pPr>
      <w:r>
        <w:rPr>
          <w:rFonts w:ascii="Arial" w:cs="Arial" w:eastAsia="Arial" w:hAnsi="Arial"/>
          <w:sz w:val="18"/>
          <w:szCs w:val="18"/>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right="40" w:firstLine="1018"/>
        <w:spacing w:after="0" w:line="275" w:lineRule="auto"/>
        <w:rPr>
          <w:sz w:val="20"/>
          <w:szCs w:val="20"/>
          <w:color w:val="auto"/>
        </w:rPr>
      </w:pPr>
      <w:r>
        <w:rPr>
          <w:rFonts w:ascii="Arial" w:cs="Arial" w:eastAsia="Arial" w:hAnsi="Arial"/>
          <w:sz w:val="17"/>
          <w:szCs w:val="17"/>
          <w:color w:val="auto"/>
        </w:rPr>
        <w:t>For the year ended December 31, 2022, as further discussed in Note 13, the Company issued Level 3 equity classified warrants of $0.5 million in connection with the loan and security agreement that were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p>
    <w:p>
      <w:pPr>
        <w:spacing w:after="0" w:line="176" w:lineRule="exact"/>
        <w:rPr>
          <w:sz w:val="20"/>
          <w:szCs w:val="20"/>
          <w:color w:val="auto"/>
        </w:rPr>
      </w:pPr>
    </w:p>
    <w:p>
      <w:pPr>
        <w:ind w:right="40" w:firstLine="1018"/>
        <w:spacing w:after="0" w:line="308" w:lineRule="auto"/>
        <w:rPr>
          <w:sz w:val="20"/>
          <w:szCs w:val="20"/>
          <w:color w:val="auto"/>
        </w:rPr>
      </w:pPr>
      <w:r>
        <w:rPr>
          <w:rFonts w:ascii="Arial" w:cs="Arial" w:eastAsia="Arial" w:hAnsi="Arial"/>
          <w:sz w:val="17"/>
          <w:szCs w:val="17"/>
          <w:color w:val="auto"/>
        </w:rPr>
        <w:t>In 2021, the Company held a Level 3 liability associated with preferred unit warrants that were issued in conjunction with a loan and security agreement. These preferred unit warrants were settled with Class A common stock as part of the IPO and Organizational Transactions.</w:t>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87"/>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shd w:val="clear" w:color="auto" w:fill="CFF0FC"/>
          </w:tcPr>
          <w:p>
            <w:pPr>
              <w:jc w:val="right"/>
              <w:ind w:right="658"/>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 in estimated fair value of Series E warrants</w:t>
            </w:r>
          </w:p>
        </w:tc>
        <w:tc>
          <w:tcPr>
            <w:tcW w:w="8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Series E warrants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65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84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ind w:right="66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Balance Sheet Components</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3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Property and equipment, net consist of the following (in thousands):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auto"/>
            </w:tcBorders>
            <w:shd w:val="clear" w:color="auto" w:fill="CFF0FC"/>
          </w:tcPr>
          <w:p>
            <w:pPr>
              <w:jc w:val="right"/>
              <w:ind w:right="658"/>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Office equipment</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4,471</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(2,849 )</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(2,331 )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65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60" w:type="dxa"/>
            <w:vAlign w:val="bottom"/>
          </w:tcPr>
          <w:p>
            <w:pPr>
              <w:spacing w:after="0"/>
              <w:rPr>
                <w:sz w:val="24"/>
                <w:szCs w:val="24"/>
                <w:color w:val="auto"/>
              </w:rPr>
            </w:pPr>
          </w:p>
        </w:tc>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84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6,038</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-2862580</wp:posOffset>
            </wp:positionV>
            <wp:extent cx="5969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-2862580</wp:posOffset>
            </wp:positionV>
            <wp:extent cx="6032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right="200" w:firstLine="1018"/>
        <w:spacing w:after="0" w:line="311" w:lineRule="auto"/>
        <w:rPr>
          <w:sz w:val="20"/>
          <w:szCs w:val="20"/>
          <w:color w:val="auto"/>
        </w:rPr>
      </w:pPr>
      <w:r>
        <w:rPr>
          <w:rFonts w:ascii="Arial" w:cs="Arial" w:eastAsia="Arial" w:hAnsi="Arial"/>
          <w:sz w:val="16"/>
          <w:szCs w:val="16"/>
          <w:color w:val="auto"/>
        </w:rPr>
        <w:t>Depreciation and amortization expense totaled approximately $0.5 million and $0.5 million for the years ended December 31, 2022 and 2021, respectively. As of December 31, 2022 and 2021, all of the Company’s property and equipment was located in the United States, respectively, with the exception of $3.5 million of construction-in-progress in 2021 that was located in Germany at a third-party manufacturing facility.</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Accrued expenses consist of the following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Accrued preclinical and clinical trial costs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1,130</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20"/>
                <w:szCs w:val="20"/>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Payroll and related</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8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r>
      <w:tr>
        <w:trPr>
          <w:trHeight w:val="276"/>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2,296</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-25400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right="120" w:firstLine="1018"/>
        <w:spacing w:after="0" w:line="259" w:lineRule="auto"/>
        <w:rPr>
          <w:sz w:val="20"/>
          <w:szCs w:val="20"/>
          <w:color w:val="auto"/>
        </w:rPr>
      </w:pPr>
      <w:r>
        <w:rPr>
          <w:rFonts w:ascii="Arial" w:cs="Arial" w:eastAsia="Arial" w:hAnsi="Arial"/>
          <w:sz w:val="18"/>
          <w:szCs w:val="18"/>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 modifications to the agreement.</w:t>
      </w:r>
    </w:p>
    <w:p>
      <w:pPr>
        <w:spacing w:after="0" w:line="187" w:lineRule="exact"/>
        <w:rPr>
          <w:sz w:val="20"/>
          <w:szCs w:val="20"/>
          <w:color w:val="auto"/>
        </w:rPr>
      </w:pPr>
    </w:p>
    <w:p>
      <w:pPr>
        <w:ind w:right="180" w:firstLine="1018"/>
        <w:spacing w:after="0" w:line="277" w:lineRule="auto"/>
        <w:rPr>
          <w:sz w:val="20"/>
          <w:szCs w:val="20"/>
          <w:color w:val="auto"/>
        </w:rPr>
      </w:pPr>
      <w:r>
        <w:rPr>
          <w:rFonts w:ascii="Arial" w:cs="Arial" w:eastAsia="Arial" w:hAnsi="Arial"/>
          <w:sz w:val="18"/>
          <w:szCs w:val="18"/>
          <w:color w:val="auto"/>
        </w:rPr>
        <w:t>The Company identified one material promise under the Takeda agreement, the obligation to perform services to evaluate if Takeda’s FVIII therapy can be orally delivered using the RaniPill capsule, which was concluded to be a single performance obligation.</w:t>
      </w:r>
    </w:p>
    <w:p>
      <w:pPr>
        <w:spacing w:after="0" w:line="170" w:lineRule="exact"/>
        <w:rPr>
          <w:sz w:val="20"/>
          <w:szCs w:val="20"/>
          <w:color w:val="auto"/>
        </w:rPr>
      </w:pPr>
    </w:p>
    <w:p>
      <w:pPr>
        <w:ind w:right="100" w:firstLine="1018"/>
        <w:spacing w:after="0" w:line="263" w:lineRule="auto"/>
        <w:rPr>
          <w:sz w:val="20"/>
          <w:szCs w:val="20"/>
          <w:color w:val="auto"/>
        </w:rPr>
      </w:pPr>
      <w:r>
        <w:rPr>
          <w:rFonts w:ascii="Arial" w:cs="Arial" w:eastAsia="Arial" w:hAnsi="Arial"/>
          <w:sz w:val="18"/>
          <w:szCs w:val="18"/>
          <w:color w:val="auto"/>
        </w:rPr>
        <w:t xml:space="preserve">In May 2021, the Company received written notice from Takeda as to their intent to terminate the contract for convenience. </w:t>
      </w:r>
      <w:r>
        <w:rPr>
          <w:rFonts w:ascii="Arial" w:cs="Arial" w:eastAsia="Arial" w:hAnsi="Arial"/>
          <w:sz w:val="18"/>
          <w:szCs w:val="18"/>
          <w:color w:val="212529"/>
        </w:rPr>
        <w:t>Due to the</w:t>
      </w:r>
      <w:r>
        <w:rPr>
          <w:rFonts w:ascii="Arial" w:cs="Arial" w:eastAsia="Arial" w:hAnsi="Arial"/>
          <w:sz w:val="18"/>
          <w:szCs w:val="18"/>
          <w:color w:val="auto"/>
        </w:rPr>
        <w:t xml:space="preserve"> </w:t>
      </w:r>
      <w:r>
        <w:rPr>
          <w:rFonts w:ascii="Arial" w:cs="Arial" w:eastAsia="Arial" w:hAnsi="Arial"/>
          <w:sz w:val="18"/>
          <w:szCs w:val="18"/>
          <w:color w:val="212529"/>
        </w:rPr>
        <w:t>delivery of the termination notice, the Company determined that there were no further enforceable rights and obligations under the agreement beyond May 2021 and the remaining $2.0 million of deferred revenue was recognized in 2021.</w:t>
      </w:r>
    </w:p>
    <w:p>
      <w:pPr>
        <w:spacing w:after="0" w:line="184" w:lineRule="exact"/>
        <w:rPr>
          <w:sz w:val="20"/>
          <w:szCs w:val="20"/>
          <w:color w:val="auto"/>
        </w:rPr>
      </w:pPr>
    </w:p>
    <w:p>
      <w:pPr>
        <w:jc w:val="both"/>
        <w:ind w:right="180" w:firstLine="1018"/>
        <w:spacing w:after="0" w:line="263" w:lineRule="auto"/>
        <w:rPr>
          <w:sz w:val="20"/>
          <w:szCs w:val="20"/>
          <w:color w:val="auto"/>
        </w:rPr>
      </w:pPr>
      <w:r>
        <w:rPr>
          <w:rFonts w:ascii="Arial" w:cs="Arial" w:eastAsia="Arial" w:hAnsi="Arial"/>
          <w:sz w:val="18"/>
          <w:szCs w:val="18"/>
          <w:color w:val="auto"/>
        </w:rPr>
        <w:t>For the year ended December 31, 2022, no contract revenue related to the Takeda agreement was recognized. For the year ended December 31, 2021, the Company recognized contract revenue related to the Takeda agreement of $2.7 million. There was no deferred revenue as of December 31, 2022 nor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right="140" w:firstLine="1018"/>
        <w:spacing w:after="0" w:line="263" w:lineRule="auto"/>
        <w:rPr>
          <w:sz w:val="20"/>
          <w:szCs w:val="20"/>
          <w:color w:val="auto"/>
        </w:rPr>
      </w:pPr>
      <w:r>
        <w:rPr>
          <w:rFonts w:ascii="Arial" w:cs="Arial" w:eastAsia="Arial" w:hAnsi="Arial"/>
          <w:sz w:val="18"/>
          <w:szCs w:val="18"/>
          <w:color w:val="auto"/>
        </w:rPr>
        <w:t>InCube Labs, LLC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right="20" w:firstLine="1018"/>
        <w:spacing w:after="0" w:line="269" w:lineRule="auto"/>
        <w:rPr>
          <w:sz w:val="20"/>
          <w:szCs w:val="20"/>
          <w:color w:val="auto"/>
        </w:rPr>
      </w:pPr>
      <w:r>
        <w:rPr>
          <w:rFonts w:ascii="Arial" w:cs="Arial" w:eastAsia="Arial" w:hAnsi="Arial"/>
          <w:sz w:val="17"/>
          <w:szCs w:val="17"/>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82"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ind w:right="40"/>
        <w:spacing w:after="0" w:line="257" w:lineRule="auto"/>
        <w:rPr>
          <w:sz w:val="20"/>
          <w:szCs w:val="20"/>
          <w:color w:val="auto"/>
        </w:rPr>
      </w:pPr>
      <w:r>
        <w:rPr>
          <w:rFonts w:ascii="Arial" w:cs="Arial" w:eastAsia="Arial" w:hAnsi="Arial"/>
          <w:sz w:val="18"/>
          <w:szCs w:val="18"/>
          <w:color w:val="auto"/>
        </w:rPr>
        <w:t>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88" w:lineRule="exact"/>
        <w:rPr>
          <w:sz w:val="20"/>
          <w:szCs w:val="20"/>
          <w:color w:val="auto"/>
        </w:rPr>
      </w:pPr>
    </w:p>
    <w:p>
      <w:pPr>
        <w:ind w:right="620" w:firstLine="1018"/>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net of the amount that the Company charged ICL, which is included in the consolidated statements of operations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-25400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ind w:firstLine="1018"/>
        <w:spacing w:after="0" w:line="259" w:lineRule="auto"/>
        <w:rPr>
          <w:sz w:val="20"/>
          <w:szCs w:val="20"/>
          <w:color w:val="auto"/>
        </w:rPr>
      </w:pPr>
      <w:r>
        <w:rPr>
          <w:rFonts w:ascii="Arial" w:cs="Arial" w:eastAsia="Arial" w:hAnsi="Arial"/>
          <w:sz w:val="18"/>
          <w:szCs w:val="18"/>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December 31, 2022, all of the Company's facilities are owned or leased by an entity affiliated with the Company’s Chairman (Note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for the use of these facilities through its services agreements with ICL.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right="160" w:firstLine="1018"/>
        <w:spacing w:after="0" w:line="277" w:lineRule="auto"/>
        <w:rPr>
          <w:sz w:val="20"/>
          <w:szCs w:val="20"/>
          <w:color w:val="auto"/>
        </w:rPr>
      </w:pPr>
      <w:r>
        <w:rPr>
          <w:rFonts w:ascii="Arial" w:cs="Arial" w:eastAsia="Arial" w:hAnsi="Arial"/>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March 2021, an outstanding notes receivable balance totaling $1.7 million, including all accrued interest, was fully repaid by ICL.</w:t>
      </w:r>
    </w:p>
    <w:p>
      <w:pPr>
        <w:spacing w:after="0" w:line="237" w:lineRule="exact"/>
        <w:rPr>
          <w:sz w:val="20"/>
          <w:szCs w:val="20"/>
          <w:color w:val="auto"/>
        </w:rPr>
      </w:pPr>
    </w:p>
    <w:p>
      <w:pPr>
        <w:ind w:right="360" w:firstLine="1018"/>
        <w:spacing w:after="0" w:line="279" w:lineRule="auto"/>
        <w:rPr>
          <w:sz w:val="20"/>
          <w:szCs w:val="20"/>
          <w:color w:val="auto"/>
        </w:rPr>
      </w:pPr>
      <w:r>
        <w:rPr>
          <w:rFonts w:ascii="Arial" w:cs="Arial" w:eastAsia="Arial" w:hAnsi="Arial"/>
          <w:sz w:val="17"/>
          <w:szCs w:val="17"/>
          <w:color w:val="auto"/>
        </w:rPr>
        <w:t>During 2020 and 2021, a related party of the Company, and its affiliates, purchased 2,100,800 common units of Rani LLC and 7,880,120 Series E Preferred Units of Rani LLC. As part of the Organizational Transactions the common units and Series E Preferred Units were exchanged for 5,277,729 shares of the Company's Class A common stock. In connection with the IPO and subsequent thereto, the same related party purchased an additional 6,458,904 shares of the Company’s Class A common stock for total gross proceeds of $71.1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right="40" w:firstLine="1018"/>
        <w:spacing w:after="0" w:line="255" w:lineRule="auto"/>
        <w:rPr>
          <w:sz w:val="20"/>
          <w:szCs w:val="20"/>
          <w:color w:val="auto"/>
        </w:rPr>
      </w:pPr>
      <w:r>
        <w:rPr>
          <w:rFonts w:ascii="Arial" w:cs="Arial" w:eastAsia="Arial" w:hAnsi="Arial"/>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firstLine="1018"/>
        <w:spacing w:after="0" w:line="269" w:lineRule="auto"/>
        <w:rPr>
          <w:sz w:val="20"/>
          <w:szCs w:val="20"/>
          <w:color w:val="auto"/>
        </w:rPr>
      </w:pPr>
      <w:r>
        <w:rPr>
          <w:rFonts w:ascii="Arial" w:cs="Arial" w:eastAsia="Arial" w:hAnsi="Arial"/>
          <w:sz w:val="17"/>
          <w:szCs w:val="17"/>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ind w:right="520"/>
        <w:spacing w:after="0" w:line="277" w:lineRule="auto"/>
        <w:rPr>
          <w:sz w:val="20"/>
          <w:szCs w:val="20"/>
          <w:color w:val="auto"/>
        </w:rPr>
      </w:pPr>
      <w:r>
        <w:rPr>
          <w:rFonts w:ascii="Arial" w:cs="Arial" w:eastAsia="Arial" w:hAnsi="Arial"/>
          <w:sz w:val="18"/>
          <w:szCs w:val="18"/>
          <w:color w:val="auto"/>
        </w:rPr>
        <w:t>Agreement. Additionally, the Company may terminate the Amended and Restated Exclusive License Agreement in its entirety or as to any particular licensed patent upon notification to ICL of such intent to terminate.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right="40" w:firstLine="1018"/>
        <w:spacing w:after="0" w:line="273" w:lineRule="auto"/>
        <w:rPr>
          <w:sz w:val="20"/>
          <w:szCs w:val="20"/>
          <w:color w:val="auto"/>
        </w:rPr>
      </w:pPr>
      <w:r>
        <w:rPr>
          <w:rFonts w:ascii="Arial" w:cs="Arial" w:eastAsia="Arial" w:hAnsi="Arial"/>
          <w:sz w:val="17"/>
          <w:szCs w:val="17"/>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right="60" w:firstLine="1018"/>
        <w:spacing w:after="0" w:line="273" w:lineRule="auto"/>
        <w:rPr>
          <w:sz w:val="20"/>
          <w:szCs w:val="20"/>
          <w:color w:val="auto"/>
        </w:rPr>
      </w:pPr>
      <w:r>
        <w:rPr>
          <w:rFonts w:ascii="Arial" w:cs="Arial" w:eastAsia="Arial" w:hAnsi="Arial"/>
          <w:sz w:val="17"/>
          <w:szCs w:val="17"/>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right="140" w:firstLine="1018"/>
        <w:spacing w:after="0" w:line="308" w:lineRule="auto"/>
        <w:rPr>
          <w:sz w:val="20"/>
          <w:szCs w:val="20"/>
          <w:color w:val="auto"/>
        </w:rPr>
      </w:pPr>
      <w:r>
        <w:rPr>
          <w:rFonts w:ascii="Arial" w:cs="Arial" w:eastAsia="Arial" w:hAnsi="Arial"/>
          <w:sz w:val="17"/>
          <w:szCs w:val="17"/>
          <w:color w:val="auto"/>
        </w:rPr>
        <w:t>During the year ended December 31, 2021, the Company made a $0.2 million payment to a member of the Board of Managers of Rani LLC for legacy board services provided to the Company. There were no such payments made in the year ended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25" w:lineRule="exact"/>
        <w:rPr>
          <w:sz w:val="20"/>
          <w:szCs w:val="20"/>
          <w:color w:val="auto"/>
        </w:rPr>
      </w:pPr>
    </w:p>
    <w:p>
      <w:pPr>
        <w:ind w:right="240" w:firstLine="1018"/>
        <w:spacing w:after="0" w:line="275" w:lineRule="auto"/>
        <w:rPr>
          <w:sz w:val="20"/>
          <w:szCs w:val="20"/>
          <w:color w:val="auto"/>
        </w:rPr>
      </w:pPr>
      <w:r>
        <w:rPr>
          <w:rFonts w:ascii="Arial" w:cs="Arial" w:eastAsia="Arial" w:hAnsi="Arial"/>
          <w:sz w:val="17"/>
          <w:szCs w:val="17"/>
          <w:color w:val="auto"/>
        </w:rPr>
        <w:t>In February 2021, one of the Company's named executive officer's and then member of the Board of Managers of Rani LLC, and a current member of the Board of Managers of Rani LLC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40" w:firstLine="1018"/>
        <w:spacing w:after="0" w:line="259" w:lineRule="auto"/>
        <w:rPr>
          <w:sz w:val="20"/>
          <w:szCs w:val="20"/>
          <w:color w:val="auto"/>
        </w:rPr>
      </w:pPr>
      <w:r>
        <w:rPr>
          <w:rFonts w:ascii="Arial" w:cs="Arial" w:eastAsia="Arial" w:hAnsi="Arial"/>
          <w:sz w:val="18"/>
          <w:szCs w:val="18"/>
          <w:color w:val="auto"/>
        </w:rPr>
        <w:t>In connection with the IPO and Organizational Transactions, the Company effectuated an exchange of all outstanding Profits Interests into Class A Units including certain Profits Interests related to ICL and its affiliates ("ICL Holders"). Upon the IPO and Organizational Transactions, the performance condition was met for all Profits Interest no longer subject to a service based vesting condition resulting in the recognition of compensation cost associated with these awards.</w:t>
      </w:r>
    </w:p>
    <w:p>
      <w:pPr>
        <w:spacing w:after="0" w:line="187" w:lineRule="exact"/>
        <w:rPr>
          <w:sz w:val="20"/>
          <w:szCs w:val="20"/>
          <w:color w:val="auto"/>
        </w:rPr>
      </w:pPr>
    </w:p>
    <w:p>
      <w:pPr>
        <w:ind w:right="80" w:firstLine="1018"/>
        <w:spacing w:after="0" w:line="308" w:lineRule="auto"/>
        <w:rPr>
          <w:sz w:val="20"/>
          <w:szCs w:val="20"/>
          <w:color w:val="auto"/>
        </w:rPr>
      </w:pPr>
      <w:r>
        <w:rPr>
          <w:rFonts w:ascii="Arial" w:cs="Arial" w:eastAsia="Arial" w:hAnsi="Arial"/>
          <w:sz w:val="17"/>
          <w:szCs w:val="17"/>
          <w:color w:val="auto"/>
        </w:rPr>
        <w:t>The following table summarizes the components of equity-based compensation expense recorded in the consolidated statement of operations and comprehensive loss related to awards granted to employees of ICL and its affiliates by the Company (in thousands):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FF0FC"/>
          </w:tcPr>
          <w:p>
            <w:pPr>
              <w:spacing w:after="0"/>
              <w:rPr>
                <w:sz w:val="20"/>
                <w:szCs w:val="20"/>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0"/>
                <w:szCs w:val="20"/>
                <w:color w:val="auto"/>
              </w:rPr>
            </w:pPr>
          </w:p>
        </w:tc>
      </w:tr>
      <w:tr>
        <w:trPr>
          <w:trHeight w:val="278"/>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600" w:firstLine="1018"/>
        <w:spacing w:after="0" w:line="277" w:lineRule="auto"/>
        <w:rPr>
          <w:sz w:val="20"/>
          <w:szCs w:val="20"/>
          <w:color w:val="auto"/>
        </w:rPr>
      </w:pPr>
      <w:r>
        <w:rPr>
          <w:rFonts w:ascii="Arial" w:cs="Arial" w:eastAsia="Arial" w:hAnsi="Arial"/>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ind w:right="160"/>
        <w:spacing w:after="0" w:line="277" w:lineRule="auto"/>
        <w:rPr>
          <w:sz w:val="20"/>
          <w:szCs w:val="20"/>
          <w:color w:val="auto"/>
        </w:rPr>
      </w:pPr>
      <w:r>
        <w:rPr>
          <w:rFonts w:ascii="Arial" w:cs="Arial" w:eastAsia="Arial" w:hAnsi="Arial"/>
          <w:sz w:val="18"/>
          <w:szCs w:val="18"/>
          <w:color w:val="auto"/>
        </w:rPr>
        <w:t>if any, it is deemed to realize from exchanges of Paired Interests (Note 2). During the year ended December 31, 2022, these parties to the TRA exchanged 2,317,184 Paired Interests that resulted in tax benefits subject to the TRA (Note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firstLine="1018"/>
        <w:spacing w:after="0" w:line="254" w:lineRule="auto"/>
        <w:rPr>
          <w:sz w:val="20"/>
          <w:szCs w:val="20"/>
          <w:color w:val="auto"/>
        </w:rPr>
      </w:pPr>
      <w:r>
        <w:rPr>
          <w:rFonts w:ascii="Arial" w:cs="Arial" w:eastAsia="Arial" w:hAnsi="Arial"/>
          <w:sz w:val="18"/>
          <w:szCs w:val="18"/>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Rani LLC Agreement</w:t>
      </w:r>
    </w:p>
    <w:p>
      <w:pPr>
        <w:spacing w:after="0" w:line="225" w:lineRule="exact"/>
        <w:rPr>
          <w:sz w:val="20"/>
          <w:szCs w:val="20"/>
          <w:color w:val="auto"/>
        </w:rPr>
      </w:pPr>
    </w:p>
    <w:p>
      <w:pPr>
        <w:ind w:right="180" w:firstLine="1018"/>
        <w:spacing w:after="0" w:line="273" w:lineRule="auto"/>
        <w:rPr>
          <w:sz w:val="20"/>
          <w:szCs w:val="20"/>
          <w:color w:val="auto"/>
        </w:rPr>
      </w:pPr>
      <w:r>
        <w:rPr>
          <w:rFonts w:ascii="Arial" w:cs="Arial" w:eastAsia="Arial" w:hAnsi="Arial"/>
          <w:sz w:val="17"/>
          <w:szCs w:val="17"/>
          <w:color w:val="auto"/>
        </w:rPr>
        <w:t>The Company operates its business through Rani LLC and, prior to December 15, 2022, its subsidiary.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78" w:lineRule="exact"/>
        <w:rPr>
          <w:sz w:val="20"/>
          <w:szCs w:val="20"/>
          <w:color w:val="auto"/>
        </w:rPr>
      </w:pPr>
    </w:p>
    <w:p>
      <w:pPr>
        <w:ind w:right="340" w:firstLine="1018"/>
        <w:spacing w:after="0" w:line="277" w:lineRule="auto"/>
        <w:rPr>
          <w:sz w:val="20"/>
          <w:szCs w:val="20"/>
          <w:color w:val="auto"/>
        </w:rPr>
      </w:pPr>
      <w:r>
        <w:rPr>
          <w:rFonts w:ascii="Arial" w:cs="Arial" w:eastAsia="Arial" w:hAnsi="Arial"/>
          <w:sz w:val="18"/>
          <w:szCs w:val="18"/>
          <w:color w:val="auto"/>
        </w:rPr>
        <w:t>During the year ended December 31, 2022, certain parties to the Rani LLC Agreement exchanged 2,317,184 Paired Interests for an equal number of shares of the Company's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60" w:firstLine="1018"/>
        <w:spacing w:after="0" w:line="255" w:lineRule="auto"/>
        <w:rPr>
          <w:sz w:val="20"/>
          <w:szCs w:val="20"/>
          <w:color w:val="auto"/>
        </w:rPr>
      </w:pPr>
      <w:r>
        <w:rPr>
          <w:rFonts w:ascii="Arial" w:cs="Arial" w:eastAsia="Arial" w:hAnsi="Arial"/>
          <w:sz w:val="18"/>
          <w:szCs w:val="18"/>
          <w:color w:val="auto"/>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The Company determined it to be reasonably certain that it would exercise its renewal option for a successive twelve-month period and has considered it in the determination of the right-of-use assets and lease liabilities associated with the RMS-ICL Service Agreement as of December 31, 2022.</w:t>
      </w:r>
    </w:p>
    <w:p>
      <w:pPr>
        <w:spacing w:after="0" w:line="192" w:lineRule="exact"/>
        <w:rPr>
          <w:sz w:val="20"/>
          <w:szCs w:val="20"/>
          <w:color w:val="auto"/>
        </w:rPr>
      </w:pPr>
    </w:p>
    <w:p>
      <w:pPr>
        <w:ind w:right="60" w:firstLine="1018"/>
        <w:spacing w:after="0" w:line="270" w:lineRule="auto"/>
        <w:rPr>
          <w:sz w:val="20"/>
          <w:szCs w:val="20"/>
          <w:color w:val="auto"/>
        </w:rPr>
      </w:pPr>
      <w:r>
        <w:rPr>
          <w:rFonts w:ascii="Arial" w:cs="Arial" w:eastAsia="Arial" w:hAnsi="Arial"/>
          <w:sz w:val="17"/>
          <w:szCs w:val="17"/>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The Company accounted for the lease extension as a lease modification that did not result in a separate contract and recognized the right-of-use asset and lease liabilities associated with the Rani LLC-ICL Service Agreement in the consolidated balance sheet as of December 31, 2022. As of December 31, 2022, the second renewal option for the facility in Milpitas, California was not deemed reasonably certain to be exercised.</w:t>
      </w:r>
    </w:p>
    <w:p>
      <w:pPr>
        <w:spacing w:after="0" w:line="181" w:lineRule="exact"/>
        <w:rPr>
          <w:sz w:val="20"/>
          <w:szCs w:val="20"/>
          <w:color w:val="auto"/>
        </w:rPr>
      </w:pPr>
    </w:p>
    <w:p>
      <w:pPr>
        <w:ind w:right="140" w:firstLine="1018"/>
        <w:spacing w:after="0" w:line="255" w:lineRule="auto"/>
        <w:rPr>
          <w:sz w:val="20"/>
          <w:szCs w:val="20"/>
          <w:color w:val="auto"/>
        </w:rPr>
      </w:pPr>
      <w:r>
        <w:rPr>
          <w:rFonts w:ascii="Arial" w:cs="Arial" w:eastAsia="Arial" w:hAnsi="Arial"/>
          <w:sz w:val="18"/>
          <w:szCs w:val="18"/>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Total operating lease expense incurred with ICL was $1.5 million and $0.8 million for the years ended December 31, 2022 and 2021, respectively. Variable lease payments are excluded in the total operating lease expense and immaterial for the periods presented.</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ind w:right="340" w:firstLine="1018"/>
        <w:spacing w:after="0" w:line="277" w:lineRule="auto"/>
        <w:rPr>
          <w:sz w:val="20"/>
          <w:szCs w:val="20"/>
          <w:color w:val="auto"/>
        </w:rPr>
      </w:pPr>
      <w:r>
        <w:rPr>
          <w:rFonts w:ascii="Arial" w:cs="Arial" w:eastAsia="Arial" w:hAnsi="Arial"/>
          <w:sz w:val="18"/>
          <w:szCs w:val="18"/>
          <w:color w:val="auto"/>
        </w:rPr>
        <w:t>Supplemental information on the Company’s consolidated balance sheet and statements of cash flows as of December 31, 2022 related to leases was as follows (in thousands):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7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7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820" w:type="dxa"/>
            <w:vAlign w:val="bottom"/>
            <w:gridSpan w:val="2"/>
          </w:tcPr>
          <w:p>
            <w:pPr>
              <w:ind w:left="2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82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Operating lease liability, less current portion</w:t>
            </w: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820" w:type="dxa"/>
            <w:vAlign w:val="bottom"/>
            <w:gridSpan w:val="2"/>
          </w:tcPr>
          <w:p>
            <w:pPr>
              <w:ind w:left="180"/>
              <w:spacing w:after="0"/>
              <w:rPr>
                <w:sz w:val="20"/>
                <w:szCs w:val="20"/>
                <w:color w:val="auto"/>
              </w:rPr>
            </w:pPr>
            <w:r>
              <w:rPr>
                <w:rFonts w:ascii="Arial" w:cs="Arial" w:eastAsia="Arial" w:hAnsi="Arial"/>
                <w:sz w:val="18"/>
                <w:szCs w:val="18"/>
                <w:color w:val="auto"/>
              </w:rPr>
              <w:t>Total operating 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1"/>
        </w:trPr>
        <w:tc>
          <w:tcPr>
            <w:tcW w:w="7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7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w:t>
            </w: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820" w:type="dxa"/>
            <w:vAlign w:val="bottom"/>
            <w:gridSpan w:val="2"/>
          </w:tcPr>
          <w:p>
            <w:pPr>
              <w:spacing w:after="0"/>
              <w:rPr>
                <w:sz w:val="20"/>
                <w:szCs w:val="20"/>
                <w:color w:val="auto"/>
              </w:rPr>
            </w:pPr>
            <w:r>
              <w:rPr>
                <w:rFonts w:ascii="Arial" w:cs="Arial" w:eastAsia="Arial" w:hAnsi="Arial"/>
                <w:sz w:val="18"/>
                <w:szCs w:val="18"/>
                <w:color w:val="auto"/>
              </w:rPr>
              <w:t>Cash paid for amounts included in lease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8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Operating cash flows used for operating leases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18"/>
        </w:trPr>
        <w:tc>
          <w:tcPr>
            <w:tcW w:w="7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77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years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-1714500</wp:posOffset>
            </wp:positionV>
            <wp:extent cx="60325"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December 31, 2022, minimum annual rental payments under the Company’s operating lease agreements are as follows (in thousands):</w:t>
      </w:r>
    </w:p>
    <w:p>
      <w:pPr>
        <w:spacing w:after="0" w:line="289"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2023</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0"/>
                <w:szCs w:val="20"/>
                <w:color w:val="auto"/>
              </w:rPr>
            </w:pPr>
          </w:p>
        </w:tc>
      </w:tr>
      <w:tr>
        <w:trPr>
          <w:trHeight w:val="249"/>
        </w:trPr>
        <w:tc>
          <w:tcPr>
            <w:tcW w:w="7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6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1"/>
                <w:szCs w:val="2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Total undiscounted future minimum lease payments</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r>
      <w:tr>
        <w:trPr>
          <w:trHeight w:val="243"/>
        </w:trPr>
        <w:tc>
          <w:tcPr>
            <w:tcW w:w="7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Imputed interest</w:t>
            </w:r>
          </w:p>
        </w:tc>
        <w:tc>
          <w:tcPr>
            <w:tcW w:w="6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(38 )</w:t>
            </w:r>
          </w:p>
        </w:tc>
      </w:tr>
      <w:tr>
        <w:trPr>
          <w:trHeight w:val="236"/>
        </w:trPr>
        <w:tc>
          <w:tcPr>
            <w:tcW w:w="78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operating lease liability</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top w:val="single" w:sz="8" w:color="CFF0FC"/>
            </w:tcBorders>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8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Less: Operating lease liability, current portion</w:t>
            </w:r>
          </w:p>
        </w:tc>
        <w:tc>
          <w:tcPr>
            <w:tcW w:w="6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7820" w:type="dxa"/>
            <w:vAlign w:val="bottom"/>
          </w:tcPr>
          <w:p>
            <w:pPr>
              <w:ind w:left="180"/>
              <w:spacing w:after="0"/>
              <w:rPr>
                <w:sz w:val="20"/>
                <w:szCs w:val="20"/>
                <w:color w:val="auto"/>
              </w:rPr>
            </w:pPr>
            <w:r>
              <w:rPr>
                <w:rFonts w:ascii="Arial" w:cs="Arial" w:eastAsia="Arial" w:hAnsi="Arial"/>
                <w:sz w:val="18"/>
                <w:szCs w:val="18"/>
                <w:color w:val="auto"/>
              </w:rPr>
              <w:t>Operating lease liability, less current portion</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-530860</wp:posOffset>
            </wp:positionV>
            <wp:extent cx="6032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right="220" w:firstLine="1018"/>
        <w:spacing w:after="0" w:line="342" w:lineRule="auto"/>
        <w:rPr>
          <w:sz w:val="20"/>
          <w:szCs w:val="20"/>
          <w:color w:val="auto"/>
        </w:rPr>
      </w:pPr>
      <w:r>
        <w:rPr>
          <w:rFonts w:ascii="Arial" w:cs="Arial" w:eastAsia="Arial" w:hAnsi="Arial"/>
          <w:sz w:val="16"/>
          <w:szCs w:val="16"/>
          <w:color w:val="auto"/>
        </w:rPr>
        <w:t>Operating leases in the table above exclude future minimum lease payments for Occupancy Services in San Antonio, Texas under the Rani LLC-ICL Service Agreement. Future minimum lease payments for Occupancy Services in San Antonio for fiscal year 2023 total $0.1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229" w:lineRule="exact"/>
        <w:rPr>
          <w:sz w:val="20"/>
          <w:szCs w:val="20"/>
          <w:color w:val="auto"/>
        </w:rPr>
      </w:pPr>
    </w:p>
    <w:p>
      <w:pPr>
        <w:jc w:val="both"/>
        <w:ind w:right="100" w:firstLine="1018"/>
        <w:spacing w:after="0" w:line="259" w:lineRule="auto"/>
        <w:rPr>
          <w:sz w:val="20"/>
          <w:szCs w:val="20"/>
          <w:color w:val="auto"/>
        </w:rPr>
      </w:pPr>
      <w:r>
        <w:rPr>
          <w:rFonts w:ascii="Arial" w:cs="Arial" w:eastAsia="Arial" w:hAnsi="Arial"/>
          <w:sz w:val="18"/>
          <w:szCs w:val="18"/>
          <w:color w:val="auto"/>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December 31, 2022, there were 76,336 warrants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Members’ Deficit</w:t>
      </w:r>
    </w:p>
    <w:p>
      <w:pPr>
        <w:spacing w:after="0" w:line="229" w:lineRule="exact"/>
        <w:rPr>
          <w:sz w:val="20"/>
          <w:szCs w:val="20"/>
          <w:color w:val="auto"/>
        </w:rPr>
      </w:pPr>
    </w:p>
    <w:p>
      <w:pPr>
        <w:ind w:right="260" w:firstLine="1018"/>
        <w:spacing w:after="0" w:line="257" w:lineRule="auto"/>
        <w:rPr>
          <w:sz w:val="20"/>
          <w:szCs w:val="20"/>
          <w:color w:val="auto"/>
        </w:rPr>
      </w:pPr>
      <w:r>
        <w:rPr>
          <w:rFonts w:ascii="Arial" w:cs="Arial" w:eastAsia="Arial" w:hAnsi="Arial"/>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88" w:lineRule="exact"/>
        <w:rPr>
          <w:sz w:val="20"/>
          <w:szCs w:val="20"/>
          <w:color w:val="auto"/>
        </w:rPr>
      </w:pPr>
    </w:p>
    <w:p>
      <w:pPr>
        <w:ind w:right="420" w:firstLine="1018"/>
        <w:spacing w:after="0" w:line="277" w:lineRule="auto"/>
        <w:rPr>
          <w:sz w:val="20"/>
          <w:szCs w:val="20"/>
          <w:color w:val="auto"/>
        </w:rPr>
      </w:pPr>
      <w:r>
        <w:rPr>
          <w:rFonts w:ascii="Arial" w:cs="Arial" w:eastAsia="Arial" w:hAnsi="Arial"/>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0" w:name="page131"/>
    <w:bookmarkEnd w:id="130"/>
    <w:p>
      <w:pPr>
        <w:ind w:right="100"/>
        <w:spacing w:after="0" w:line="277" w:lineRule="auto"/>
        <w:rPr>
          <w:sz w:val="20"/>
          <w:szCs w:val="20"/>
          <w:color w:val="auto"/>
        </w:rPr>
      </w:pPr>
      <w:r>
        <w:rPr>
          <w:rFonts w:ascii="Arial" w:cs="Arial" w:eastAsia="Arial" w:hAnsi="Arial"/>
          <w:sz w:val="18"/>
          <w:szCs w:val="18"/>
          <w:color w:val="auto"/>
        </w:rPr>
        <w:t>of a court; or otherwise. The members were also not obligated to make capital contributions to Rani LLC and Rani LLC would have dissolved only upon a written consent of a majority of the members.</w:t>
      </w:r>
    </w:p>
    <w:p>
      <w:pPr>
        <w:spacing w:after="0" w:line="170" w:lineRule="exact"/>
        <w:rPr>
          <w:sz w:val="20"/>
          <w:szCs w:val="20"/>
          <w:color w:val="auto"/>
        </w:rPr>
      </w:pPr>
    </w:p>
    <w:p>
      <w:pPr>
        <w:ind w:right="240" w:firstLine="1018"/>
        <w:spacing w:after="0" w:line="277" w:lineRule="auto"/>
        <w:rPr>
          <w:sz w:val="20"/>
          <w:szCs w:val="20"/>
          <w:color w:val="auto"/>
        </w:rPr>
      </w:pPr>
      <w:r>
        <w:rPr>
          <w:rFonts w:ascii="Arial" w:cs="Arial" w:eastAsia="Arial" w:hAnsi="Arial"/>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70" w:lineRule="exact"/>
        <w:rPr>
          <w:sz w:val="20"/>
          <w:szCs w:val="20"/>
          <w:color w:val="auto"/>
        </w:rPr>
      </w:pPr>
    </w:p>
    <w:p>
      <w:pPr>
        <w:ind w:right="480" w:firstLine="1018"/>
        <w:spacing w:after="0" w:line="259" w:lineRule="auto"/>
        <w:rPr>
          <w:sz w:val="20"/>
          <w:szCs w:val="20"/>
          <w:color w:val="auto"/>
        </w:rPr>
      </w:pPr>
      <w:r>
        <w:rPr>
          <w:rFonts w:ascii="Arial" w:cs="Arial" w:eastAsia="Arial" w:hAnsi="Arial"/>
          <w:sz w:val="18"/>
          <w:szCs w:val="18"/>
          <w:color w:val="auto"/>
        </w:rPr>
        <w:t>For the year ended December 31, 2022, certain of the Continuing LLC Owners executed an exchange of 5,173,947 Paired Interests and 158,051 non-corresponding Class A Units of Rani LLC in return for an equal number of shares of the Company’s Class A common stock. The corresponding shares of the Company’s Class B common stock included in the exchange of Paired Interests were subsequently cancelled and retired pursuant to the terms of the Rani LLC Agreement.</w:t>
      </w:r>
    </w:p>
    <w:p>
      <w:pPr>
        <w:spacing w:after="0" w:line="187" w:lineRule="exact"/>
        <w:rPr>
          <w:sz w:val="20"/>
          <w:szCs w:val="20"/>
          <w:color w:val="auto"/>
        </w:rPr>
      </w:pPr>
    </w:p>
    <w:p>
      <w:pPr>
        <w:ind w:right="80" w:firstLine="1018"/>
        <w:spacing w:after="0" w:line="254" w:lineRule="auto"/>
        <w:rPr>
          <w:sz w:val="20"/>
          <w:szCs w:val="20"/>
          <w:color w:val="auto"/>
        </w:rPr>
      </w:pPr>
      <w:r>
        <w:rPr>
          <w:rFonts w:ascii="Arial" w:cs="Arial" w:eastAsia="Arial" w:hAnsi="Arial"/>
          <w:sz w:val="18"/>
          <w:szCs w:val="18"/>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December 31, 2022, the Company has no sales under the Sales Agreement. In connection with the Sales Agreement, the Company recognized deferred offering costs totaling $0.3 million as a component of prepaid expenses and other current assets in the consolidated balance sheet as of December 31, 2022 which will be offset against proceeds upon a sale under the Sales Agreement within the consolidated statement of changes in stockholders equity.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right="220" w:firstLine="1018"/>
        <w:spacing w:after="0" w:line="301" w:lineRule="auto"/>
        <w:rPr>
          <w:sz w:val="20"/>
          <w:szCs w:val="20"/>
          <w:color w:val="auto"/>
        </w:rPr>
      </w:pPr>
      <w:r>
        <w:rPr>
          <w:rFonts w:ascii="Arial" w:cs="Arial" w:eastAsia="Arial" w:hAnsi="Arial"/>
          <w:sz w:val="16"/>
          <w:szCs w:val="16"/>
          <w:color w:val="auto"/>
        </w:rPr>
        <w:t>In connection with the Organizational Transactions, the Company’s certificate of incorporation was amended and restated to, among other things, provide for the (i) authorization of 800,000,000 shares of Class A common stock with a par value of $0.0001 per share; (ii) authorization of 40,000,000 shares of Class B common stock with a par value of $0.0001 per share; (iii) authorization of 20,000,000 shares Class C common stock with a par value of $0.0001 per share; and (iv) authorization of 20,000,000 shares of preferred stock with a par value of $0.0001 per share.</w:t>
      </w:r>
    </w:p>
    <w:p>
      <w:pPr>
        <w:spacing w:after="0" w:line="157" w:lineRule="exact"/>
        <w:rPr>
          <w:sz w:val="20"/>
          <w:szCs w:val="20"/>
          <w:color w:val="auto"/>
        </w:rPr>
      </w:pPr>
    </w:p>
    <w:p>
      <w:pPr>
        <w:ind w:right="60" w:firstLine="1018"/>
        <w:spacing w:after="0" w:line="275" w:lineRule="auto"/>
        <w:rPr>
          <w:sz w:val="20"/>
          <w:szCs w:val="20"/>
          <w:color w:val="auto"/>
        </w:rPr>
      </w:pPr>
      <w:r>
        <w:rPr>
          <w:rFonts w:ascii="Arial" w:cs="Arial" w:eastAsia="Arial" w:hAnsi="Arial"/>
          <w:sz w:val="17"/>
          <w:szCs w:val="17"/>
          <w:color w:val="auto"/>
        </w:rPr>
        <w:t>Holders of Class A common stock are entitled to one vote per share; holders of Class B common stock are entitled to ten votes per share; and holders of Class C common stock have no voting rights. Except as otherwise expressly provided in the Amended and Restated Certificate of Incorporation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76" w:lineRule="exact"/>
        <w:rPr>
          <w:sz w:val="20"/>
          <w:szCs w:val="20"/>
          <w:color w:val="auto"/>
        </w:rPr>
      </w:pPr>
    </w:p>
    <w:p>
      <w:pPr>
        <w:ind w:right="20" w:firstLine="1018"/>
        <w:spacing w:after="0" w:line="291" w:lineRule="auto"/>
        <w:rPr>
          <w:sz w:val="20"/>
          <w:szCs w:val="20"/>
          <w:color w:val="auto"/>
        </w:rPr>
      </w:pPr>
      <w:r>
        <w:rPr>
          <w:rFonts w:ascii="Arial" w:cs="Arial" w:eastAsia="Arial" w:hAnsi="Arial"/>
          <w:sz w:val="16"/>
          <w:szCs w:val="16"/>
          <w:color w:val="auto"/>
        </w:rPr>
        <w:t>The Company is required to, at all times, maintain (i) a one-to-one ratio between the number of shares of Class A common stock outstanding and the number of Class A Units owned by Company and (ii) a one-to-one ratio between the number of shares of Class B common stock owned by the Continuing LLC Owners and the number of Class A Units owned by the Continuing LLC Owners. The Company may issue shares of Class B common stock only to the extent necessary to maintain these ratios. Shares of Class B common stock are not transferable except (a) to the Company for no consideration (in which case the shares will be cancelled automatically) or (b) together with an equal number of Class A Units to a transferee in compliance with the LLC Agreement and the provisions set forth in the Company’s amended and restated certificate of incorporation. All Class B common stock that is exchanged as part of a Paired Interest for Class A common stock shall be automatically retired and cancelled and shall no longer be outstanding.</w:t>
      </w:r>
    </w:p>
    <w:p>
      <w:pPr>
        <w:spacing w:after="0" w:line="166"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In August 2021, the Company received 29,290,391 Class B Units of Rani LLC as consideration for the issuance of Class B common stock on a one-for-one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Rani LLC</w:t>
      </w:r>
    </w:p>
    <w:p>
      <w:pPr>
        <w:spacing w:after="0" w:line="225" w:lineRule="exact"/>
        <w:rPr>
          <w:sz w:val="20"/>
          <w:szCs w:val="20"/>
          <w:color w:val="auto"/>
        </w:rPr>
      </w:pPr>
    </w:p>
    <w:p>
      <w:pPr>
        <w:ind w:right="100" w:firstLine="1018"/>
        <w:spacing w:after="0" w:line="259" w:lineRule="auto"/>
        <w:rPr>
          <w:sz w:val="20"/>
          <w:szCs w:val="20"/>
          <w:color w:val="auto"/>
        </w:rPr>
      </w:pPr>
      <w:r>
        <w:rPr>
          <w:rFonts w:ascii="Arial" w:cs="Arial" w:eastAsia="Arial" w:hAnsi="Arial"/>
          <w:sz w:val="18"/>
          <w:szCs w:val="18"/>
          <w:color w:val="auto"/>
        </w:rPr>
        <w:t>In August 2021, Rani LLC’s members and Board of Managers adopted the amended and restated Rani LLC Agreement to, among other things, appoint the Company as Rani LLC’s sole managing member and provide that, except where the approval of one or more members is specifically required by the express terms of the Rani LLC Agreement, all management powers over the business and affairs of Rani LLC are vested exclusively in the Company as the sole managing member.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20" w:firstLine="1018"/>
        <w:spacing w:after="0" w:line="277" w:lineRule="auto"/>
        <w:rPr>
          <w:sz w:val="20"/>
          <w:szCs w:val="20"/>
          <w:color w:val="auto"/>
        </w:rPr>
      </w:pPr>
      <w:r>
        <w:rPr>
          <w:rFonts w:ascii="Arial" w:cs="Arial" w:eastAsia="Arial" w:hAnsi="Arial"/>
          <w:sz w:val="18"/>
          <w:szCs w:val="18"/>
          <w:color w:val="auto"/>
        </w:rPr>
        <w:t>In July 2021, the Company completed an IPO of 7,666,667 shares of common stock, inclusive of the 1,000,000 shares of Class A common stock purchased by underwriters pursuant to the underwriters’ option to purchase additional shares at the offering</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ind w:right="100"/>
        <w:spacing w:after="0" w:line="286" w:lineRule="auto"/>
        <w:rPr>
          <w:sz w:val="20"/>
          <w:szCs w:val="20"/>
          <w:color w:val="auto"/>
        </w:rPr>
      </w:pPr>
      <w:r>
        <w:rPr>
          <w:rFonts w:ascii="Arial" w:cs="Arial" w:eastAsia="Arial" w:hAnsi="Arial"/>
          <w:sz w:val="17"/>
          <w:szCs w:val="17"/>
          <w:color w:val="auto"/>
        </w:rPr>
        <w:t>price, less underwriting discounts and commissions. The Company received net proceeds from the IPO of approximately $73.6 million after deducting underwriting discounts and commissions, which was used to purchase 7,666,667 newly-issued Class A Units of Rani LLC. In March 2022, certain holders of the Company's Class A common stock considered to be related parties were made parties to the Registration Rights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firstLine="1018"/>
        <w:spacing w:after="0" w:line="254" w:lineRule="auto"/>
        <w:rPr>
          <w:sz w:val="20"/>
          <w:szCs w:val="20"/>
          <w:color w:val="auto"/>
        </w:rPr>
      </w:pPr>
      <w:r>
        <w:rPr>
          <w:rFonts w:ascii="Arial" w:cs="Arial" w:eastAsia="Arial" w:hAnsi="Arial"/>
          <w:sz w:val="18"/>
          <w:szCs w:val="18"/>
          <w:color w:val="auto"/>
        </w:rPr>
        <w:t>In connection with the IPO, the Company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the Company to register under the Securities Act shares of Class A common stock issuable to them upon, at the Company’s election, redemption or exchange of their Paired Interests. The Registration Rights Agreement also provides for piggyback registration rights for the Continuing LLC Owners.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91" w:lineRule="exact"/>
        <w:rPr>
          <w:sz w:val="20"/>
          <w:szCs w:val="20"/>
          <w:color w:val="auto"/>
        </w:rPr>
      </w:pPr>
    </w:p>
    <w:p>
      <w:pPr>
        <w:ind w:left="1020" w:right="8780" w:hanging="1012"/>
        <w:spacing w:after="0" w:line="566" w:lineRule="auto"/>
        <w:tabs>
          <w:tab w:leader="none" w:pos="262"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Equity-Based Compensation </w:t>
      </w:r>
      <w:r>
        <w:rPr>
          <w:rFonts w:ascii="Arial" w:cs="Arial" w:eastAsia="Arial" w:hAnsi="Arial"/>
          <w:sz w:val="16"/>
          <w:szCs w:val="16"/>
          <w:i w:val="1"/>
          <w:iCs w:val="1"/>
          <w:color w:val="auto"/>
        </w:rPr>
        <w:t>Stock Options</w:t>
      </w:r>
    </w:p>
    <w:p>
      <w:pPr>
        <w:ind w:left="1020"/>
        <w:spacing w:after="0"/>
        <w:rPr>
          <w:rFonts w:ascii="Arial" w:cs="Arial" w:eastAsia="Arial" w:hAnsi="Arial"/>
          <w:sz w:val="16"/>
          <w:szCs w:val="16"/>
          <w:b w:val="1"/>
          <w:bCs w:val="1"/>
          <w:color w:val="auto"/>
        </w:rPr>
      </w:pPr>
      <w:r>
        <w:rPr>
          <w:rFonts w:ascii="Arial" w:cs="Arial" w:eastAsia="Arial" w:hAnsi="Arial"/>
          <w:sz w:val="18"/>
          <w:szCs w:val="18"/>
          <w:color w:val="auto"/>
        </w:rPr>
        <w:t>A summary of stock option activity during the periods indicated is as follows: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5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 Stock</w:t>
            </w:r>
          </w:p>
        </w:tc>
        <w:tc>
          <w:tcPr>
            <w:tcW w:w="132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6"/>
              </w:rPr>
              <w:t>Weighted Average</w:t>
            </w: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Aggregate 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6"/>
                <w:szCs w:val="16"/>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3"/>
              </w:rPr>
              <w:t>Exercise Price</w:t>
            </w:r>
          </w:p>
        </w:tc>
        <w:tc>
          <w:tcPr>
            <w:tcW w:w="1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Value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2,300,819</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1,599,785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(112,018 )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December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3,788,586</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13.40</w:t>
            </w:r>
          </w:p>
        </w:tc>
        <w:tc>
          <w:tcPr>
            <w:tcW w:w="14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8.81</w:t>
            </w:r>
          </w:p>
        </w:tc>
        <w:tc>
          <w:tcPr>
            <w:tcW w:w="800" w:type="dxa"/>
            <w:vAlign w:val="bottom"/>
            <w:tcBorders>
              <w:top w:val="single" w:sz="8" w:color="CFF0FC"/>
            </w:tcBorders>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2022</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1,088,706</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8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Nonvested at December 31, 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2,699,880</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8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-548005</wp:posOffset>
            </wp:positionV>
            <wp:extent cx="685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-205105</wp:posOffset>
            </wp:positionV>
            <wp:extent cx="68580"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182" w:lineRule="exact"/>
        <w:rPr>
          <w:sz w:val="20"/>
          <w:szCs w:val="20"/>
          <w:color w:val="auto"/>
        </w:rPr>
      </w:pPr>
    </w:p>
    <w:p>
      <w:pPr>
        <w:ind w:right="320" w:firstLine="1018"/>
        <w:spacing w:after="0" w:line="277" w:lineRule="auto"/>
        <w:rPr>
          <w:sz w:val="20"/>
          <w:szCs w:val="20"/>
          <w:color w:val="auto"/>
        </w:rPr>
      </w:pPr>
      <w:r>
        <w:rPr>
          <w:rFonts w:ascii="Arial" w:cs="Arial" w:eastAsia="Arial" w:hAnsi="Arial"/>
          <w:sz w:val="18"/>
          <w:szCs w:val="18"/>
          <w:color w:val="auto"/>
        </w:rPr>
        <w:t>The Company uses the Black-Scholes option pricing model to estimate the fair value of each stock option award on the date of grant. The assumptions and estimates are as follows:</w:t>
      </w:r>
    </w:p>
    <w:p>
      <w:pPr>
        <w:spacing w:after="0" w:line="170" w:lineRule="exact"/>
        <w:rPr>
          <w:sz w:val="20"/>
          <w:szCs w:val="20"/>
          <w:color w:val="auto"/>
        </w:rPr>
      </w:pPr>
    </w:p>
    <w:p>
      <w:pPr>
        <w:ind w:left="1020" w:right="120" w:hanging="503"/>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of time that stock option awards are expected to remain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the expected term as the midpoint between actual or expected vesting date and the contractual term.</w:t>
      </w:r>
    </w:p>
    <w:p>
      <w:pPr>
        <w:spacing w:after="0" w:line="170"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The expected volatility was derived from the historical stock volatilities of peer public companies within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that are considered to be comparable businesses over a period equivalent to the expected term of the stock option awards, since there has been limited trading history of the Company's stock.</w:t>
      </w:r>
    </w:p>
    <w:p>
      <w:pPr>
        <w:spacing w:after="0" w:line="183"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yield curve in effect at the date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stock option awards’ expected term.</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The expected dividend yield is zero as the Company has no plans to make dividend payments.</w:t>
      </w:r>
    </w:p>
    <w:p>
      <w:pPr>
        <w:spacing w:after="0" w:line="2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6"/>
          <w:szCs w:val="16"/>
          <w:color w:val="auto"/>
        </w:rPr>
        <w:t>The following table sets forth the weighted average assumptions used in estimating the fair value of stock option awards on the grant date:</w:t>
      </w:r>
    </w:p>
    <w:p>
      <w:pPr>
        <w:spacing w:after="0" w:line="280"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8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3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3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6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FF0FC"/>
          </w:tcPr>
          <w:p>
            <w:pPr>
              <w:spacing w:after="0"/>
              <w:rPr>
                <w:sz w:val="21"/>
                <w:szCs w:val="2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2" w:name="page133"/>
    <w:bookmarkEnd w:id="132"/>
    <w:p>
      <w:pPr>
        <w:ind w:right="360" w:firstLine="1018"/>
        <w:spacing w:after="0" w:line="277" w:lineRule="auto"/>
        <w:rPr>
          <w:sz w:val="20"/>
          <w:szCs w:val="20"/>
          <w:color w:val="auto"/>
        </w:rPr>
      </w:pPr>
      <w:r>
        <w:rPr>
          <w:rFonts w:ascii="Arial" w:cs="Arial" w:eastAsia="Arial" w:hAnsi="Arial"/>
          <w:sz w:val="18"/>
          <w:szCs w:val="18"/>
          <w:color w:val="auto"/>
        </w:rPr>
        <w:t>As of December 31, 2022, there was $22.9 million of unrecognized equity-based compensation expense related to stock options which is expected to be recognized over a weighted-average period of approximately 2.5 years.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RSU activity during the periods indicated is as follows: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Number of Restricted Stock</w:t>
            </w:r>
          </w:p>
        </w:tc>
        <w:tc>
          <w:tcPr>
            <w:tcW w:w="1900" w:type="dxa"/>
            <w:vAlign w:val="bottom"/>
            <w:gridSpan w:val="2"/>
          </w:tcPr>
          <w:p>
            <w:pPr>
              <w:spacing w:after="0"/>
              <w:rPr>
                <w:sz w:val="20"/>
                <w:szCs w:val="20"/>
                <w:color w:val="auto"/>
              </w:rPr>
            </w:pPr>
            <w:r>
              <w:rPr>
                <w:rFonts w:ascii="Arial" w:cs="Arial" w:eastAsia="Arial" w:hAnsi="Arial"/>
                <w:sz w:val="14"/>
                <w:szCs w:val="14"/>
                <w:b w:val="1"/>
                <w:bCs w:val="1"/>
                <w:color w:val="auto"/>
                <w:w w:val="94"/>
              </w:rPr>
              <w:t>Weighted Average Grant-Date</w:t>
            </w:r>
          </w:p>
        </w:tc>
        <w:tc>
          <w:tcPr>
            <w:tcW w:w="100" w:type="dxa"/>
            <w:vAlign w:val="bottom"/>
          </w:tcPr>
          <w:p>
            <w:pPr>
              <w:spacing w:after="0"/>
              <w:rPr>
                <w:sz w:val="14"/>
                <w:szCs w:val="14"/>
                <w:color w:val="auto"/>
              </w:rPr>
            </w:pPr>
          </w:p>
        </w:tc>
      </w:tr>
      <w:tr>
        <w:trPr>
          <w:trHeight w:val="185"/>
        </w:trPr>
        <w:tc>
          <w:tcPr>
            <w:tcW w:w="5320" w:type="dxa"/>
            <w:vAlign w:val="bottom"/>
          </w:tcPr>
          <w:p>
            <w:pPr>
              <w:spacing w:after="0"/>
              <w:rPr>
                <w:sz w:val="16"/>
                <w:szCs w:val="16"/>
                <w:color w:val="auto"/>
              </w:rPr>
            </w:pPr>
          </w:p>
        </w:tc>
        <w:tc>
          <w:tcPr>
            <w:tcW w:w="22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6"/>
                <w:szCs w:val="16"/>
                <w:color w:val="auto"/>
              </w:rPr>
            </w:pPr>
          </w:p>
        </w:tc>
        <w:tc>
          <w:tcPr>
            <w:tcW w:w="1700" w:type="dxa"/>
            <w:vAlign w:val="bottom"/>
          </w:tcPr>
          <w:p>
            <w:pPr>
              <w:jc w:val="right"/>
              <w:ind w:right="233"/>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6"/>
                <w:szCs w:val="16"/>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596,500</w:t>
            </w: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20"/>
                <w:szCs w:val="20"/>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443,400</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(267,650 )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21"/>
                <w:szCs w:val="21"/>
                <w:color w:val="auto"/>
              </w:rPr>
            </w:pPr>
          </w:p>
        </w:tc>
      </w:tr>
      <w:tr>
        <w:trPr>
          <w:trHeight w:val="243"/>
        </w:trPr>
        <w:tc>
          <w:tcPr>
            <w:tcW w:w="5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220" w:type="dxa"/>
            <w:vAlign w:val="bottom"/>
            <w:gridSpan w:val="2"/>
          </w:tcPr>
          <w:p>
            <w:pPr>
              <w:jc w:val="right"/>
              <w:ind w:right="260"/>
              <w:spacing w:after="0"/>
              <w:rPr>
                <w:sz w:val="20"/>
                <w:szCs w:val="20"/>
                <w:color w:val="auto"/>
              </w:rPr>
            </w:pPr>
            <w:r>
              <w:rPr>
                <w:rFonts w:ascii="Arial" w:cs="Arial" w:eastAsia="Arial" w:hAnsi="Arial"/>
                <w:sz w:val="18"/>
                <w:szCs w:val="18"/>
                <w:color w:val="auto"/>
              </w:rPr>
              <w:t>(106,750 )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r>
      <w:tr>
        <w:trPr>
          <w:trHeight w:val="276"/>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665,500</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As of December 31, 2022, there was $7.8 million of unrecognized equity-based compensation expense related to RSUs which is expected to be recognized over a weighted-average period of approximately 2.3 years. The total fair value of RSUs vested was $2.6 million for the year ended December 31, 2022.</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summary of RSA activity during the periods indicated is as follows:</w:t>
      </w: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Number of Restricted Stock</w:t>
            </w: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w w:val="95"/>
              </w:rPr>
              <w:t>Weighted Average Grant-Date</w:t>
            </w:r>
          </w:p>
        </w:tc>
        <w:tc>
          <w:tcPr>
            <w:tcW w:w="100" w:type="dxa"/>
            <w:vAlign w:val="bottom"/>
          </w:tcPr>
          <w:p>
            <w:pPr>
              <w:spacing w:after="0"/>
              <w:rPr>
                <w:sz w:val="14"/>
                <w:szCs w:val="14"/>
                <w:color w:val="auto"/>
              </w:rPr>
            </w:pPr>
          </w:p>
        </w:tc>
      </w:tr>
      <w:tr>
        <w:trPr>
          <w:trHeight w:val="185"/>
        </w:trPr>
        <w:tc>
          <w:tcPr>
            <w:tcW w:w="5300" w:type="dxa"/>
            <w:vAlign w:val="bottom"/>
          </w:tcPr>
          <w:p>
            <w:pPr>
              <w:spacing w:after="0"/>
              <w:rPr>
                <w:sz w:val="16"/>
                <w:szCs w:val="16"/>
                <w:color w:val="auto"/>
              </w:rPr>
            </w:pPr>
          </w:p>
        </w:tc>
        <w:tc>
          <w:tcPr>
            <w:tcW w:w="22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6"/>
                <w:szCs w:val="16"/>
                <w:color w:val="auto"/>
              </w:rPr>
            </w:pPr>
          </w:p>
        </w:tc>
        <w:tc>
          <w:tcPr>
            <w:tcW w:w="172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6"/>
                <w:szCs w:val="16"/>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113,173</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FF0FC"/>
          </w:tcPr>
          <w:p>
            <w:pPr>
              <w:spacing w:after="0"/>
              <w:rPr>
                <w:sz w:val="20"/>
                <w:szCs w:val="20"/>
                <w:color w:val="auto"/>
              </w:rPr>
            </w:pPr>
          </w:p>
        </w:tc>
      </w:tr>
      <w:tr>
        <w:trPr>
          <w:trHeight w:val="237"/>
        </w:trPr>
        <w:tc>
          <w:tcPr>
            <w:tcW w:w="5300" w:type="dxa"/>
            <w:vAlign w:val="bottom"/>
          </w:tcPr>
          <w:p>
            <w:pPr>
              <w:ind w:left="180"/>
              <w:spacing w:after="0"/>
              <w:rPr>
                <w:sz w:val="20"/>
                <w:szCs w:val="20"/>
                <w:color w:val="auto"/>
              </w:rPr>
            </w:pPr>
            <w:r>
              <w:rPr>
                <w:rFonts w:ascii="Arial" w:cs="Arial" w:eastAsia="Arial" w:hAnsi="Arial"/>
                <w:sz w:val="18"/>
                <w:szCs w:val="18"/>
                <w:color w:val="auto"/>
              </w:rPr>
              <w:t>Vested</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(41,236 )</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0"/>
                <w:szCs w:val="20"/>
                <w:color w:val="auto"/>
              </w:rPr>
            </w:pPr>
          </w:p>
        </w:tc>
      </w:tr>
      <w:tr>
        <w:trPr>
          <w:trHeight w:val="249"/>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2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(4,548 )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FF0FC"/>
          </w:tcPr>
          <w:p>
            <w:pPr>
              <w:spacing w:after="0"/>
              <w:rPr>
                <w:sz w:val="21"/>
                <w:szCs w:val="21"/>
                <w:color w:val="auto"/>
              </w:rPr>
            </w:pPr>
          </w:p>
        </w:tc>
      </w:tr>
      <w:tr>
        <w:trPr>
          <w:trHeight w:val="237"/>
        </w:trPr>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December 31, 2022</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67,389</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CFF0FC"/>
            </w:tcBorders>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As of December 31, 2022, there was $0.1 million of unrecognized equity-based compensation expense related to RSAs which is expected to be recognized over a weighted-average period of approximately 1.0 years. The total fair value of RSAs vested was $0.5 million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right="60" w:firstLine="1018"/>
        <w:spacing w:after="0" w:line="255" w:lineRule="auto"/>
        <w:rPr>
          <w:sz w:val="20"/>
          <w:szCs w:val="20"/>
          <w:color w:val="auto"/>
        </w:rPr>
      </w:pPr>
      <w:r>
        <w:rPr>
          <w:rFonts w:ascii="Arial" w:cs="Arial" w:eastAsia="Arial" w:hAnsi="Arial"/>
          <w:sz w:val="18"/>
          <w:szCs w:val="18"/>
          <w:color w:val="auto"/>
        </w:rPr>
        <w:t>As of December 31, 2022, 38,435 shares of Class A common stock have been issued under the Rani Therapeutics Holdings, Inc. 2021 Employee Stock Purchase Plan (the “ESPP”). During the year ended December 31, 2022, the Company recognized $0.2 million of stock-based compensation expense related to the ESPP. There was no stock-based compensation expense related to the ESPP recognized during the year ended December 31, 2021. As of December 31, 2022, contributions withheld from employees were de minimis and recorded as a component of accrued expenses in the consolidated balance sheet. As of December 31, 2022, total unrecognized compensation costs related to the ESPP totaled $0.2 million and will be amortized over a weighted average vesting term of 0.4 years.</w:t>
      </w:r>
    </w:p>
    <w:p>
      <w:pPr>
        <w:spacing w:after="0" w:line="192" w:lineRule="exact"/>
        <w:rPr>
          <w:sz w:val="20"/>
          <w:szCs w:val="20"/>
          <w:color w:val="auto"/>
        </w:rPr>
      </w:pPr>
    </w:p>
    <w:p>
      <w:pPr>
        <w:ind w:right="400" w:firstLine="1018"/>
        <w:spacing w:after="0" w:line="277" w:lineRule="auto"/>
        <w:rPr>
          <w:sz w:val="20"/>
          <w:szCs w:val="20"/>
          <w:color w:val="auto"/>
        </w:rPr>
      </w:pPr>
      <w:r>
        <w:rPr>
          <w:rFonts w:ascii="Arial" w:cs="Arial" w:eastAsia="Arial" w:hAnsi="Arial"/>
          <w:sz w:val="18"/>
          <w:szCs w:val="18"/>
          <w:color w:val="auto"/>
        </w:rPr>
        <w:t>As of December 31, 2022, the Company reserved 561,565 shares of Class A Common Stock for issuance under the ESPP and 4,511,017 shares of Class A common stock for future issuance under the 2021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225" w:lineRule="exact"/>
        <w:rPr>
          <w:sz w:val="20"/>
          <w:szCs w:val="20"/>
          <w:color w:val="auto"/>
        </w:rPr>
      </w:pPr>
    </w:p>
    <w:p>
      <w:pPr>
        <w:jc w:val="both"/>
        <w:ind w:right="380" w:firstLine="1018"/>
        <w:spacing w:after="0" w:line="263" w:lineRule="auto"/>
        <w:rPr>
          <w:sz w:val="20"/>
          <w:szCs w:val="20"/>
          <w:color w:val="auto"/>
        </w:rPr>
      </w:pPr>
      <w:r>
        <w:rPr>
          <w:rFonts w:ascii="Arial" w:cs="Arial" w:eastAsia="Arial" w:hAnsi="Arial"/>
          <w:sz w:val="18"/>
          <w:szCs w:val="18"/>
          <w:color w:val="auto"/>
        </w:rPr>
        <w:t>The following table summarizes the components of equity-based compensation expense resulting from the grant of stock options, RSUs, RSAs, the ESPP, and a secondary sales transaction entered into in February 2021, recorded in the Company’s consolidated statement of operations and comprehensive loss (in thousands):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w w:val="95"/>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w:t>
            </w:r>
          </w:p>
        </w:tc>
        <w:tc>
          <w:tcPr>
            <w:tcW w:w="100" w:type="dxa"/>
            <w:vAlign w:val="bottom"/>
            <w:shd w:val="clear" w:color="auto" w:fill="CFF0FC"/>
          </w:tcPr>
          <w:p>
            <w:pPr>
              <w:spacing w:after="0"/>
              <w:rPr>
                <w:sz w:val="20"/>
                <w:szCs w:val="20"/>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0"/>
                <w:szCs w:val="20"/>
                <w:color w:val="auto"/>
              </w:rPr>
            </w:pPr>
          </w:p>
        </w:tc>
      </w:tr>
      <w:tr>
        <w:trPr>
          <w:trHeight w:val="277"/>
        </w:trPr>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equity-based compensation</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15,782</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96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The Company is party to a TRA with certain of the Continuing LLC Owners (Note 2). As of December 31, 2022,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December 31, 2022.</w:t>
      </w:r>
    </w:p>
    <w:p>
      <w:pPr>
        <w:spacing w:after="0" w:line="188" w:lineRule="exact"/>
        <w:rPr>
          <w:sz w:val="20"/>
          <w:szCs w:val="20"/>
          <w:color w:val="auto"/>
        </w:rPr>
      </w:pPr>
    </w:p>
    <w:p>
      <w:pPr>
        <w:ind w:firstLine="1018"/>
        <w:spacing w:after="0" w:line="311"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ind w:right="60" w:firstLine="1018"/>
        <w:spacing w:after="0" w:line="291" w:lineRule="auto"/>
        <w:rPr>
          <w:sz w:val="20"/>
          <w:szCs w:val="20"/>
          <w:color w:val="auto"/>
        </w:rPr>
      </w:pPr>
      <w:r>
        <w:rPr>
          <w:rFonts w:ascii="Arial" w:cs="Arial" w:eastAsia="Arial" w:hAnsi="Arial"/>
          <w:sz w:val="16"/>
          <w:szCs w:val="16"/>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(“Tranche 2”) is uncommitted and is subject to certain conditions and approval by the Lender. The purpose of the Loans is for general corporate purposes. In exchange for access to this facility, the Company agreed to issue warrants exercisable into 76,336 shares of the Company's Class A common stock, as may be adjusted for certain anti-dilution adjustments, dividends, stock splits, and reverse stock splits, at an exercise price per share equal to $11.79 (Note 9).</w:t>
      </w:r>
    </w:p>
    <w:p>
      <w:pPr>
        <w:spacing w:after="0" w:line="166" w:lineRule="exact"/>
        <w:rPr>
          <w:sz w:val="20"/>
          <w:szCs w:val="20"/>
          <w:color w:val="auto"/>
        </w:rPr>
      </w:pPr>
    </w:p>
    <w:p>
      <w:pPr>
        <w:ind w:right="20" w:firstLine="1018"/>
        <w:spacing w:after="0" w:line="293" w:lineRule="auto"/>
        <w:rPr>
          <w:sz w:val="20"/>
          <w:szCs w:val="20"/>
          <w:color w:val="auto"/>
        </w:rPr>
      </w:pPr>
      <w:r>
        <w:rPr>
          <w:rFonts w:ascii="Arial" w:cs="Arial" w:eastAsia="Arial" w:hAnsi="Arial"/>
          <w:sz w:val="16"/>
          <w:szCs w:val="16"/>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December 31, 2022, the effective interest rate on the Loans was 11.01% and there were no events of default during the year ended December 31, 2022.</w:t>
      </w:r>
    </w:p>
    <w:p>
      <w:pPr>
        <w:spacing w:after="0" w:line="164" w:lineRule="exact"/>
        <w:rPr>
          <w:sz w:val="20"/>
          <w:szCs w:val="20"/>
          <w:color w:val="auto"/>
        </w:rPr>
      </w:pPr>
    </w:p>
    <w:p>
      <w:pPr>
        <w:ind w:right="120" w:firstLine="1018"/>
        <w:spacing w:after="0" w:line="308" w:lineRule="auto"/>
        <w:rPr>
          <w:sz w:val="20"/>
          <w:szCs w:val="20"/>
          <w:color w:val="auto"/>
        </w:rPr>
      </w:pPr>
      <w:r>
        <w:rPr>
          <w:rFonts w:ascii="Arial" w:cs="Arial" w:eastAsia="Arial" w:hAnsi="Arial"/>
          <w:sz w:val="17"/>
          <w:szCs w:val="17"/>
          <w:color w:val="auto"/>
        </w:rPr>
        <w:t>The Loans contain a contingent interest feature in the event of default that is not clearly and closely related to the underlying note and meets the definition of a derivative. The Company concluded that the fair value of this derivative was insignificant at December 31, 2022.</w:t>
      </w:r>
    </w:p>
    <w:p>
      <w:pPr>
        <w:spacing w:after="0" w:line="146" w:lineRule="exact"/>
        <w:rPr>
          <w:sz w:val="20"/>
          <w:szCs w:val="20"/>
          <w:color w:val="auto"/>
        </w:rPr>
      </w:pPr>
    </w:p>
    <w:p>
      <w:pPr>
        <w:ind w:right="200" w:firstLine="1018"/>
        <w:spacing w:after="0" w:line="285" w:lineRule="auto"/>
        <w:rPr>
          <w:sz w:val="20"/>
          <w:szCs w:val="20"/>
          <w:color w:val="auto"/>
        </w:rPr>
      </w:pPr>
      <w:r>
        <w:rPr>
          <w:rFonts w:ascii="Arial" w:cs="Arial" w:eastAsia="Arial" w:hAnsi="Arial"/>
          <w:sz w:val="16"/>
          <w:szCs w:val="16"/>
          <w:color w:val="auto"/>
        </w:rPr>
        <w:t>Pursuant to the Loan Agreement, beginning on the first anniversary of the closing, the Company is subject to a financial covenant that requires the Company to have at least two drug products utilizing its oral delivery technology in clinical development at all times. The financial covenant does not apply if the Company has a market capitalization above $650.0 million. The Loan Agreement also contains various covenants and restrictive provisions that, among other things, limit the Company’s ability to (i) incur additional debt, guarantees or liens; (ii) pay any dividends; (iii) enter into certain change of control transactions; (iv) sell, transfer, lease, license, or otherwise dispose of certain assets; (v) make certain investments or loans; and</w:t>
      </w:r>
    </w:p>
    <w:p>
      <w:pPr>
        <w:spacing w:after="0" w:line="2" w:lineRule="exact"/>
        <w:rPr>
          <w:sz w:val="20"/>
          <w:szCs w:val="20"/>
          <w:color w:val="auto"/>
        </w:rPr>
      </w:pPr>
    </w:p>
    <w:p>
      <w:pPr>
        <w:ind w:right="420" w:firstLine="8"/>
        <w:spacing w:after="0" w:line="260" w:lineRule="auto"/>
        <w:tabs>
          <w:tab w:leader="none" w:pos="3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engage in certain transactions with related persons. As of December 31, 2022, the Company was in compliance with all applicable debt covenants under the Loan Agreement.</w:t>
      </w:r>
    </w:p>
    <w:p>
      <w:pPr>
        <w:spacing w:after="0" w:line="77"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ind w:left="1020"/>
        <w:spacing w:after="0"/>
        <w:rPr>
          <w:sz w:val="20"/>
          <w:szCs w:val="20"/>
          <w:color w:val="auto"/>
        </w:rPr>
      </w:pPr>
      <w:r>
        <w:rPr>
          <w:rFonts w:ascii="Arial" w:cs="Arial" w:eastAsia="Arial" w:hAnsi="Arial"/>
          <w:sz w:val="18"/>
          <w:szCs w:val="18"/>
          <w:color w:val="auto"/>
        </w:rPr>
        <w:t>As of December 31, 2022, future principal payments for the Company’s debt are as follows (in thousands):</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21"/>
                <w:szCs w:val="21"/>
                <w:color w:val="auto"/>
              </w:rPr>
            </w:pP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r>
      <w:tr>
        <w:trPr>
          <w:trHeight w:val="249"/>
        </w:trPr>
        <w:tc>
          <w:tcPr>
            <w:tcW w:w="7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6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1"/>
                <w:szCs w:val="21"/>
                <w:color w:val="auto"/>
              </w:rPr>
            </w:pPr>
          </w:p>
        </w:tc>
      </w:tr>
      <w:tr>
        <w:trPr>
          <w:trHeight w:val="230"/>
        </w:trPr>
        <w:tc>
          <w:tcPr>
            <w:tcW w:w="7820" w:type="dxa"/>
            <w:vAlign w:val="bottom"/>
          </w:tcPr>
          <w:p>
            <w:pPr>
              <w:ind w:left="180"/>
              <w:spacing w:after="0"/>
              <w:rPr>
                <w:sz w:val="20"/>
                <w:szCs w:val="20"/>
                <w:color w:val="auto"/>
              </w:rPr>
            </w:pPr>
            <w:r>
              <w:rPr>
                <w:rFonts w:ascii="Arial" w:cs="Arial" w:eastAsia="Arial" w:hAnsi="Arial"/>
                <w:sz w:val="18"/>
                <w:szCs w:val="18"/>
                <w:color w:val="auto"/>
              </w:rPr>
              <w:t>Total principal payments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r>
      <w:tr>
        <w:trPr>
          <w:trHeight w:val="243"/>
        </w:trPr>
        <w:tc>
          <w:tcPr>
            <w:tcW w:w="7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amount representing debt discount</w:t>
            </w:r>
          </w:p>
        </w:tc>
        <w:tc>
          <w:tcPr>
            <w:tcW w:w="6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(851 )</w:t>
            </w:r>
          </w:p>
        </w:tc>
      </w:tr>
      <w:tr>
        <w:trPr>
          <w:trHeight w:val="236"/>
        </w:trPr>
        <w:tc>
          <w:tcPr>
            <w:tcW w:w="78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long-term debt</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29,149</w:t>
            </w:r>
          </w:p>
        </w:tc>
        <w:tc>
          <w:tcPr>
            <w:tcW w:w="100" w:type="dxa"/>
            <w:vAlign w:val="bottom"/>
            <w:tcBorders>
              <w:top w:val="single" w:sz="8" w:color="CFF0FC"/>
            </w:tcBorders>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360" w:type="dxa"/>
            <w:vAlign w:val="bottom"/>
          </w:tcPr>
          <w:p>
            <w:pPr>
              <w:jc w:val="right"/>
              <w:ind w:right="117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r>
      <w:tr>
        <w:trPr>
          <w:trHeight w:val="243"/>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40" w:type="dxa"/>
            <w:vAlign w:val="bottom"/>
          </w:tcPr>
          <w:p>
            <w:pPr>
              <w:ind w:left="360"/>
              <w:spacing w:after="0"/>
              <w:rPr>
                <w:sz w:val="20"/>
                <w:szCs w:val="20"/>
                <w:color w:val="auto"/>
              </w:rPr>
            </w:pPr>
            <w:r>
              <w:rPr>
                <w:rFonts w:ascii="Arial" w:cs="Arial" w:eastAsia="Arial" w:hAnsi="Arial"/>
                <w:sz w:val="18"/>
                <w:szCs w:val="18"/>
                <w:color w:val="auto"/>
              </w:rPr>
              <w:t>Total current tax expense</w:t>
            </w:r>
          </w:p>
        </w:tc>
        <w:tc>
          <w:tcPr>
            <w:tcW w:w="1360" w:type="dxa"/>
            <w:vAlign w:val="bottom"/>
          </w:tcPr>
          <w:p>
            <w:pPr>
              <w:jc w:val="right"/>
              <w:ind w:right="117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36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Federal</w:t>
            </w:r>
          </w:p>
        </w:tc>
        <w:tc>
          <w:tcPr>
            <w:tcW w:w="1360" w:type="dxa"/>
            <w:vAlign w:val="bottom"/>
          </w:tcPr>
          <w:p>
            <w:pPr>
              <w:jc w:val="right"/>
              <w:ind w:right="117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3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40" w:type="dxa"/>
            <w:vAlign w:val="bottom"/>
          </w:tcPr>
          <w:p>
            <w:pPr>
              <w:ind w:left="360"/>
              <w:spacing w:after="0"/>
              <w:rPr>
                <w:sz w:val="20"/>
                <w:szCs w:val="20"/>
                <w:color w:val="auto"/>
              </w:rPr>
            </w:pPr>
            <w:r>
              <w:rPr>
                <w:rFonts w:ascii="Arial" w:cs="Arial" w:eastAsia="Arial" w:hAnsi="Arial"/>
                <w:sz w:val="18"/>
                <w:szCs w:val="18"/>
                <w:color w:val="auto"/>
              </w:rPr>
              <w:t>Total deferred tax expense</w:t>
            </w:r>
          </w:p>
        </w:tc>
        <w:tc>
          <w:tcPr>
            <w:tcW w:w="1360" w:type="dxa"/>
            <w:vAlign w:val="bottom"/>
          </w:tcPr>
          <w:p>
            <w:pPr>
              <w:jc w:val="right"/>
              <w:ind w:right="117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tcBorders>
              <w:top w:val="single" w:sz="8" w:color="auto"/>
              <w:bottom w:val="single" w:sz="8" w:color="auto"/>
            </w:tcBorders>
            <w:shd w:val="clear" w:color="auto" w:fill="CFF0FC"/>
          </w:tcPr>
          <w:p>
            <w:pPr>
              <w:jc w:val="right"/>
              <w:ind w:right="117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-985520</wp:posOffset>
            </wp:positionV>
            <wp:extent cx="5969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-985520</wp:posOffset>
            </wp:positionV>
            <wp:extent cx="60325"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wp:posOffset>
            </wp:positionV>
            <wp:extent cx="5969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-350520</wp:posOffset>
            </wp:positionV>
            <wp:extent cx="6032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600" w:firstLine="1018"/>
        <w:spacing w:after="0" w:line="311" w:lineRule="auto"/>
        <w:rPr>
          <w:sz w:val="20"/>
          <w:szCs w:val="20"/>
          <w:color w:val="auto"/>
        </w:rPr>
      </w:pPr>
      <w:r>
        <w:rPr>
          <w:rFonts w:ascii="Arial" w:cs="Arial" w:eastAsia="Arial" w:hAnsi="Arial"/>
          <w:sz w:val="16"/>
          <w:szCs w:val="16"/>
          <w:color w:val="auto"/>
        </w:rPr>
        <w:t>The effective tax rate for the years ended December 31, 2022 and 2021 is different from the federal statutory rate primarily due to the valuation allowance against deferred tax assets as a result of insufficient sources of income and pass-through loss not subject to income tax. A reconciliation between the Company’s effective tax rate and the applicable U.S. federal statutory income tax rate is summarized as follows:</w:t>
      </w:r>
    </w:p>
    <w:p>
      <w:pPr>
        <w:spacing w:after="0" w:line="181"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2"/>
          </w:tcPr>
          <w:p>
            <w:pPr>
              <w:jc w:val="right"/>
              <w:ind w:right="790"/>
              <w:spacing w:after="0"/>
              <w:rPr>
                <w:sz w:val="20"/>
                <w:szCs w:val="20"/>
                <w:color w:val="auto"/>
              </w:rPr>
            </w:pPr>
            <w:r>
              <w:rPr>
                <w:rFonts w:ascii="Arial" w:cs="Arial" w:eastAsia="Arial" w:hAnsi="Arial"/>
                <w:sz w:val="14"/>
                <w:szCs w:val="14"/>
                <w:b w:val="1"/>
                <w:bCs w:val="1"/>
                <w:color w:val="auto"/>
              </w:rPr>
              <w:t>2021</w:t>
            </w:r>
          </w:p>
        </w:tc>
      </w:tr>
      <w:tr>
        <w:trPr>
          <w:trHeight w:val="23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2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21.0</w:t>
            </w:r>
          </w:p>
        </w:tc>
        <w:tc>
          <w:tcPr>
            <w:tcW w:w="32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21.0  %</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State tax, net of federal tax benefit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0"/>
                <w:szCs w:val="20"/>
                <w:color w:val="auto"/>
              </w:rPr>
            </w:pPr>
          </w:p>
        </w:tc>
        <w:tc>
          <w:tcPr>
            <w:tcW w:w="2200" w:type="dxa"/>
            <w:vAlign w:val="bottom"/>
            <w:gridSpan w:val="2"/>
          </w:tcPr>
          <w:p>
            <w:pPr>
              <w:jc w:val="right"/>
              <w:ind w:right="330"/>
              <w:spacing w:after="0"/>
              <w:rPr>
                <w:sz w:val="20"/>
                <w:szCs w:val="20"/>
                <w:color w:val="auto"/>
              </w:rPr>
            </w:pPr>
            <w:r>
              <w:rPr>
                <w:rFonts w:ascii="Arial" w:cs="Arial" w:eastAsia="Arial" w:hAnsi="Arial"/>
                <w:sz w:val="18"/>
                <w:szCs w:val="18"/>
                <w:color w:val="auto"/>
              </w:rPr>
              <w:t>1.0</w:t>
            </w:r>
          </w:p>
        </w:tc>
      </w:tr>
      <w:tr>
        <w:trPr>
          <w:trHeight w:val="24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(10.4 )</w:t>
            </w:r>
          </w:p>
        </w:tc>
        <w:tc>
          <w:tcPr>
            <w:tcW w:w="3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(5.3 )</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Pass-through loss not subject to tax</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0" w:type="dxa"/>
            <w:vAlign w:val="bottom"/>
            <w:gridSpan w:val="2"/>
          </w:tcPr>
          <w:p>
            <w:pPr>
              <w:jc w:val="right"/>
              <w:ind w:right="250"/>
              <w:spacing w:after="0"/>
              <w:rPr>
                <w:sz w:val="20"/>
                <w:szCs w:val="20"/>
                <w:color w:val="auto"/>
              </w:rPr>
            </w:pPr>
            <w:r>
              <w:rPr>
                <w:rFonts w:ascii="Arial" w:cs="Arial" w:eastAsia="Arial" w:hAnsi="Arial"/>
                <w:sz w:val="18"/>
                <w:szCs w:val="18"/>
                <w:color w:val="auto"/>
              </w:rPr>
              <w:t>(12.6 )</w:t>
            </w:r>
          </w:p>
        </w:tc>
      </w:tr>
      <w:tr>
        <w:trPr>
          <w:trHeight w:val="24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(0.1 )</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Research and development credits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2200" w:type="dxa"/>
            <w:vAlign w:val="bottom"/>
            <w:gridSpan w:val="2"/>
          </w:tcPr>
          <w:p>
            <w:pPr>
              <w:jc w:val="right"/>
              <w:ind w:right="330"/>
              <w:spacing w:after="0"/>
              <w:rPr>
                <w:sz w:val="20"/>
                <w:szCs w:val="20"/>
                <w:color w:val="auto"/>
              </w:rPr>
            </w:pPr>
            <w:r>
              <w:rPr>
                <w:rFonts w:ascii="Arial" w:cs="Arial" w:eastAsia="Arial" w:hAnsi="Arial"/>
                <w:sz w:val="18"/>
                <w:szCs w:val="18"/>
                <w:color w:val="auto"/>
              </w:rPr>
              <w:t>2.9</w:t>
            </w:r>
          </w:p>
        </w:tc>
      </w:tr>
      <w:tr>
        <w:trPr>
          <w:trHeight w:val="249"/>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Uncertain tax position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320" w:type="dxa"/>
            <w:vAlign w:val="bottom"/>
            <w:shd w:val="clear" w:color="auto" w:fill="CFF0FC"/>
          </w:tcPr>
          <w:p>
            <w:pPr>
              <w:spacing w:after="0"/>
              <w:rPr>
                <w:sz w:val="21"/>
                <w:szCs w:val="21"/>
                <w:color w:val="auto"/>
              </w:rPr>
            </w:pPr>
          </w:p>
        </w:tc>
        <w:tc>
          <w:tcPr>
            <w:tcW w:w="220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(0.4 )</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Liquidating distribution</w:t>
            </w: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2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(13.8 )</w:t>
            </w:r>
          </w:p>
        </w:tc>
        <w:tc>
          <w:tcPr>
            <w:tcW w:w="3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rPr>
              <w:t>(6.6 )</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(0.1 ) %</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color w:val="auto"/>
              </w:rPr>
              <w:t>(0.1 ) %</w:t>
            </w:r>
          </w:p>
        </w:tc>
      </w:tr>
      <w:tr>
        <w:trPr>
          <w:trHeight w:val="20"/>
        </w:trPr>
        <w:tc>
          <w:tcPr>
            <w:tcW w:w="5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9461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p>
      <w:pPr>
        <w:ind w:right="120" w:firstLine="1018"/>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tax assets</w:t>
            </w:r>
          </w:p>
        </w:tc>
        <w:tc>
          <w:tcPr>
            <w:tcW w:w="1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44,923</w:t>
            </w:r>
          </w:p>
        </w:tc>
        <w:tc>
          <w:tcPr>
            <w:tcW w:w="280" w:type="dxa"/>
            <w:vAlign w:val="bottom"/>
          </w:tcPr>
          <w:p>
            <w:pPr>
              <w:spacing w:after="0"/>
              <w:rPr>
                <w:sz w:val="20"/>
                <w:szCs w:val="20"/>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20"/>
                <w:szCs w:val="20"/>
                <w:color w:val="auto"/>
              </w:rPr>
            </w:pP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operating loss carryforward</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w:t>
            </w: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FF0FC"/>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1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1,085</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p>
        </w:tc>
      </w:tr>
      <w:tr>
        <w:trPr>
          <w:trHeight w:val="243"/>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Accruals</w:t>
            </w:r>
          </w:p>
        </w:tc>
        <w:tc>
          <w:tcPr>
            <w:tcW w:w="1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1"/>
                <w:szCs w:val="21"/>
                <w:color w:val="auto"/>
              </w:rPr>
            </w:pPr>
          </w:p>
        </w:tc>
      </w:tr>
      <w:tr>
        <w:trPr>
          <w:trHeight w:val="237"/>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52,815</w:t>
            </w:r>
          </w:p>
        </w:tc>
        <w:tc>
          <w:tcPr>
            <w:tcW w:w="280" w:type="dxa"/>
            <w:vAlign w:val="bottom"/>
            <w:tcBorders>
              <w:top w:val="single" w:sz="8" w:color="CFF0F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28,691</w:t>
            </w:r>
          </w:p>
        </w:tc>
        <w:tc>
          <w:tcPr>
            <w:tcW w:w="100" w:type="dxa"/>
            <w:vAlign w:val="bottom"/>
            <w:tcBorders>
              <w:top w:val="single" w:sz="8" w:color="CFF0FC"/>
            </w:tcBorders>
          </w:tcPr>
          <w:p>
            <w:pPr>
              <w:spacing w:after="0"/>
              <w:rPr>
                <w:sz w:val="20"/>
                <w:szCs w:val="20"/>
                <w:color w:val="auto"/>
              </w:rPr>
            </w:pPr>
          </w:p>
        </w:tc>
      </w:tr>
      <w:tr>
        <w:trPr>
          <w:trHeight w:val="243"/>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Valuation allowance</w:t>
            </w:r>
          </w:p>
        </w:tc>
        <w:tc>
          <w:tcPr>
            <w:tcW w:w="1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(52,815 )</w:t>
            </w:r>
          </w:p>
        </w:tc>
        <w:tc>
          <w:tcPr>
            <w:tcW w:w="7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(28,671 )</w:t>
            </w:r>
          </w:p>
        </w:tc>
      </w:tr>
      <w:tr>
        <w:trPr>
          <w:trHeight w:val="236"/>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liability</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w:t>
            </w: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-976630</wp:posOffset>
            </wp:positionV>
            <wp:extent cx="60325"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-976630</wp:posOffset>
            </wp:positionV>
            <wp:extent cx="60325"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-659130</wp:posOffset>
            </wp:positionV>
            <wp:extent cx="60325" cy="162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-659130</wp:posOffset>
            </wp:positionV>
            <wp:extent cx="60325" cy="162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40" w:firstLine="1018"/>
        <w:spacing w:after="0" w:line="293" w:lineRule="auto"/>
        <w:rPr>
          <w:sz w:val="20"/>
          <w:szCs w:val="20"/>
          <w:color w:val="auto"/>
        </w:rPr>
      </w:pPr>
      <w:r>
        <w:rPr>
          <w:rFonts w:ascii="Arial" w:cs="Arial" w:eastAsia="Arial" w:hAnsi="Arial"/>
          <w:sz w:val="16"/>
          <w:szCs w:val="16"/>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$24.1 million and $28.3 million for the years ended December 31, 2022 and 2021, respectively, primarily due to the increase in the Company’s net operating losses (“NOL”) during the period.</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December 31, 2022, the Company had the following tax attribute carryforwards that will expire on various dates as follows: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Amount (in thousands)</w:t>
            </w:r>
          </w:p>
        </w:tc>
        <w:tc>
          <w:tcPr>
            <w:tcW w:w="28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Expiration Years</w:t>
            </w: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losses, federal (post December 31, 2017)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21,020</w:t>
            </w:r>
          </w:p>
        </w:tc>
        <w:tc>
          <w:tcPr>
            <w:tcW w:w="280" w:type="dxa"/>
            <w:vAlign w:val="bottom"/>
            <w:shd w:val="clear" w:color="auto" w:fill="CFF0FC"/>
          </w:tcPr>
          <w:p>
            <w:pPr>
              <w:spacing w:after="0"/>
              <w:rPr>
                <w:sz w:val="20"/>
                <w:szCs w:val="20"/>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Indefinite</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Net operating loss, state (definite)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34,264</w:t>
            </w:r>
          </w:p>
        </w:tc>
        <w:tc>
          <w:tcPr>
            <w:tcW w:w="2240" w:type="dxa"/>
            <w:vAlign w:val="bottom"/>
            <w:gridSpan w:val="2"/>
          </w:tcPr>
          <w:p>
            <w:pPr>
              <w:jc w:val="right"/>
              <w:ind w:right="716"/>
              <w:spacing w:after="0"/>
              <w:rPr>
                <w:sz w:val="20"/>
                <w:szCs w:val="20"/>
                <w:color w:val="auto"/>
              </w:rPr>
            </w:pPr>
            <w:r>
              <w:rPr>
                <w:rFonts w:ascii="Arial" w:cs="Arial" w:eastAsia="Arial" w:hAnsi="Arial"/>
                <w:sz w:val="18"/>
                <w:szCs w:val="18"/>
                <w:color w:val="auto"/>
              </w:rPr>
              <w:t>2042</w:t>
            </w: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 federal</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240" w:type="dxa"/>
            <w:vAlign w:val="bottom"/>
            <w:gridSpan w:val="2"/>
            <w:shd w:val="clear" w:color="auto" w:fill="CFF0FC"/>
          </w:tcPr>
          <w:p>
            <w:pPr>
              <w:jc w:val="right"/>
              <w:ind w:right="456"/>
              <w:spacing w:after="0"/>
              <w:rPr>
                <w:sz w:val="20"/>
                <w:szCs w:val="20"/>
                <w:color w:val="auto"/>
              </w:rPr>
            </w:pPr>
            <w:r>
              <w:rPr>
                <w:rFonts w:ascii="Arial" w:cs="Arial" w:eastAsia="Arial" w:hAnsi="Arial"/>
                <w:sz w:val="18"/>
                <w:szCs w:val="18"/>
                <w:color w:val="auto"/>
              </w:rPr>
              <w:t>2041 - 2042</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Research and development tax credits, state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214" w:lineRule="exact"/>
        <w:rPr>
          <w:sz w:val="20"/>
          <w:szCs w:val="20"/>
          <w:color w:val="auto"/>
        </w:rPr>
      </w:pPr>
    </w:p>
    <w:p>
      <w:pPr>
        <w:ind w:right="80" w:firstLine="1018"/>
        <w:spacing w:after="0" w:line="257" w:lineRule="auto"/>
        <w:rPr>
          <w:sz w:val="20"/>
          <w:szCs w:val="20"/>
          <w:color w:val="auto"/>
        </w:rPr>
      </w:pPr>
      <w:r>
        <w:rPr>
          <w:rFonts w:ascii="Arial" w:cs="Arial" w:eastAsia="Arial" w:hAnsi="Arial"/>
          <w:sz w:val="18"/>
          <w:szCs w:val="18"/>
          <w:color w:val="auto"/>
        </w:rPr>
        <w:t>Pursuant to Internal Revenue Code (“IRC”) Sections 382 and 383, annual use of the Company’s research and development credit carryforwards may be limited in the event cumulative change in ownership of more than 50% occurs within a three-year period. As of December 31, 2022,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The Company is subject to United States federal and California income taxes and is not currently under examination by any federal or state taxing authorities. The federal and California returns for tax years 2017 through 2022 remain open to examination.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prior year positions</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Decrease related to prior year positions</w:t>
            </w:r>
          </w:p>
        </w:tc>
        <w:tc>
          <w:tcPr>
            <w:tcW w:w="1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(373 )</w:t>
            </w:r>
          </w:p>
        </w:tc>
        <w:tc>
          <w:tcPr>
            <w:tcW w:w="7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-8255</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both"/>
        <w:ind w:right="260" w:firstLine="1018"/>
        <w:spacing w:after="0" w:line="263" w:lineRule="auto"/>
        <w:rPr>
          <w:sz w:val="20"/>
          <w:szCs w:val="20"/>
          <w:color w:val="auto"/>
        </w:rPr>
      </w:pPr>
      <w:r>
        <w:rPr>
          <w:rFonts w:ascii="Arial" w:cs="Arial" w:eastAsia="Arial" w:hAnsi="Arial"/>
          <w:sz w:val="18"/>
          <w:szCs w:val="18"/>
          <w:color w:val="auto"/>
        </w:rPr>
        <w:t>Included in the balance of unrecognized tax benefits at December 31, 2022 is $0.2 million that if recognized would impact the Company’s income tax benefit and effective tax rate. The Company does not expect any significant increases or decreases in its unrecognized tax benefits within the next twelve months.</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right="240" w:firstLine="1018"/>
        <w:spacing w:after="0" w:line="263" w:lineRule="auto"/>
        <w:rPr>
          <w:sz w:val="20"/>
          <w:szCs w:val="20"/>
          <w:color w:val="auto"/>
        </w:rPr>
      </w:pPr>
      <w:r>
        <w:rPr>
          <w:rFonts w:ascii="Arial" w:cs="Arial" w:eastAsia="Arial" w:hAnsi="Arial"/>
          <w:sz w:val="18"/>
          <w:szCs w:val="18"/>
          <w:color w:val="auto"/>
        </w:rPr>
        <w:t>The Company is party to a TRA with the Continuing LLC Owners (Note 2). As of December 31, 2022, the Company has not recorded a liability under the TRA related to the income tax benefits originating from the exchanges of Paired Interests or non-corresponding Class A Units of Rani LLC as it is not probable that the Company will realize such tax benefits (Note 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right="460" w:firstLine="101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Class A common share attributable to Rani Holdings (in thousands, except per share data):</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40" w:type="dxa"/>
            <w:vAlign w:val="bottom"/>
          </w:tcPr>
          <w:p>
            <w:pPr>
              <w:spacing w:after="0"/>
              <w:rPr>
                <w:sz w:val="20"/>
                <w:szCs w:val="20"/>
                <w:color w:val="auto"/>
              </w:rPr>
            </w:pPr>
            <w:r>
              <w:rPr>
                <w:rFonts w:ascii="Arial" w:cs="Arial" w:eastAsia="Arial" w:hAnsi="Arial"/>
                <w:sz w:val="18"/>
                <w:szCs w:val="18"/>
                <w:color w:val="auto"/>
                <w:w w:val="93"/>
              </w:rPr>
              <w:t>Net loss per Class A common share attributable to Rani Therapeutics Holdings, Inc.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 xml:space="preserve">(30,588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(8,331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Weighted average Class A common share outstanding—basic and diluted</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w w:val="93"/>
              </w:rPr>
              <w:t>Net loss per Class A common share attributable to Rani Therapeutics Holdings, Inc.</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(1.28 ) $</w:t>
            </w:r>
          </w:p>
        </w:tc>
        <w:tc>
          <w:tcPr>
            <w:tcW w:w="1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r>
        <w:trPr>
          <w:trHeight w:val="223"/>
        </w:trPr>
        <w:tc>
          <w:tcPr>
            <w:tcW w:w="624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w:t>
            </w:r>
          </w:p>
        </w:tc>
        <w:tc>
          <w:tcPr>
            <w:tcW w:w="380" w:type="dxa"/>
            <w:vAlign w:val="bottom"/>
            <w:vMerge w:val="continue"/>
            <w:shd w:val="clear" w:color="auto" w:fill="CFF0FC"/>
          </w:tcPr>
          <w:p>
            <w:pPr>
              <w:spacing w:after="0"/>
              <w:rPr>
                <w:sz w:val="19"/>
                <w:szCs w:val="19"/>
                <w:color w:val="auto"/>
              </w:rPr>
            </w:pPr>
          </w:p>
        </w:tc>
        <w:tc>
          <w:tcPr>
            <w:tcW w:w="1640" w:type="dxa"/>
            <w:vAlign w:val="bottom"/>
            <w:gridSpan w:val="3"/>
            <w:vMerge w:val="continue"/>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20" w:firstLine="1018"/>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Class A common share attributable to Rani Holdings:</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Paired Interests</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24,116,444</w:t>
            </w:r>
          </w:p>
        </w:tc>
        <w:tc>
          <w:tcPr>
            <w:tcW w:w="10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29,290,391</w:t>
            </w:r>
          </w:p>
        </w:tc>
        <w:tc>
          <w:tcPr>
            <w:tcW w:w="100" w:type="dxa"/>
            <w:vAlign w:val="bottom"/>
            <w:shd w:val="clear" w:color="auto" w:fill="CFF0FC"/>
          </w:tcPr>
          <w:p>
            <w:pPr>
              <w:spacing w:after="0"/>
              <w:rPr>
                <w:sz w:val="20"/>
                <w:szCs w:val="20"/>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Stock options</w:t>
            </w:r>
          </w:p>
        </w:tc>
        <w:tc>
          <w:tcPr>
            <w:tcW w:w="1440" w:type="dxa"/>
            <w:vAlign w:val="bottom"/>
          </w:tcPr>
          <w:p>
            <w:pPr>
              <w:jc w:val="right"/>
              <w:spacing w:after="0"/>
              <w:rPr>
                <w:sz w:val="20"/>
                <w:szCs w:val="20"/>
                <w:color w:val="auto"/>
              </w:rPr>
            </w:pPr>
            <w:r>
              <w:rPr>
                <w:rFonts w:ascii="Arial" w:cs="Arial" w:eastAsia="Arial" w:hAnsi="Arial"/>
                <w:sz w:val="18"/>
                <w:szCs w:val="18"/>
                <w:color w:val="auto"/>
              </w:rPr>
              <w:t>3,788,586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2,300,819</w:t>
            </w:r>
          </w:p>
        </w:tc>
        <w:tc>
          <w:tcPr>
            <w:tcW w:w="100" w:type="dxa"/>
            <w:vAlign w:val="bottom"/>
          </w:tcPr>
          <w:p>
            <w:pPr>
              <w:spacing w:after="0"/>
              <w:rPr>
                <w:sz w:val="20"/>
                <w:szCs w:val="20"/>
                <w:color w:val="auto"/>
              </w:rPr>
            </w:pPr>
          </w:p>
        </w:tc>
      </w:tr>
      <w:tr>
        <w:trPr>
          <w:trHeight w:val="24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Non-corresponding Class A Units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1,387,471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1,545,522</w:t>
            </w:r>
          </w:p>
        </w:tc>
        <w:tc>
          <w:tcPr>
            <w:tcW w:w="100" w:type="dxa"/>
            <w:vAlign w:val="bottom"/>
            <w:shd w:val="clear" w:color="auto" w:fill="CFF0FC"/>
          </w:tcPr>
          <w:p>
            <w:pPr>
              <w:spacing w:after="0"/>
              <w:rPr>
                <w:sz w:val="21"/>
                <w:szCs w:val="21"/>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665,500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596,500</w:t>
            </w:r>
          </w:p>
        </w:tc>
        <w:tc>
          <w:tcPr>
            <w:tcW w:w="100" w:type="dxa"/>
            <w:vAlign w:val="bottom"/>
          </w:tcPr>
          <w:p>
            <w:pPr>
              <w:spacing w:after="0"/>
              <w:rPr>
                <w:sz w:val="20"/>
                <w:szCs w:val="20"/>
                <w:color w:val="auto"/>
              </w:rPr>
            </w:pPr>
          </w:p>
        </w:tc>
      </w:tr>
      <w:tr>
        <w:trPr>
          <w:trHeight w:val="24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76,336</w:t>
            </w: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440" w:type="dxa"/>
            <w:vAlign w:val="bottom"/>
          </w:tcPr>
          <w:p>
            <w:pPr>
              <w:jc w:val="right"/>
              <w:spacing w:after="0"/>
              <w:rPr>
                <w:sz w:val="20"/>
                <w:szCs w:val="20"/>
                <w:color w:val="auto"/>
              </w:rPr>
            </w:pPr>
            <w:r>
              <w:rPr>
                <w:rFonts w:ascii="Arial" w:cs="Arial" w:eastAsia="Arial" w:hAnsi="Arial"/>
                <w:sz w:val="18"/>
                <w:szCs w:val="18"/>
                <w:color w:val="auto"/>
              </w:rPr>
              <w:t>67,389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113,173</w:t>
            </w:r>
          </w:p>
        </w:tc>
        <w:tc>
          <w:tcPr>
            <w:tcW w:w="100" w:type="dxa"/>
            <w:vAlign w:val="bottom"/>
          </w:tcPr>
          <w:p>
            <w:pPr>
              <w:spacing w:after="0"/>
              <w:rPr>
                <w:sz w:val="20"/>
                <w:szCs w:val="20"/>
                <w:color w:val="auto"/>
              </w:rPr>
            </w:pPr>
          </w:p>
        </w:tc>
      </w:tr>
      <w:tr>
        <w:trPr>
          <w:trHeight w:val="243"/>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issuable pursuant to the ESPP</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65,586</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30,167,312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33,846,405</w:t>
            </w:r>
          </w:p>
        </w:tc>
        <w:tc>
          <w:tcPr>
            <w:tcW w:w="10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-187960</wp:posOffset>
            </wp:positionV>
            <wp:extent cx="60325"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ind w:right="160" w:firstLine="1018"/>
        <w:spacing w:after="0" w:line="259" w:lineRule="auto"/>
        <w:rPr>
          <w:sz w:val="20"/>
          <w:szCs w:val="20"/>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2022. Therefore, they are not included in the computation of net loss per Class A common share attributable to Rani Therapeutics Holdings,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Celltrion License and Supply Agreement</w:t>
      </w:r>
    </w:p>
    <w:p>
      <w:pPr>
        <w:spacing w:after="0" w:line="225" w:lineRule="exact"/>
        <w:rPr>
          <w:sz w:val="20"/>
          <w:szCs w:val="20"/>
          <w:color w:val="auto"/>
        </w:rPr>
      </w:pPr>
    </w:p>
    <w:p>
      <w:pPr>
        <w:ind w:right="100" w:firstLine="1018"/>
        <w:spacing w:after="0" w:line="287" w:lineRule="auto"/>
        <w:rPr>
          <w:sz w:val="20"/>
          <w:szCs w:val="20"/>
          <w:color w:val="auto"/>
        </w:rPr>
      </w:pPr>
      <w:r>
        <w:rPr>
          <w:rFonts w:ascii="Arial" w:cs="Arial" w:eastAsia="Arial" w:hAnsi="Arial"/>
          <w:sz w:val="16"/>
          <w:szCs w:val="16"/>
          <w:color w:val="auto"/>
        </w:rPr>
        <w:t>In January 2023, the Company entered into a License and Supply Agreement (“Celltrion Agreement”) with Celltrion, Inc. (“Celltrion”). Under the Celltrion Agreement, Celltrion grants the Company an exclusive, worldwide, royalty-free license to certain intellectual property to make, use, sell, offer for sale, import and otherwise exploit RT-111 and to use certain information to support the manufacture, development and commercialization of RT-111. Celltrion will provide, and Rani will purchase, supply of ustekinumab biosimilar at supply prices set forth in the Celltrion Agreement. Under the Celltrion Agreement, the Company has sole right to manufacture, develop and commercialize RT-111 worldwide, subject to an exclusive right of first negotiation (“ROFN”) granted to Celltrion. Following delivery to Celltrion of a data package consisting of data related to topline results from a Phase 1 clinical trial of RT-111 that meets its primary endpoint(s), Celltrion will have a certain period to exercise its ROFN. If Celltrion timely exercises the ROFN, then Celltrion will have an exclusive period to negotiate in good faith a definitive agreement with the Company for rights to clinically develop and commercialize RT-111 in territories selected by Celltrion. In the event Celltrion does not timely exercise the ROFN or Celltrion notifies us that it does not intend to exercise the ROFN or, after timely exercising the ROFN, notifies us that Celltrion withdraws its exercise of the ROFN, or the parties fail to enter into a definitive agreement for the development and commercialization of RT-111 within the exclusive negotiation period, then the ROFN will terminate and we will have no further obligations under the Celltrion Agreement related to a ROFN.</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ind w:right="160" w:firstLine="1018"/>
        <w:spacing w:after="0" w:line="254" w:lineRule="auto"/>
        <w:rPr>
          <w:sz w:val="20"/>
          <w:szCs w:val="20"/>
          <w:color w:val="auto"/>
        </w:rPr>
      </w:pPr>
      <w:r>
        <w:rPr>
          <w:rFonts w:ascii="Arial" w:cs="Arial" w:eastAsia="Arial" w:hAnsi="Arial"/>
          <w:sz w:val="18"/>
          <w:szCs w:val="18"/>
          <w:color w:val="auto"/>
        </w:rPr>
        <w:t>The Celltrion Agreement allocates rights between the parties with respect to inventions generated in performance of the agreement for the manufacture, development and commercialization of RT-111. Celltrion will own intellectual property generated in the program solely related to its ustekinumab biosimilar. The Company will own all other intellectual property generated in the program, and the Company grants Celltrion an exclusive, worldwide license under such intellectual property solely for use with its ustekinumab biosimilar. The Company will own all data related to the research, development, manufacture, regulatory activities and commercialization of RT-111 conducted by the Company. The Company has a right to terminate the agreement for convenience subject to certain notice periods. Celltrion has a right to terminate the agreement if the Company does not achieve certain development milestones, and each party has certain rights to terminate for material breach or safety concerns regarding the ustekinumab biosimilar or RT-111.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of Silicon Valley Bank</w:t>
      </w:r>
    </w:p>
    <w:p>
      <w:pPr>
        <w:spacing w:after="0" w:line="225" w:lineRule="exact"/>
        <w:rPr>
          <w:sz w:val="20"/>
          <w:szCs w:val="20"/>
          <w:color w:val="auto"/>
        </w:rPr>
      </w:pPr>
    </w:p>
    <w:p>
      <w:pPr>
        <w:ind w:right="120" w:firstLine="1018"/>
        <w:spacing w:after="0" w:line="257" w:lineRule="auto"/>
        <w:rPr>
          <w:sz w:val="20"/>
          <w:szCs w:val="20"/>
          <w:color w:val="auto"/>
        </w:rPr>
      </w:pPr>
      <w:r>
        <w:rPr>
          <w:rFonts w:ascii="Arial" w:cs="Arial" w:eastAsia="Arial" w:hAnsi="Arial"/>
          <w:sz w:val="18"/>
          <w:szCs w:val="18"/>
          <w:color w:val="auto"/>
        </w:rPr>
        <w:t>On March 10, 2023, Silicon Valley Bank (“SVB”) was closed by the California Department of Financial Protection and Innovation, which appointed the Federal Deposit Insurance Corporation as receiver. At the time of the closure, the Company held limited assets in deposit and money market accounts with SVB. Because a substantial majority of the Company's cash, cash equivalents and marketable securities were not maintained at SVB and in light of actions taken by the federal government to fully protect deposit accounts, the closure of SVB has had no material impact on the Company's operations.</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1018"/>
        <w:spacing w:after="0" w:line="289"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80" w:firstLine="101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and 15d-15(f) of the Exchange Act. Under the supervision and with the participation of our management, including our CEO and CFO,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our internal control over financial reporting was effective as of December 31, 2022.</w:t>
      </w:r>
    </w:p>
    <w:p>
      <w:pPr>
        <w:spacing w:after="0" w:line="192" w:lineRule="exact"/>
        <w:rPr>
          <w:sz w:val="20"/>
          <w:szCs w:val="20"/>
          <w:color w:val="auto"/>
        </w:rPr>
      </w:pPr>
    </w:p>
    <w:p>
      <w:pPr>
        <w:jc w:val="both"/>
        <w:ind w:firstLine="101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20" w:firstLine="1018"/>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1018"/>
        <w:spacing w:after="0" w:line="263" w:lineRule="auto"/>
        <w:rPr>
          <w:sz w:val="20"/>
          <w:szCs w:val="20"/>
          <w:color w:val="auto"/>
        </w:rPr>
      </w:pPr>
      <w:r>
        <w:rPr>
          <w:rFonts w:ascii="Arial" w:cs="Arial" w:eastAsia="Arial" w:hAnsi="Arial"/>
          <w:sz w:val="18"/>
          <w:szCs w:val="18"/>
          <w:color w:val="auto"/>
        </w:rPr>
        <w:t>Our management, including our Chief Executive Officer and Chief Financial Officer, has evaluated any changes in our internal control over financial reporting that occurred during the quarter ended December 31, 2022, and has concluded that there was no change during such quarter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right="20" w:firstLine="1018"/>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60" w:firstLine="1018"/>
        <w:spacing w:after="0" w:line="286" w:lineRule="auto"/>
        <w:rPr>
          <w:sz w:val="20"/>
          <w:szCs w:val="20"/>
          <w:color w:val="auto"/>
        </w:rPr>
      </w:pPr>
      <w:r>
        <w:rPr>
          <w:rFonts w:ascii="Arial" w:cs="Arial" w:eastAsia="Arial" w:hAnsi="Arial"/>
          <w:sz w:val="17"/>
          <w:szCs w:val="17"/>
          <w:color w:val="auto"/>
        </w:rPr>
        <w:t>The information required by this Item and not set forth below is incorporated by reference to the information set forth in the sections titled “Election of Directors” and “Information Regarding the Board of Directors and Corporate Governance” in our definitive Proxy Statement for our 2023 Annual Meeting of Stockholders (the “Proxy Statement”) to be filed with the SEC within 120 days after December 31, 2022.</w:t>
      </w:r>
    </w:p>
    <w:p>
      <w:pPr>
        <w:spacing w:after="0" w:line="165" w:lineRule="exact"/>
        <w:rPr>
          <w:sz w:val="20"/>
          <w:szCs w:val="20"/>
          <w:color w:val="auto"/>
        </w:rPr>
      </w:pPr>
    </w:p>
    <w:p>
      <w:pPr>
        <w:ind w:right="120" w:firstLine="1018"/>
        <w:spacing w:after="0" w:line="293"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https://www.ranitherapeutics.com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0" w:firstLine="101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Compensation”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40" w:firstLine="101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 titled “Security Ownership of Certain Beneficial Owners and Management” in our Proxy Statement.</w:t>
      </w:r>
    </w:p>
    <w:p>
      <w:pPr>
        <w:spacing w:after="0" w:line="170" w:lineRule="exact"/>
        <w:rPr>
          <w:sz w:val="20"/>
          <w:szCs w:val="20"/>
          <w:color w:val="auto"/>
        </w:rPr>
      </w:pPr>
    </w:p>
    <w:p>
      <w:pPr>
        <w:ind w:right="80" w:firstLine="1018"/>
        <w:spacing w:after="0" w:line="277" w:lineRule="auto"/>
        <w:rPr>
          <w:sz w:val="20"/>
          <w:szCs w:val="20"/>
          <w:color w:val="auto"/>
        </w:rPr>
      </w:pPr>
      <w:r>
        <w:rPr>
          <w:rFonts w:ascii="Arial" w:cs="Arial" w:eastAsia="Arial" w:hAnsi="Arial"/>
          <w:sz w:val="18"/>
          <w:szCs w:val="18"/>
          <w:color w:val="auto"/>
        </w:rPr>
        <w:t>The information required by Item 201(d) of Regulation S-K will be set forth in the section titled “Equity Compensation Plan Information” in our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60" w:firstLine="101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“Transactions with Related Persons and Indemnification” and “—Independence of The Board of Directors”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firstLine="101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“Ratification of Selection of Independent Registered Public Accounting Firm” in our Proxy Statement.</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225" w:lineRule="exact"/>
        <w:rPr>
          <w:sz w:val="20"/>
          <w:szCs w:val="20"/>
          <w:color w:val="auto"/>
        </w:rPr>
      </w:pPr>
    </w:p>
    <w:p>
      <w:pPr>
        <w:ind w:right="220" w:firstLine="1018"/>
        <w:spacing w:after="0" w:line="277" w:lineRule="auto"/>
        <w:rPr>
          <w:sz w:val="20"/>
          <w:szCs w:val="20"/>
          <w:color w:val="auto"/>
        </w:rPr>
      </w:pPr>
      <w:r>
        <w:rPr>
          <w:rFonts w:ascii="Arial" w:cs="Arial" w:eastAsia="Arial" w:hAnsi="Arial"/>
          <w:sz w:val="18"/>
          <w:szCs w:val="18"/>
          <w:color w:val="auto"/>
        </w:rPr>
        <w:t>The financial statements and reports of independent registered public accounting firm are filed as part of this Annual Report (see “Index to Consolidated Financial Statements” at Item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225" w:lineRule="exact"/>
        <w:rPr>
          <w:sz w:val="20"/>
          <w:szCs w:val="20"/>
          <w:color w:val="auto"/>
        </w:rPr>
      </w:pPr>
    </w:p>
    <w:p>
      <w:pPr>
        <w:ind w:right="460" w:firstLine="1018"/>
        <w:spacing w:after="0" w:line="277" w:lineRule="auto"/>
        <w:rPr>
          <w:sz w:val="20"/>
          <w:szCs w:val="20"/>
          <w:color w:val="auto"/>
        </w:rPr>
      </w:pPr>
      <w:r>
        <w:rPr>
          <w:rFonts w:ascii="Arial" w:cs="Arial" w:eastAsia="Arial" w:hAnsi="Arial"/>
          <w:sz w:val="18"/>
          <w:szCs w:val="18"/>
          <w:color w:val="auto"/>
        </w:rPr>
        <w:t>No financial statement schedules are included because the information is either provided in the consolidated financial statements, is not required under the instructions or is immaterial, and such schedules, therefore have been omitted.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40" w:type="dxa"/>
            <w:vAlign w:val="bottom"/>
            <w:gridSpan w:val="37"/>
          </w:tcPr>
          <w:p>
            <w:pPr>
              <w:jc w:val="right"/>
              <w:ind w:right="2320"/>
              <w:spacing w:after="0"/>
              <w:rPr>
                <w:sz w:val="20"/>
                <w:szCs w:val="20"/>
                <w:color w:val="auto"/>
              </w:rPr>
            </w:pPr>
            <w:r>
              <w:rPr>
                <w:rFonts w:ascii="Arial" w:cs="Arial" w:eastAsia="Arial" w:hAnsi="Arial"/>
                <w:sz w:val="18"/>
                <w:szCs w:val="18"/>
                <w:color w:val="auto"/>
                <w:w w:val="91"/>
              </w:rPr>
              <w:t>The following is a list of all exhibits and financial statement schedules filed or furnished as part of this report:</w:t>
            </w:r>
          </w:p>
        </w:tc>
        <w:tc>
          <w:tcPr>
            <w:tcW w:w="0" w:type="dxa"/>
            <w:vAlign w:val="bottom"/>
          </w:tcPr>
          <w:p>
            <w:pPr>
              <w:spacing w:after="0"/>
              <w:rPr>
                <w:sz w:val="1"/>
                <w:szCs w:val="1"/>
                <w:color w:val="auto"/>
              </w:rPr>
            </w:pPr>
          </w:p>
        </w:tc>
      </w:tr>
      <w:tr>
        <w:trPr>
          <w:trHeight w:val="38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40" w:type="dxa"/>
            <w:vAlign w:val="bottom"/>
            <w:gridSpan w:val="33"/>
            <w:vMerge w:val="restart"/>
          </w:tcPr>
          <w:p>
            <w:pPr>
              <w:jc w:val="right"/>
              <w:ind w:righ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14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9940" w:type="dxa"/>
            <w:vAlign w:val="bottom"/>
            <w:tcBorders>
              <w:top w:val="single" w:sz="8" w:color="auto"/>
              <w:bottom w:val="single" w:sz="8" w:color="0000FF"/>
            </w:tcBorders>
            <w:gridSpan w:val="30"/>
          </w:tcPr>
          <w:p>
            <w:pPr>
              <w:spacing w:after="0" w:line="182" w:lineRule="exact"/>
              <w:rPr>
                <w:rFonts w:ascii="Arial" w:cs="Arial" w:eastAsia="Arial" w:hAnsi="Arial"/>
                <w:sz w:val="18"/>
                <w:szCs w:val="18"/>
                <w:color w:val="0000FF"/>
                <w:w w:val="91"/>
              </w:rPr>
            </w:pPr>
            <w:hyperlink r:id="rId329">
              <w:r>
                <w:rPr>
                  <w:rFonts w:ascii="Arial" w:cs="Arial" w:eastAsia="Arial" w:hAnsi="Arial"/>
                  <w:sz w:val="18"/>
                  <w:szCs w:val="18"/>
                  <w:color w:val="0000FF"/>
                  <w:w w:val="91"/>
                </w:rPr>
                <w:t>Amended and Restated Certificate of Incorporation of the Registrant as currently in effect (incorporated by reference to Exhibit 3.1 to the</w:t>
              </w:r>
            </w:hyperlink>
          </w:p>
        </w:tc>
        <w:tc>
          <w:tcPr>
            <w:tcW w:w="14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29">
              <w:r>
                <w:rPr>
                  <w:rFonts w:ascii="Arial" w:cs="Arial" w:eastAsia="Arial" w:hAnsi="Arial"/>
                  <w:sz w:val="18"/>
                  <w:szCs w:val="18"/>
                  <w:color w:val="0000FF"/>
                </w:rPr>
                <w:t>Registrant’s Registration Statement on Form S-1, as amended, filed with the SEC on July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400" w:type="dxa"/>
            <w:vAlign w:val="bottom"/>
            <w:tcBorders>
              <w:bottom w:val="single" w:sz="8" w:color="0000FF"/>
            </w:tcBorders>
            <w:gridSpan w:val="21"/>
          </w:tcPr>
          <w:p>
            <w:pPr>
              <w:spacing w:after="0"/>
              <w:rPr>
                <w:rFonts w:ascii="Arial" w:cs="Arial" w:eastAsia="Arial" w:hAnsi="Arial"/>
                <w:sz w:val="18"/>
                <w:szCs w:val="18"/>
                <w:color w:val="0000FF"/>
                <w:w w:val="91"/>
              </w:rPr>
            </w:pPr>
            <w:hyperlink r:id="rId330">
              <w:r>
                <w:rPr>
                  <w:rFonts w:ascii="Arial" w:cs="Arial" w:eastAsia="Arial" w:hAnsi="Arial"/>
                  <w:sz w:val="18"/>
                  <w:szCs w:val="18"/>
                  <w:color w:val="0000FF"/>
                  <w:w w:val="91"/>
                </w:rPr>
                <w:t>Amended and Restated Bylaws of the Registrant as currently in effect (incorporated by reference to Exhibit 3.4 to the Registrant’s</w:t>
              </w:r>
            </w:hyperlink>
          </w:p>
        </w:tc>
        <w:tc>
          <w:tcPr>
            <w:tcW w:w="70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30">
              <w:r>
                <w:rPr>
                  <w:rFonts w:ascii="Arial" w:cs="Arial" w:eastAsia="Arial" w:hAnsi="Arial"/>
                  <w:sz w:val="18"/>
                  <w:szCs w:val="18"/>
                  <w:color w:val="0000FF"/>
                  <w:w w:val="90"/>
                </w:rPr>
                <w:t>Registration Statement on Form S-1, as amended, filed with the SEC on July 9, 2021).</w:t>
              </w:r>
            </w:hyperlink>
          </w:p>
        </w:tc>
        <w:tc>
          <w:tcPr>
            <w:tcW w:w="20" w:type="dxa"/>
            <w:vAlign w:val="bottom"/>
            <w:tcBorders>
              <w:bottom w:val="single" w:sz="8" w:color="0000EE"/>
            </w:tcBorders>
          </w:tcPr>
          <w:p>
            <w:pPr>
              <w:spacing w:after="0"/>
              <w:rPr>
                <w:sz w:val="17"/>
                <w:szCs w:val="17"/>
                <w:color w:val="auto"/>
              </w:rPr>
            </w:pPr>
          </w:p>
        </w:tc>
        <w:tc>
          <w:tcPr>
            <w:tcW w:w="38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9720" w:type="dxa"/>
            <w:vAlign w:val="bottom"/>
            <w:tcBorders>
              <w:bottom w:val="single" w:sz="8" w:color="0000FF"/>
            </w:tcBorders>
            <w:gridSpan w:val="26"/>
          </w:tcPr>
          <w:p>
            <w:pPr>
              <w:spacing w:after="0"/>
              <w:rPr>
                <w:rFonts w:ascii="Arial" w:cs="Arial" w:eastAsia="Arial" w:hAnsi="Arial"/>
                <w:sz w:val="18"/>
                <w:szCs w:val="18"/>
                <w:color w:val="0000FF"/>
                <w:w w:val="91"/>
              </w:rPr>
            </w:pPr>
            <w:hyperlink r:id="rId331">
              <w:r>
                <w:rPr>
                  <w:rFonts w:ascii="Arial" w:cs="Arial" w:eastAsia="Arial" w:hAnsi="Arial"/>
                  <w:sz w:val="18"/>
                  <w:szCs w:val="18"/>
                  <w:color w:val="0000FF"/>
                  <w:w w:val="91"/>
                </w:rPr>
                <w:t>Specimen Class A common stock certificate of the Registrant (incorporated by reference to Exhibit 4.1 to the Registrant’s Registration</w:t>
              </w:r>
            </w:hyperlink>
          </w:p>
        </w:tc>
        <w:tc>
          <w:tcPr>
            <w:tcW w:w="3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31">
              <w:r>
                <w:rPr>
                  <w:rFonts w:ascii="Arial" w:cs="Arial" w:eastAsia="Arial" w:hAnsi="Arial"/>
                  <w:sz w:val="18"/>
                  <w:szCs w:val="18"/>
                  <w:color w:val="0000FF"/>
                  <w:w w:val="89"/>
                </w:rPr>
                <w:t>Statement on Form S-1, as amended, filed with the SEC on July 26, 2021).</w:t>
              </w:r>
            </w:hyperlink>
          </w:p>
        </w:tc>
        <w:tc>
          <w:tcPr>
            <w:tcW w:w="20" w:type="dxa"/>
            <w:vAlign w:val="bottom"/>
            <w:tcBorders>
              <w:bottom w:val="single" w:sz="8" w:color="0000EE"/>
            </w:tcBorders>
          </w:tcPr>
          <w:p>
            <w:pPr>
              <w:spacing w:after="0"/>
              <w:rPr>
                <w:sz w:val="17"/>
                <w:szCs w:val="17"/>
                <w:color w:val="auto"/>
              </w:rPr>
            </w:pPr>
          </w:p>
        </w:tc>
        <w:tc>
          <w:tcPr>
            <w:tcW w:w="47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0060" w:type="dxa"/>
            <w:vAlign w:val="bottom"/>
            <w:tcBorders>
              <w:bottom w:val="single" w:sz="8" w:color="0000FF"/>
            </w:tcBorders>
            <w:gridSpan w:val="34"/>
          </w:tcPr>
          <w:p>
            <w:pPr>
              <w:spacing w:after="0"/>
              <w:rPr>
                <w:rFonts w:ascii="Arial" w:cs="Arial" w:eastAsia="Arial" w:hAnsi="Arial"/>
                <w:sz w:val="18"/>
                <w:szCs w:val="18"/>
                <w:color w:val="0000FF"/>
                <w:w w:val="91"/>
              </w:rPr>
            </w:pPr>
            <w:hyperlink r:id="rId332">
              <w:r>
                <w:rPr>
                  <w:rFonts w:ascii="Arial" w:cs="Arial" w:eastAsia="Arial" w:hAnsi="Arial"/>
                  <w:sz w:val="18"/>
                  <w:szCs w:val="18"/>
                  <w:color w:val="0000FF"/>
                  <w:w w:val="91"/>
                </w:rPr>
                <w:t>Description of Securities (incorporated by reference to Exhibit 4.2 to the Registrant’s Quarterly Report on Form 10-Q for the quarter ended</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32">
              <w:r>
                <w:rPr>
                  <w:rFonts w:ascii="Arial" w:cs="Arial" w:eastAsia="Arial" w:hAnsi="Arial"/>
                  <w:sz w:val="18"/>
                  <w:szCs w:val="18"/>
                  <w:color w:val="0000FF"/>
                </w:rPr>
                <w:t>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020" w:type="dxa"/>
            <w:vAlign w:val="bottom"/>
            <w:tcBorders>
              <w:bottom w:val="single" w:sz="8" w:color="0000FF"/>
            </w:tcBorders>
            <w:gridSpan w:val="33"/>
          </w:tcPr>
          <w:p>
            <w:pPr>
              <w:spacing w:after="0"/>
              <w:rPr>
                <w:rFonts w:ascii="Arial" w:cs="Arial" w:eastAsia="Arial" w:hAnsi="Arial"/>
                <w:sz w:val="18"/>
                <w:szCs w:val="18"/>
                <w:color w:val="0000FF"/>
                <w:w w:val="91"/>
              </w:rPr>
            </w:pPr>
            <w:hyperlink r:id="rId333">
              <w:r>
                <w:rPr>
                  <w:rFonts w:ascii="Arial" w:cs="Arial" w:eastAsia="Arial" w:hAnsi="Arial"/>
                  <w:sz w:val="18"/>
                  <w:szCs w:val="18"/>
                  <w:color w:val="0000FF"/>
                  <w:w w:val="91"/>
                </w:rPr>
                <w:t>Tax Receivable Agreement, effective as of August 3, 2021 (incorporated by reference to Exhibit 10.1 to the Registrant’s Annual Report on</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333">
              <w:r>
                <w:rPr>
                  <w:rFonts w:ascii="Arial" w:cs="Arial" w:eastAsia="Arial" w:hAnsi="Arial"/>
                  <w:sz w:val="18"/>
                  <w:szCs w:val="18"/>
                  <w:color w:val="0000FF"/>
                  <w:w w:val="91"/>
                </w:rPr>
                <w:t>Form 10-K for the year ended December 31, 2021, filed with the SEC on March 31, 2022).</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9980" w:type="dxa"/>
            <w:vAlign w:val="bottom"/>
            <w:tcBorders>
              <w:bottom w:val="single" w:sz="8" w:color="0000FF"/>
            </w:tcBorders>
            <w:gridSpan w:val="32"/>
          </w:tcPr>
          <w:p>
            <w:pPr>
              <w:spacing w:after="0"/>
              <w:rPr>
                <w:rFonts w:ascii="Arial" w:cs="Arial" w:eastAsia="Arial" w:hAnsi="Arial"/>
                <w:sz w:val="18"/>
                <w:szCs w:val="18"/>
                <w:color w:val="0000FF"/>
                <w:w w:val="91"/>
              </w:rPr>
            </w:pPr>
            <w:hyperlink r:id="rId334">
              <w:r>
                <w:rPr>
                  <w:rFonts w:ascii="Arial" w:cs="Arial" w:eastAsia="Arial" w:hAnsi="Arial"/>
                  <w:sz w:val="18"/>
                  <w:szCs w:val="18"/>
                  <w:color w:val="0000FF"/>
                  <w:w w:val="91"/>
                </w:rPr>
                <w:t>Class B Unit Exchange Agreement, effective as of August 3, 2021 (incorporated by reference to Exhibit 10.2 to the Registrant’s Quarterly</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34">
              <w:r>
                <w:rPr>
                  <w:rFonts w:ascii="Arial" w:cs="Arial" w:eastAsia="Arial" w:hAnsi="Arial"/>
                  <w:sz w:val="18"/>
                  <w:szCs w:val="18"/>
                  <w:color w:val="0000FF"/>
                </w:rPr>
                <w:t>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9700" w:type="dxa"/>
            <w:vAlign w:val="bottom"/>
            <w:tcBorders>
              <w:bottom w:val="single" w:sz="8" w:color="0000FF"/>
            </w:tcBorders>
            <w:gridSpan w:val="25"/>
          </w:tcPr>
          <w:p>
            <w:pPr>
              <w:spacing w:after="0"/>
              <w:rPr>
                <w:rFonts w:ascii="Arial" w:cs="Arial" w:eastAsia="Arial" w:hAnsi="Arial"/>
                <w:sz w:val="18"/>
                <w:szCs w:val="18"/>
                <w:color w:val="0000FF"/>
                <w:w w:val="91"/>
              </w:rPr>
            </w:pPr>
            <w:hyperlink r:id="rId335">
              <w:r>
                <w:rPr>
                  <w:rFonts w:ascii="Arial" w:cs="Arial" w:eastAsia="Arial" w:hAnsi="Arial"/>
                  <w:sz w:val="18"/>
                  <w:szCs w:val="18"/>
                  <w:color w:val="0000FF"/>
                  <w:w w:val="91"/>
                </w:rPr>
                <w:t>Registration Rights Agreement, effective as of August 3, 2021 (incorporated by reference to Exhibit 10.3 to the Registrant’s Quarterly</w:t>
              </w:r>
            </w:hyperlink>
          </w:p>
        </w:tc>
        <w:tc>
          <w:tcPr>
            <w:tcW w:w="4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35">
              <w:r>
                <w:rPr>
                  <w:rFonts w:ascii="Arial" w:cs="Arial" w:eastAsia="Arial" w:hAnsi="Arial"/>
                  <w:sz w:val="18"/>
                  <w:szCs w:val="18"/>
                  <w:color w:val="0000FF"/>
                </w:rPr>
                <w:t>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9220" w:type="dxa"/>
            <w:vAlign w:val="bottom"/>
            <w:tcBorders>
              <w:bottom w:val="single" w:sz="8" w:color="0000FF"/>
            </w:tcBorders>
            <w:gridSpan w:val="20"/>
          </w:tcPr>
          <w:p>
            <w:pPr>
              <w:spacing w:after="0"/>
              <w:rPr>
                <w:rFonts w:ascii="Arial" w:cs="Arial" w:eastAsia="Arial" w:hAnsi="Arial"/>
                <w:sz w:val="18"/>
                <w:szCs w:val="18"/>
                <w:color w:val="0000FF"/>
                <w:w w:val="92"/>
              </w:rPr>
            </w:pPr>
            <w:hyperlink r:id="rId336">
              <w:r>
                <w:rPr>
                  <w:rFonts w:ascii="Arial" w:cs="Arial" w:eastAsia="Arial" w:hAnsi="Arial"/>
                  <w:sz w:val="18"/>
                  <w:szCs w:val="18"/>
                  <w:color w:val="0000FF"/>
                  <w:w w:val="92"/>
                </w:rPr>
                <w:t>Fifth Amended and Restated Limited Liability Company Agreement of Rani Therapeutics, LLC, effective as of August 3, 2021</w:t>
              </w:r>
            </w:hyperlink>
          </w:p>
        </w:tc>
        <w:tc>
          <w:tcPr>
            <w:tcW w:w="88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336">
              <w:r>
                <w:rPr>
                  <w:rFonts w:ascii="Arial" w:cs="Arial" w:eastAsia="Arial" w:hAnsi="Arial"/>
                  <w:sz w:val="18"/>
                  <w:szCs w:val="18"/>
                  <w:color w:val="0000FF"/>
                  <w:w w:val="91"/>
                </w:rPr>
                <w:t>(incorporated by reference to Exhibit 10.4 to the Registrant’s Quarterly Report on Form 10-Q for the quarter ended June 30, 2022 filed with</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36">
              <w:r>
                <w:rPr>
                  <w:rFonts w:ascii="Arial" w:cs="Arial" w:eastAsia="Arial" w:hAnsi="Arial"/>
                  <w:sz w:val="18"/>
                  <w:szCs w:val="18"/>
                  <w:color w:val="0000FF"/>
                  <w:w w:val="89"/>
                </w:rPr>
                <w:t>the SEC on August 10, 2022).</w:t>
              </w:r>
            </w:hyperlink>
          </w:p>
        </w:tc>
        <w:tc>
          <w:tcPr>
            <w:tcW w:w="20" w:type="dxa"/>
            <w:vAlign w:val="bottom"/>
            <w:tcBorders>
              <w:bottom w:val="single" w:sz="8" w:color="0000EE"/>
            </w:tcBorders>
          </w:tcPr>
          <w:p>
            <w:pPr>
              <w:spacing w:after="0"/>
              <w:rPr>
                <w:sz w:val="17"/>
                <w:szCs w:val="17"/>
                <w:color w:val="auto"/>
              </w:rPr>
            </w:pPr>
          </w:p>
        </w:tc>
        <w:tc>
          <w:tcPr>
            <w:tcW w:w="79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9900" w:type="dxa"/>
            <w:vAlign w:val="bottom"/>
            <w:tcBorders>
              <w:bottom w:val="single" w:sz="8" w:color="0000FF"/>
            </w:tcBorders>
            <w:gridSpan w:val="29"/>
          </w:tcPr>
          <w:p>
            <w:pPr>
              <w:spacing w:after="0"/>
              <w:rPr>
                <w:rFonts w:ascii="Arial" w:cs="Arial" w:eastAsia="Arial" w:hAnsi="Arial"/>
                <w:sz w:val="18"/>
                <w:szCs w:val="18"/>
                <w:color w:val="0000FF"/>
                <w:w w:val="91"/>
              </w:rPr>
            </w:pPr>
            <w:hyperlink r:id="rId337">
              <w:r>
                <w:rPr>
                  <w:rFonts w:ascii="Arial" w:cs="Arial" w:eastAsia="Arial" w:hAnsi="Arial"/>
                  <w:sz w:val="18"/>
                  <w:szCs w:val="18"/>
                  <w:color w:val="0000FF"/>
                  <w:w w:val="91"/>
                </w:rPr>
                <w:t>Form of Indemnification Agreement between the Registrant and each of its directors and executive officers (incorporated by reference to</w:t>
              </w:r>
            </w:hyperlink>
          </w:p>
        </w:tc>
        <w:tc>
          <w:tcPr>
            <w:tcW w:w="2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37">
              <w:r>
                <w:rPr>
                  <w:rFonts w:ascii="Arial" w:cs="Arial" w:eastAsia="Arial" w:hAnsi="Arial"/>
                  <w:sz w:val="18"/>
                  <w:szCs w:val="18"/>
                  <w:color w:val="0000FF"/>
                </w:rPr>
                <w:t>Exhibit 10.4 to the Registrant’s Registration Statement on Form S-1, filed with the SEC on July 9,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9880" w:type="dxa"/>
            <w:vAlign w:val="bottom"/>
            <w:tcBorders>
              <w:bottom w:val="single" w:sz="8" w:color="0000FF"/>
            </w:tcBorders>
            <w:gridSpan w:val="28"/>
          </w:tcPr>
          <w:p>
            <w:pPr>
              <w:spacing w:after="0"/>
              <w:rPr>
                <w:rFonts w:ascii="Arial" w:cs="Arial" w:eastAsia="Arial" w:hAnsi="Arial"/>
                <w:sz w:val="18"/>
                <w:szCs w:val="18"/>
                <w:color w:val="0000FF"/>
                <w:w w:val="91"/>
              </w:rPr>
            </w:pPr>
            <w:hyperlink r:id="rId338">
              <w:r>
                <w:rPr>
                  <w:rFonts w:ascii="Arial" w:cs="Arial" w:eastAsia="Arial" w:hAnsi="Arial"/>
                  <w:sz w:val="18"/>
                  <w:szCs w:val="18"/>
                  <w:color w:val="0000FF"/>
                  <w:w w:val="91"/>
                </w:rPr>
                <w:t>Rani Therapeutics, LLC 2016 Equity Incentive Plan and forms of agreement thereunder (incorporated by reference to Exhibit 10.5 to the</w:t>
              </w:r>
            </w:hyperlink>
          </w:p>
        </w:tc>
        <w:tc>
          <w:tcPr>
            <w:tcW w:w="2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2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338">
              <w:r>
                <w:rPr>
                  <w:rFonts w:ascii="Arial" w:cs="Arial" w:eastAsia="Arial" w:hAnsi="Arial"/>
                  <w:sz w:val="18"/>
                  <w:szCs w:val="18"/>
                  <w:color w:val="0000FF"/>
                  <w:w w:val="90"/>
                </w:rPr>
                <w:t>Registrant’s Registration Statement on Form S-1, as amended, filed with the SEC on July 9, 2021).</w:t>
              </w:r>
            </w:hyperlink>
          </w:p>
        </w:tc>
        <w:tc>
          <w:tcPr>
            <w:tcW w:w="29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9780" w:type="dxa"/>
            <w:vAlign w:val="bottom"/>
            <w:tcBorders>
              <w:bottom w:val="single" w:sz="8" w:color="0000FF"/>
            </w:tcBorders>
            <w:gridSpan w:val="27"/>
          </w:tcPr>
          <w:p>
            <w:pPr>
              <w:spacing w:after="0"/>
              <w:rPr>
                <w:rFonts w:ascii="Arial" w:cs="Arial" w:eastAsia="Arial" w:hAnsi="Arial"/>
                <w:sz w:val="18"/>
                <w:szCs w:val="18"/>
                <w:color w:val="0000FF"/>
                <w:w w:val="91"/>
              </w:rPr>
            </w:pPr>
            <w:hyperlink r:id="rId339">
              <w:r>
                <w:rPr>
                  <w:rFonts w:ascii="Arial" w:cs="Arial" w:eastAsia="Arial" w:hAnsi="Arial"/>
                  <w:sz w:val="18"/>
                  <w:szCs w:val="18"/>
                  <w:color w:val="0000FF"/>
                  <w:w w:val="91"/>
                </w:rPr>
                <w:t>Rani Therapeutics Holdings, Inc. 2021 Equity Incentive Plan (incorporated by reference to Exhibit 10.7 to the Registrant’s Registration</w:t>
              </w:r>
            </w:hyperlink>
          </w:p>
        </w:tc>
        <w:tc>
          <w:tcPr>
            <w:tcW w:w="3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39">
              <w:r>
                <w:rPr>
                  <w:rFonts w:ascii="Arial" w:cs="Arial" w:eastAsia="Arial" w:hAnsi="Arial"/>
                  <w:sz w:val="18"/>
                  <w:szCs w:val="18"/>
                  <w:color w:val="0000FF"/>
                  <w:w w:val="89"/>
                </w:rPr>
                <w:t>Statement on Form S-1, as amended, filed with the SEC on July 26, 2021).</w:t>
              </w:r>
            </w:hyperlink>
          </w:p>
        </w:tc>
        <w:tc>
          <w:tcPr>
            <w:tcW w:w="20" w:type="dxa"/>
            <w:vAlign w:val="bottom"/>
            <w:tcBorders>
              <w:bottom w:val="single" w:sz="8" w:color="0000EE"/>
            </w:tcBorders>
          </w:tcPr>
          <w:p>
            <w:pPr>
              <w:spacing w:after="0"/>
              <w:rPr>
                <w:sz w:val="17"/>
                <w:szCs w:val="17"/>
                <w:color w:val="auto"/>
              </w:rPr>
            </w:pPr>
          </w:p>
        </w:tc>
        <w:tc>
          <w:tcPr>
            <w:tcW w:w="47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9960" w:type="dxa"/>
            <w:vAlign w:val="bottom"/>
            <w:tcBorders>
              <w:bottom w:val="single" w:sz="8" w:color="0000FF"/>
            </w:tcBorders>
            <w:gridSpan w:val="31"/>
          </w:tcPr>
          <w:p>
            <w:pPr>
              <w:spacing w:after="0"/>
              <w:rPr>
                <w:rFonts w:ascii="Arial" w:cs="Arial" w:eastAsia="Arial" w:hAnsi="Arial"/>
                <w:sz w:val="18"/>
                <w:szCs w:val="18"/>
                <w:color w:val="0000FF"/>
                <w:w w:val="91"/>
              </w:rPr>
            </w:pPr>
            <w:hyperlink r:id="rId340">
              <w:r>
                <w:rPr>
                  <w:rFonts w:ascii="Arial" w:cs="Arial" w:eastAsia="Arial" w:hAnsi="Arial"/>
                  <w:sz w:val="18"/>
                  <w:szCs w:val="18"/>
                  <w:color w:val="0000FF"/>
                  <w:w w:val="91"/>
                </w:rPr>
                <w:t>Forms of Agreement under the Rani Therapeutics Holdings, Inc. 2021 Equity Incentive Plan (incorporated by reference to Exhibit 10.8 to</w:t>
              </w:r>
            </w:hyperlink>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40">
              <w:r>
                <w:rPr>
                  <w:rFonts w:ascii="Arial" w:cs="Arial" w:eastAsia="Arial" w:hAnsi="Arial"/>
                  <w:sz w:val="18"/>
                  <w:szCs w:val="18"/>
                  <w:color w:val="0000FF"/>
                  <w:w w:val="90"/>
                </w:rPr>
                <w:t>the Registrant’s Quarterly Report on Form 10-Q for the quarter ended June 30, 2022 filed with the SEC on August 10, 2022).</w:t>
              </w:r>
            </w:hyperlink>
          </w:p>
        </w:tc>
        <w:tc>
          <w:tcPr>
            <w:tcW w:w="20" w:type="dxa"/>
            <w:vAlign w:val="bottom"/>
            <w:tcBorders>
              <w:bottom w:val="single" w:sz="8" w:color="0000EE"/>
            </w:tcBorders>
          </w:tcPr>
          <w:p>
            <w:pPr>
              <w:spacing w:after="0"/>
              <w:rPr>
                <w:sz w:val="17"/>
                <w:szCs w:val="17"/>
                <w:color w:val="auto"/>
              </w:rPr>
            </w:pPr>
          </w:p>
        </w:tc>
        <w:tc>
          <w:tcPr>
            <w:tcW w:w="1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9540" w:type="dxa"/>
            <w:vAlign w:val="bottom"/>
            <w:tcBorders>
              <w:bottom w:val="single" w:sz="8" w:color="0000FF"/>
            </w:tcBorders>
            <w:gridSpan w:val="22"/>
          </w:tcPr>
          <w:p>
            <w:pPr>
              <w:spacing w:after="0"/>
              <w:rPr>
                <w:rFonts w:ascii="Arial" w:cs="Arial" w:eastAsia="Arial" w:hAnsi="Arial"/>
                <w:sz w:val="18"/>
                <w:szCs w:val="18"/>
                <w:color w:val="0000FF"/>
                <w:w w:val="90"/>
              </w:rPr>
            </w:pPr>
            <w:hyperlink r:id="rId341">
              <w:r>
                <w:rPr>
                  <w:rFonts w:ascii="Arial" w:cs="Arial" w:eastAsia="Arial" w:hAnsi="Arial"/>
                  <w:sz w:val="18"/>
                  <w:szCs w:val="18"/>
                  <w:color w:val="0000FF"/>
                  <w:w w:val="90"/>
                </w:rPr>
                <w:t>Rani Therapeutics Holdings, Inc. 2021 Employee Stock Purchase Plan (incorporated by reference to Exhibit 10.8 to the Registrant’s</w:t>
              </w:r>
            </w:hyperlink>
          </w:p>
        </w:tc>
        <w:tc>
          <w:tcPr>
            <w:tcW w:w="5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41">
              <w:r>
                <w:rPr>
                  <w:rFonts w:ascii="Arial" w:cs="Arial" w:eastAsia="Arial" w:hAnsi="Arial"/>
                  <w:sz w:val="18"/>
                  <w:szCs w:val="18"/>
                  <w:color w:val="0000FF"/>
                </w:rPr>
                <w:t>Registration Statement on Form S-1, as amended, filed with the SEC on July 26,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5"/>
            <w:shd w:val="clear" w:color="auto" w:fill="0000FF"/>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c>
          <w:tcPr>
            <w:tcW w:w="9680" w:type="dxa"/>
            <w:vAlign w:val="bottom"/>
            <w:tcBorders>
              <w:bottom w:val="single" w:sz="8" w:color="0000FF"/>
            </w:tcBorders>
            <w:gridSpan w:val="24"/>
          </w:tcPr>
          <w:p>
            <w:pPr>
              <w:spacing w:after="0"/>
              <w:rPr>
                <w:rFonts w:ascii="Arial" w:cs="Arial" w:eastAsia="Arial" w:hAnsi="Arial"/>
                <w:sz w:val="18"/>
                <w:szCs w:val="18"/>
                <w:color w:val="0000FF"/>
                <w:w w:val="90"/>
              </w:rPr>
            </w:pPr>
            <w:hyperlink r:id="rId342">
              <w:r>
                <w:rPr>
                  <w:rFonts w:ascii="Arial" w:cs="Arial" w:eastAsia="Arial" w:hAnsi="Arial"/>
                  <w:sz w:val="18"/>
                  <w:szCs w:val="18"/>
                  <w:color w:val="0000FF"/>
                  <w:w w:val="90"/>
                </w:rPr>
                <w:t>Rani Therapeutics Holdings, Inc. Severance and Change in Control Plan (incorporated by reference to Exhibit 10.8 to the Registrant’s</w:t>
              </w:r>
            </w:hyperlink>
          </w:p>
        </w:tc>
        <w:tc>
          <w:tcPr>
            <w:tcW w:w="4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42">
              <w:r>
                <w:rPr>
                  <w:rFonts w:ascii="Arial" w:cs="Arial" w:eastAsia="Arial" w:hAnsi="Arial"/>
                  <w:sz w:val="18"/>
                  <w:szCs w:val="18"/>
                  <w:color w:val="0000FF"/>
                  <w:w w:val="90"/>
                </w:rPr>
                <w:t>Registration Statement on Form S-1, filed with the SEC on July 9, 2021).</w:t>
              </w:r>
            </w:hyperlink>
          </w:p>
        </w:tc>
        <w:tc>
          <w:tcPr>
            <w:tcW w:w="20" w:type="dxa"/>
            <w:vAlign w:val="bottom"/>
            <w:tcBorders>
              <w:bottom w:val="single" w:sz="8" w:color="0000EE"/>
            </w:tcBorders>
          </w:tcPr>
          <w:p>
            <w:pPr>
              <w:spacing w:after="0"/>
              <w:rPr>
                <w:sz w:val="17"/>
                <w:szCs w:val="17"/>
                <w:color w:val="auto"/>
              </w:rPr>
            </w:pPr>
          </w:p>
        </w:tc>
        <w:tc>
          <w:tcPr>
            <w:tcW w:w="48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9"/>
                <w:szCs w:val="19"/>
                <w:color w:val="auto"/>
              </w:rPr>
            </w:pPr>
          </w:p>
        </w:tc>
        <w:tc>
          <w:tcPr>
            <w:tcW w:w="9640" w:type="dxa"/>
            <w:vAlign w:val="bottom"/>
            <w:tcBorders>
              <w:bottom w:val="single" w:sz="8" w:color="0000FF"/>
            </w:tcBorders>
            <w:gridSpan w:val="23"/>
          </w:tcPr>
          <w:p>
            <w:pPr>
              <w:spacing w:after="0"/>
              <w:rPr>
                <w:rFonts w:ascii="Arial" w:cs="Arial" w:eastAsia="Arial" w:hAnsi="Arial"/>
                <w:sz w:val="18"/>
                <w:szCs w:val="18"/>
                <w:color w:val="0000FF"/>
                <w:w w:val="90"/>
              </w:rPr>
            </w:pPr>
            <w:hyperlink r:id="rId343">
              <w:r>
                <w:rPr>
                  <w:rFonts w:ascii="Arial" w:cs="Arial" w:eastAsia="Arial" w:hAnsi="Arial"/>
                  <w:sz w:val="18"/>
                  <w:szCs w:val="18"/>
                  <w:color w:val="0000FF"/>
                  <w:w w:val="90"/>
                </w:rPr>
                <w:t>Form of Participation Agreement under the Rani Therapeutics Holdings, Inc. Severance and Change in Control Plan (incorporated by</w:t>
              </w:r>
            </w:hyperlink>
          </w:p>
        </w:tc>
        <w:tc>
          <w:tcPr>
            <w:tcW w:w="46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36"/>
          </w:tcPr>
          <w:p>
            <w:pPr>
              <w:spacing w:after="0" w:line="196" w:lineRule="exact"/>
              <w:rPr>
                <w:rFonts w:ascii="Arial" w:cs="Arial" w:eastAsia="Arial" w:hAnsi="Arial"/>
                <w:sz w:val="18"/>
                <w:szCs w:val="18"/>
                <w:color w:val="0000FF"/>
              </w:rPr>
            </w:pPr>
            <w:hyperlink r:id="rId343">
              <w:r>
                <w:rPr>
                  <w:rFonts w:ascii="Arial" w:cs="Arial" w:eastAsia="Arial" w:hAnsi="Arial"/>
                  <w:sz w:val="18"/>
                  <w:szCs w:val="18"/>
                  <w:color w:val="0000FF"/>
                </w:rPr>
                <w:t>reference to Exhibit 10.9 to the Registrant’s Registration Statement on Form S-1, filed with the SEC on July 9, 2021).</w:t>
              </w:r>
            </w:hyperlink>
          </w:p>
        </w:tc>
        <w:tc>
          <w:tcPr>
            <w:tcW w:w="0" w:type="dxa"/>
            <w:vAlign w:val="bottom"/>
          </w:tcPr>
          <w:p>
            <w:pPr>
              <w:spacing w:after="0"/>
              <w:rPr>
                <w:sz w:val="1"/>
                <w:szCs w:val="1"/>
                <w:color w:val="auto"/>
              </w:rPr>
            </w:pPr>
          </w:p>
        </w:tc>
      </w:tr>
      <w:tr>
        <w:trPr>
          <w:trHeight w:val="790"/>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tcBorders>
              <w:top w:val="single" w:sz="8" w:color="0000FF"/>
            </w:tcBorders>
            <w:gridSpan w:val="17"/>
          </w:tcPr>
          <w:p>
            <w:pPr>
              <w:spacing w:after="0"/>
              <w:rPr>
                <w:sz w:val="24"/>
                <w:szCs w:val="24"/>
                <w:color w:val="auto"/>
              </w:rPr>
            </w:pPr>
          </w:p>
        </w:tc>
        <w:tc>
          <w:tcPr>
            <w:tcW w:w="1640" w:type="dxa"/>
            <w:vAlign w:val="bottom"/>
            <w:gridSpan w:val="19"/>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10.12+</w:t>
            </w:r>
          </w:p>
        </w:tc>
        <w:tc>
          <w:tcPr>
            <w:tcW w:w="10060" w:type="dxa"/>
            <w:vAlign w:val="bottom"/>
            <w:gridSpan w:val="28"/>
          </w:tcPr>
          <w:p>
            <w:pPr>
              <w:spacing w:after="0"/>
              <w:rPr>
                <w:rFonts w:ascii="Arial" w:cs="Arial" w:eastAsia="Arial" w:hAnsi="Arial"/>
                <w:sz w:val="18"/>
                <w:szCs w:val="18"/>
                <w:color w:val="0000FF"/>
                <w:w w:val="98"/>
              </w:rPr>
            </w:pPr>
            <w:hyperlink r:id="rId346">
              <w:r>
                <w:rPr>
                  <w:rFonts w:ascii="Arial" w:cs="Arial" w:eastAsia="Arial" w:hAnsi="Arial"/>
                  <w:sz w:val="18"/>
                  <w:szCs w:val="18"/>
                  <w:color w:val="0000FF"/>
                  <w:w w:val="98"/>
                </w:rPr>
                <w:t>Rani Therapeutics Holdings, Inc. Non-Employee Director Compensation Policy (incorporated by reference to Exhibit 10.11 to the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46">
              <w:r>
                <w:rPr>
                  <w:rFonts w:ascii="Arial" w:cs="Arial" w:eastAsia="Arial" w:hAnsi="Arial"/>
                  <w:sz w:val="18"/>
                  <w:szCs w:val="18"/>
                  <w:color w:val="0000FF"/>
                </w:rPr>
                <w:t>Registrant’s Registration Statement on Form S-1, as amended, filed with the SEC on July 16,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10.13+</w:t>
            </w:r>
          </w:p>
        </w:tc>
        <w:tc>
          <w:tcPr>
            <w:tcW w:w="10060" w:type="dxa"/>
            <w:vAlign w:val="bottom"/>
            <w:gridSpan w:val="28"/>
          </w:tcPr>
          <w:p>
            <w:pPr>
              <w:spacing w:after="0"/>
              <w:rPr>
                <w:rFonts w:ascii="Arial" w:cs="Arial" w:eastAsia="Arial" w:hAnsi="Arial"/>
                <w:sz w:val="18"/>
                <w:szCs w:val="18"/>
                <w:color w:val="0000FF"/>
                <w:w w:val="91"/>
              </w:rPr>
            </w:pPr>
            <w:hyperlink r:id="rId347">
              <w:r>
                <w:rPr>
                  <w:rFonts w:ascii="Arial" w:cs="Arial" w:eastAsia="Arial" w:hAnsi="Arial"/>
                  <w:sz w:val="18"/>
                  <w:szCs w:val="18"/>
                  <w:color w:val="0000FF"/>
                  <w:w w:val="91"/>
                </w:rPr>
                <w:t>Service Agreement, by and between Rani Therapeutics, LLC and InCube Labs, LLC, dated January 1, 2021 (incorporated by reference to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47">
              <w:r>
                <w:rPr>
                  <w:rFonts w:ascii="Arial" w:cs="Arial" w:eastAsia="Arial" w:hAnsi="Arial"/>
                  <w:sz w:val="18"/>
                  <w:szCs w:val="18"/>
                  <w:color w:val="0000FF"/>
                </w:rPr>
                <w:t>Exhibit 10.15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10.14+</w:t>
            </w:r>
          </w:p>
        </w:tc>
        <w:tc>
          <w:tcPr>
            <w:tcW w:w="10060" w:type="dxa"/>
            <w:vAlign w:val="bottom"/>
            <w:gridSpan w:val="28"/>
          </w:tcPr>
          <w:p>
            <w:pPr>
              <w:spacing w:after="0"/>
              <w:rPr>
                <w:rFonts w:ascii="Arial" w:cs="Arial" w:eastAsia="Arial" w:hAnsi="Arial"/>
                <w:sz w:val="18"/>
                <w:szCs w:val="18"/>
                <w:color w:val="0000FF"/>
                <w:w w:val="97"/>
              </w:rPr>
            </w:pPr>
            <w:hyperlink r:id="rId348">
              <w:r>
                <w:rPr>
                  <w:rFonts w:ascii="Arial" w:cs="Arial" w:eastAsia="Arial" w:hAnsi="Arial"/>
                  <w:sz w:val="18"/>
                  <w:szCs w:val="18"/>
                  <w:color w:val="0000FF"/>
                  <w:w w:val="97"/>
                </w:rPr>
                <w:t>Amendment No. 1 to Service Agreement, dated March 21, 2022, by and between Rani Therapeutics, LLC and InCube Labs, LLC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2"/>
              </w:rPr>
            </w:pPr>
            <w:hyperlink r:id="rId348">
              <w:r>
                <w:rPr>
                  <w:rFonts w:ascii="Arial" w:cs="Arial" w:eastAsia="Arial" w:hAnsi="Arial"/>
                  <w:sz w:val="18"/>
                  <w:szCs w:val="18"/>
                  <w:color w:val="0000FF"/>
                  <w:w w:val="92"/>
                </w:rPr>
                <w:t>(incorporated by reference to Exhibit 10.14 to the Registrant’s Quarterly Report on Form 10-Q for the quarter ended June 30, 2022, filed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48">
              <w:r>
                <w:rPr>
                  <w:rFonts w:ascii="Arial" w:cs="Arial" w:eastAsia="Arial" w:hAnsi="Arial"/>
                  <w:sz w:val="18"/>
                  <w:szCs w:val="18"/>
                  <w:color w:val="0000FF"/>
                </w:rPr>
                <w:t>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10060" w:type="dxa"/>
            <w:vAlign w:val="bottom"/>
            <w:gridSpan w:val="28"/>
          </w:tcPr>
          <w:p>
            <w:pPr>
              <w:spacing w:after="0"/>
              <w:rPr>
                <w:rFonts w:ascii="Arial" w:cs="Arial" w:eastAsia="Arial" w:hAnsi="Arial"/>
                <w:sz w:val="18"/>
                <w:szCs w:val="18"/>
                <w:color w:val="0000FF"/>
                <w:w w:val="94"/>
              </w:rPr>
            </w:pPr>
            <w:hyperlink r:id="rId349">
              <w:r>
                <w:rPr>
                  <w:rFonts w:ascii="Arial" w:cs="Arial" w:eastAsia="Arial" w:hAnsi="Arial"/>
                  <w:sz w:val="18"/>
                  <w:szCs w:val="18"/>
                  <w:color w:val="0000FF"/>
                  <w:w w:val="94"/>
                </w:rPr>
                <w:t>Service Agreement, by and between Rani Management Services, Inc. and InCube Labs, LLC, dated January 1, 2021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5"/>
              </w:rPr>
            </w:pPr>
            <w:hyperlink r:id="rId349">
              <w:r>
                <w:rPr>
                  <w:rFonts w:ascii="Arial" w:cs="Arial" w:eastAsia="Arial" w:hAnsi="Arial"/>
                  <w:sz w:val="18"/>
                  <w:szCs w:val="18"/>
                  <w:color w:val="0000FF"/>
                  <w:w w:val="95"/>
                </w:rPr>
                <w:t>reference to Exhibit 10.16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10.16+</w:t>
            </w:r>
          </w:p>
        </w:tc>
        <w:tc>
          <w:tcPr>
            <w:tcW w:w="10060" w:type="dxa"/>
            <w:vAlign w:val="bottom"/>
            <w:gridSpan w:val="28"/>
          </w:tcPr>
          <w:p>
            <w:pPr>
              <w:spacing w:after="0"/>
              <w:rPr>
                <w:rFonts w:ascii="Arial" w:cs="Arial" w:eastAsia="Arial" w:hAnsi="Arial"/>
                <w:sz w:val="18"/>
                <w:szCs w:val="18"/>
                <w:color w:val="0000FF"/>
                <w:w w:val="93"/>
              </w:rPr>
            </w:pPr>
            <w:hyperlink r:id="rId350">
              <w:r>
                <w:rPr>
                  <w:rFonts w:ascii="Arial" w:cs="Arial" w:eastAsia="Arial" w:hAnsi="Arial"/>
                  <w:sz w:val="18"/>
                  <w:szCs w:val="18"/>
                  <w:color w:val="0000FF"/>
                  <w:w w:val="93"/>
                </w:rPr>
                <w:t>Amended and Restated Exclusive License Agreement, by and between Rani Therapeutics, LLC and InCube Labs, LLC, dated June 22,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2"/>
              </w:rPr>
            </w:pPr>
            <w:hyperlink r:id="rId350">
              <w:r>
                <w:rPr>
                  <w:rFonts w:ascii="Arial" w:cs="Arial" w:eastAsia="Arial" w:hAnsi="Arial"/>
                  <w:sz w:val="18"/>
                  <w:szCs w:val="18"/>
                  <w:color w:val="0000FF"/>
                  <w:w w:val="92"/>
                </w:rPr>
                <w:t>2021 (incorporated by reference to Exhibit 10.17 to the Registrant’s Registration Statement on Form S-1, as amended, filed with the SEC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50">
              <w:r>
                <w:rPr>
                  <w:rFonts w:ascii="Arial" w:cs="Arial" w:eastAsia="Arial" w:hAnsi="Arial"/>
                  <w:sz w:val="18"/>
                  <w:szCs w:val="18"/>
                  <w:color w:val="0000FF"/>
                </w:rPr>
                <w:t>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10.17+</w:t>
            </w:r>
          </w:p>
        </w:tc>
        <w:tc>
          <w:tcPr>
            <w:tcW w:w="10060" w:type="dxa"/>
            <w:vAlign w:val="bottom"/>
            <w:gridSpan w:val="28"/>
          </w:tcPr>
          <w:p>
            <w:pPr>
              <w:spacing w:after="0"/>
              <w:rPr>
                <w:rFonts w:ascii="Arial" w:cs="Arial" w:eastAsia="Arial" w:hAnsi="Arial"/>
                <w:sz w:val="18"/>
                <w:szCs w:val="18"/>
                <w:color w:val="0000FF"/>
                <w:w w:val="91"/>
              </w:rPr>
            </w:pPr>
            <w:hyperlink r:id="rId351">
              <w:r>
                <w:rPr>
                  <w:rFonts w:ascii="Arial" w:cs="Arial" w:eastAsia="Arial" w:hAnsi="Arial"/>
                  <w:sz w:val="18"/>
                  <w:szCs w:val="18"/>
                  <w:color w:val="0000FF"/>
                  <w:w w:val="91"/>
                </w:rPr>
                <w:t>Non-Exclusive License Agreement, by and between Rani Therapeutics, LLC and InCube Labs, LLC, dated June 22, 2021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5"/>
              </w:rPr>
            </w:pPr>
            <w:hyperlink r:id="rId351">
              <w:r>
                <w:rPr>
                  <w:rFonts w:ascii="Arial" w:cs="Arial" w:eastAsia="Arial" w:hAnsi="Arial"/>
                  <w:sz w:val="18"/>
                  <w:szCs w:val="18"/>
                  <w:color w:val="0000FF"/>
                  <w:w w:val="95"/>
                </w:rPr>
                <w:t>reference to Exhibit 10.18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10060" w:type="dxa"/>
            <w:vAlign w:val="bottom"/>
            <w:gridSpan w:val="28"/>
          </w:tcPr>
          <w:p>
            <w:pPr>
              <w:spacing w:after="0"/>
              <w:rPr>
                <w:rFonts w:ascii="Arial" w:cs="Arial" w:eastAsia="Arial" w:hAnsi="Arial"/>
                <w:sz w:val="18"/>
                <w:szCs w:val="18"/>
                <w:color w:val="0000FF"/>
                <w:w w:val="97"/>
              </w:rPr>
            </w:pPr>
            <w:hyperlink r:id="rId352">
              <w:r>
                <w:rPr>
                  <w:rFonts w:ascii="Arial" w:cs="Arial" w:eastAsia="Arial" w:hAnsi="Arial"/>
                  <w:sz w:val="18"/>
                  <w:szCs w:val="18"/>
                  <w:color w:val="0000FF"/>
                  <w:w w:val="97"/>
                </w:rPr>
                <w:t>Intellectual Property Agreement, by and between Rani Therapeutics, LLC and Mir A. Imran, dated June 22, 2021 (incorporated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5"/>
              </w:rPr>
            </w:pPr>
            <w:hyperlink r:id="rId352">
              <w:r>
                <w:rPr>
                  <w:rFonts w:ascii="Arial" w:cs="Arial" w:eastAsia="Arial" w:hAnsi="Arial"/>
                  <w:sz w:val="18"/>
                  <w:szCs w:val="18"/>
                  <w:color w:val="0000FF"/>
                  <w:w w:val="95"/>
                </w:rPr>
                <w:t>reference to Exhibit 10.19 to the 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10.19+</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6"/>
              </w:rPr>
              <w:t>Amended and Restated Employment Agreement, dated August 31, 2022, by and between Rani Therapeutics, LLC and Talat Imran.</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10.20+</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6"/>
              </w:rPr>
              <w:t>Amended and Restated Employment Agreement, dated August 31, 2022, by and between Rani Therapeutics, LLC and Mir Hashim.</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10.21+</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4"/>
              </w:rPr>
              <w:t>Amended and Restated Employment Agreement, dated August 31, 2022, by and between Rani Therapeutics, LLC and Svai Sanford.</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10.22</w:t>
            </w:r>
          </w:p>
        </w:tc>
        <w:tc>
          <w:tcPr>
            <w:tcW w:w="10060" w:type="dxa"/>
            <w:vAlign w:val="bottom"/>
            <w:gridSpan w:val="28"/>
          </w:tcPr>
          <w:p>
            <w:pPr>
              <w:spacing w:after="0"/>
              <w:rPr>
                <w:rFonts w:ascii="Arial" w:cs="Arial" w:eastAsia="Arial" w:hAnsi="Arial"/>
                <w:sz w:val="18"/>
                <w:szCs w:val="18"/>
                <w:color w:val="0000FF"/>
                <w:w w:val="94"/>
              </w:rPr>
            </w:pPr>
            <w:hyperlink r:id="rId353">
              <w:r>
                <w:rPr>
                  <w:rFonts w:ascii="Arial" w:cs="Arial" w:eastAsia="Arial" w:hAnsi="Arial"/>
                  <w:sz w:val="18"/>
                  <w:szCs w:val="18"/>
                  <w:color w:val="0000FF"/>
                  <w:w w:val="94"/>
                </w:rPr>
                <w:t>Employment Agreement, dated April 12, 2022, by and between Rani Therapeutics, LLC and Eric Groen (incorporated by reference to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6"/>
              </w:rPr>
            </w:pPr>
            <w:hyperlink r:id="rId353">
              <w:r>
                <w:rPr>
                  <w:rFonts w:ascii="Arial" w:cs="Arial" w:eastAsia="Arial" w:hAnsi="Arial"/>
                  <w:sz w:val="18"/>
                  <w:szCs w:val="18"/>
                  <w:color w:val="0000FF"/>
                  <w:w w:val="96"/>
                </w:rPr>
                <w:t>Exhibit 10.2 to the Registrant’s Quarterly Report on form 10-Q for the quarter ended March 31, 2022, filed with the SEC on May 11,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FF"/>
                <w:w w:val="82"/>
              </w:rPr>
            </w:pPr>
            <w:hyperlink r:id="rId353">
              <w:r>
                <w:rPr>
                  <w:rFonts w:ascii="Arial" w:cs="Arial" w:eastAsia="Arial" w:hAnsi="Arial"/>
                  <w:sz w:val="18"/>
                  <w:szCs w:val="18"/>
                  <w:color w:val="0000FF"/>
                  <w:w w:val="82"/>
                </w:rPr>
                <w:t>2022).</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10.23</w:t>
            </w:r>
          </w:p>
        </w:tc>
        <w:tc>
          <w:tcPr>
            <w:tcW w:w="10060" w:type="dxa"/>
            <w:vAlign w:val="bottom"/>
            <w:gridSpan w:val="28"/>
          </w:tcPr>
          <w:p>
            <w:pPr>
              <w:spacing w:after="0"/>
              <w:rPr>
                <w:rFonts w:ascii="Arial" w:cs="Arial" w:eastAsia="Arial" w:hAnsi="Arial"/>
                <w:sz w:val="18"/>
                <w:szCs w:val="18"/>
                <w:color w:val="0000FF"/>
                <w:w w:val="94"/>
              </w:rPr>
            </w:pPr>
            <w:hyperlink r:id="rId354">
              <w:r>
                <w:rPr>
                  <w:rFonts w:ascii="Arial" w:cs="Arial" w:eastAsia="Arial" w:hAnsi="Arial"/>
                  <w:sz w:val="18"/>
                  <w:szCs w:val="18"/>
                  <w:color w:val="0000FF"/>
                  <w:w w:val="94"/>
                </w:rPr>
                <w:t>Loan and Security Agreement, dated August 8, 2022, by and among the Registrant, its subsidiaries Rani Therapeutics, LLC and Rani</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3"/>
              </w:rPr>
            </w:pPr>
            <w:hyperlink r:id="rId354">
              <w:r>
                <w:rPr>
                  <w:rFonts w:ascii="Arial" w:cs="Arial" w:eastAsia="Arial" w:hAnsi="Arial"/>
                  <w:sz w:val="18"/>
                  <w:szCs w:val="18"/>
                  <w:color w:val="0000FF"/>
                  <w:w w:val="93"/>
                </w:rPr>
                <w:t>Management Services, Inc., and Avenue Venture Opportunities Fund, L.P. (incorporated by reference to Exhibit 10.1 to the Registrant’s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54">
              <w:r>
                <w:rPr>
                  <w:rFonts w:ascii="Arial" w:cs="Arial" w:eastAsia="Arial" w:hAnsi="Arial"/>
                  <w:sz w:val="18"/>
                  <w:szCs w:val="18"/>
                  <w:color w:val="0000FF"/>
                </w:rPr>
                <w:t>Quarterly 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10060" w:type="dxa"/>
            <w:vAlign w:val="bottom"/>
            <w:gridSpan w:val="28"/>
          </w:tcPr>
          <w:p>
            <w:pPr>
              <w:spacing w:after="0"/>
              <w:rPr>
                <w:rFonts w:ascii="Arial" w:cs="Arial" w:eastAsia="Arial" w:hAnsi="Arial"/>
                <w:sz w:val="18"/>
                <w:szCs w:val="18"/>
                <w:color w:val="0000FF"/>
                <w:w w:val="91"/>
              </w:rPr>
            </w:pPr>
            <w:hyperlink r:id="rId355">
              <w:r>
                <w:rPr>
                  <w:rFonts w:ascii="Arial" w:cs="Arial" w:eastAsia="Arial" w:hAnsi="Arial"/>
                  <w:sz w:val="18"/>
                  <w:szCs w:val="18"/>
                  <w:color w:val="0000FF"/>
                  <w:w w:val="91"/>
                </w:rPr>
                <w:t>Supplement to the Loan and Security Agreement, dated August 8, 2022, by and among the Registrant, its subsidiaries Rani Therapeutics,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1"/>
              </w:rPr>
            </w:pPr>
            <w:hyperlink r:id="rId355">
              <w:r>
                <w:rPr>
                  <w:rFonts w:ascii="Arial" w:cs="Arial" w:eastAsia="Arial" w:hAnsi="Arial"/>
                  <w:sz w:val="18"/>
                  <w:szCs w:val="18"/>
                  <w:color w:val="0000FF"/>
                  <w:w w:val="91"/>
                </w:rPr>
                <w:t>LLC and Rani Management Services, Inc., and Avenue Venture Opportunities Fund, L.P. (incorporated by reference to Exhibit 10.2 to the</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55">
              <w:r>
                <w:rPr>
                  <w:rFonts w:ascii="Arial" w:cs="Arial" w:eastAsia="Arial" w:hAnsi="Arial"/>
                  <w:sz w:val="18"/>
                  <w:szCs w:val="18"/>
                  <w:color w:val="0000FF"/>
                </w:rPr>
                <w:t>Registrant’s Quarterly Report on form 10-Q for the quarter ended June 30, 2022, filed with 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10.25</w:t>
            </w:r>
          </w:p>
        </w:tc>
        <w:tc>
          <w:tcPr>
            <w:tcW w:w="10060" w:type="dxa"/>
            <w:vAlign w:val="bottom"/>
            <w:gridSpan w:val="28"/>
          </w:tcPr>
          <w:p>
            <w:pPr>
              <w:spacing w:after="0"/>
              <w:rPr>
                <w:rFonts w:ascii="Arial" w:cs="Arial" w:eastAsia="Arial" w:hAnsi="Arial"/>
                <w:sz w:val="18"/>
                <w:szCs w:val="18"/>
                <w:color w:val="0000FF"/>
                <w:w w:val="98"/>
              </w:rPr>
            </w:pPr>
            <w:hyperlink r:id="rId356">
              <w:r>
                <w:rPr>
                  <w:rFonts w:ascii="Arial" w:cs="Arial" w:eastAsia="Arial" w:hAnsi="Arial"/>
                  <w:sz w:val="18"/>
                  <w:szCs w:val="18"/>
                  <w:color w:val="0000FF"/>
                  <w:w w:val="98"/>
                </w:rPr>
                <w:t>Form of Warrant to purchase shares of Class A common stock of Registrant, issued to Avenue Venture Opportunities Fund, L.P.</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1"/>
              </w:rPr>
            </w:pPr>
            <w:hyperlink r:id="rId356">
              <w:r>
                <w:rPr>
                  <w:rFonts w:ascii="Arial" w:cs="Arial" w:eastAsia="Arial" w:hAnsi="Arial"/>
                  <w:sz w:val="18"/>
                  <w:szCs w:val="18"/>
                  <w:color w:val="0000FF"/>
                  <w:w w:val="91"/>
                </w:rPr>
                <w:t>(incorporated by reference to Exhibit 10.3 to the Registrant’s Quarterly Report on form 10-Q for the quarter ended June 30, 2022, filed with</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56">
              <w:r>
                <w:rPr>
                  <w:rFonts w:ascii="Arial" w:cs="Arial" w:eastAsia="Arial" w:hAnsi="Arial"/>
                  <w:sz w:val="18"/>
                  <w:szCs w:val="18"/>
                  <w:color w:val="0000FF"/>
                </w:rPr>
                <w:t>the SEC on August 10,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10.26</w:t>
            </w:r>
          </w:p>
        </w:tc>
        <w:tc>
          <w:tcPr>
            <w:tcW w:w="1280" w:type="dxa"/>
            <w:vAlign w:val="bottom"/>
            <w:gridSpan w:val="3"/>
            <w:vMerge w:val="restart"/>
          </w:tcPr>
          <w:p>
            <w:pPr>
              <w:spacing w:after="0"/>
              <w:rPr>
                <w:rFonts w:ascii="Arial" w:cs="Arial" w:eastAsia="Arial" w:hAnsi="Arial"/>
                <w:sz w:val="18"/>
                <w:szCs w:val="18"/>
                <w:color w:val="0000FF"/>
                <w:w w:val="90"/>
              </w:rPr>
            </w:pPr>
            <w:hyperlink r:id="rId357">
              <w:r>
                <w:rPr>
                  <w:rFonts w:ascii="Arial" w:cs="Arial" w:eastAsia="Arial" w:hAnsi="Arial"/>
                  <w:sz w:val="18"/>
                  <w:szCs w:val="18"/>
                  <w:color w:val="0000FF"/>
                  <w:w w:val="90"/>
                </w:rPr>
                <w:t>Controlled Equity</w:t>
              </w:r>
            </w:hyperlink>
          </w:p>
        </w:tc>
        <w:tc>
          <w:tcPr>
            <w:tcW w:w="160" w:type="dxa"/>
            <w:vAlign w:val="bottom"/>
            <w:tcBorders>
              <w:bottom w:val="single" w:sz="8" w:color="0000FF"/>
            </w:tcBorders>
          </w:tcPr>
          <w:p>
            <w:pPr>
              <w:spacing w:after="0" w:line="129" w:lineRule="exact"/>
              <w:rPr>
                <w:rFonts w:ascii="Arial" w:cs="Arial" w:eastAsia="Arial" w:hAnsi="Arial"/>
                <w:sz w:val="12"/>
                <w:szCs w:val="12"/>
                <w:color w:val="0000FF"/>
                <w:w w:val="77"/>
              </w:rPr>
            </w:pPr>
            <w:hyperlink r:id="rId357">
              <w:r>
                <w:rPr>
                  <w:rFonts w:ascii="Arial" w:cs="Arial" w:eastAsia="Arial" w:hAnsi="Arial"/>
                  <w:sz w:val="12"/>
                  <w:szCs w:val="12"/>
                  <w:color w:val="0000FF"/>
                  <w:w w:val="77"/>
                </w:rPr>
                <w:t>SM</w:t>
              </w:r>
            </w:hyperlink>
          </w:p>
        </w:tc>
        <w:tc>
          <w:tcPr>
            <w:tcW w:w="8620" w:type="dxa"/>
            <w:vAlign w:val="bottom"/>
            <w:gridSpan w:val="24"/>
            <w:vMerge w:val="restart"/>
          </w:tcPr>
          <w:p>
            <w:pPr>
              <w:jc w:val="right"/>
              <w:ind w:right="240"/>
              <w:spacing w:after="0"/>
              <w:rPr>
                <w:rFonts w:ascii="Arial" w:cs="Arial" w:eastAsia="Arial" w:hAnsi="Arial"/>
                <w:sz w:val="18"/>
                <w:szCs w:val="18"/>
                <w:color w:val="0000FF"/>
                <w:w w:val="91"/>
              </w:rPr>
            </w:pPr>
            <w:hyperlink r:id="rId357">
              <w:r>
                <w:rPr>
                  <w:rFonts w:ascii="Arial" w:cs="Arial" w:eastAsia="Arial" w:hAnsi="Arial"/>
                  <w:sz w:val="18"/>
                  <w:szCs w:val="18"/>
                  <w:color w:val="0000FF"/>
                  <w:w w:val="91"/>
                </w:rPr>
                <w:t>Sales Agreement, dated August 24, 2022, by and among Rani Therapeutics Holdings, Inc., and Cantor Fitzgerald &amp;</w:t>
              </w:r>
            </w:hyperlink>
          </w:p>
        </w:tc>
        <w:tc>
          <w:tcPr>
            <w:tcW w:w="0" w:type="dxa"/>
            <w:vAlign w:val="bottom"/>
          </w:tcPr>
          <w:p>
            <w:pPr>
              <w:spacing w:after="0"/>
              <w:rPr>
                <w:sz w:val="1"/>
                <w:szCs w:val="1"/>
                <w:color w:val="auto"/>
              </w:rPr>
            </w:pPr>
          </w:p>
        </w:tc>
      </w:tr>
      <w:tr>
        <w:trPr>
          <w:trHeight w:val="61"/>
        </w:trPr>
        <w:tc>
          <w:tcPr>
            <w:tcW w:w="118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62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w w:val="93"/>
              </w:rPr>
            </w:pPr>
            <w:hyperlink r:id="rId357">
              <w:r>
                <w:rPr>
                  <w:rFonts w:ascii="Arial" w:cs="Arial" w:eastAsia="Arial" w:hAnsi="Arial"/>
                  <w:sz w:val="18"/>
                  <w:szCs w:val="18"/>
                  <w:color w:val="0000FF"/>
                  <w:w w:val="93"/>
                </w:rPr>
                <w:t>Co. and H.C. Wainwright &amp; Co., LLC (incorporated by reference to Exhibit 1.1 to the Registrant’s Current Report on Form 8-K filed with</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rFonts w:ascii="Arial" w:cs="Arial" w:eastAsia="Arial" w:hAnsi="Arial"/>
                <w:sz w:val="18"/>
                <w:szCs w:val="18"/>
                <w:color w:val="0000FF"/>
              </w:rPr>
            </w:pPr>
            <w:hyperlink r:id="rId357">
              <w:r>
                <w:rPr>
                  <w:rFonts w:ascii="Arial" w:cs="Arial" w:eastAsia="Arial" w:hAnsi="Arial"/>
                  <w:sz w:val="18"/>
                  <w:szCs w:val="18"/>
                  <w:color w:val="0000FF"/>
                </w:rPr>
                <w:t>the SEC on August 25,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gridSpan w:val="5"/>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10.27*x</w:t>
            </w:r>
          </w:p>
        </w:tc>
        <w:tc>
          <w:tcPr>
            <w:tcW w:w="10060" w:type="dxa"/>
            <w:vAlign w:val="bottom"/>
            <w:gridSpan w:val="28"/>
          </w:tcPr>
          <w:p>
            <w:pPr>
              <w:spacing w:after="0"/>
              <w:rPr>
                <w:sz w:val="20"/>
                <w:szCs w:val="20"/>
                <w:color w:val="auto"/>
              </w:rPr>
            </w:pPr>
            <w:r>
              <w:rPr>
                <w:rFonts w:ascii="Arial" w:cs="Arial" w:eastAsia="Arial" w:hAnsi="Arial"/>
                <w:sz w:val="18"/>
                <w:szCs w:val="18"/>
                <w:color w:val="0000FF"/>
              </w:rPr>
              <w:t>License and Supply Agreement by and between Rani Therapeutics, LLC and Celltrion, Inc. dated January 6, 2023.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lef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21.1*</w:t>
            </w:r>
          </w:p>
        </w:tc>
        <w:tc>
          <w:tcPr>
            <w:tcW w:w="10060" w:type="dxa"/>
            <w:vAlign w:val="bottom"/>
            <w:gridSpan w:val="28"/>
          </w:tcPr>
          <w:p>
            <w:pPr>
              <w:spacing w:after="0"/>
              <w:rPr>
                <w:sz w:val="20"/>
                <w:szCs w:val="20"/>
                <w:color w:val="auto"/>
              </w:rPr>
            </w:pPr>
            <w:r>
              <w:rPr>
                <w:rFonts w:ascii="Arial" w:cs="Arial" w:eastAsia="Arial" w:hAnsi="Arial"/>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10060" w:type="dxa"/>
            <w:vAlign w:val="bottom"/>
            <w:gridSpan w:val="28"/>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24.1*</w:t>
            </w:r>
          </w:p>
        </w:tc>
        <w:tc>
          <w:tcPr>
            <w:tcW w:w="10060" w:type="dxa"/>
            <w:vAlign w:val="bottom"/>
            <w:gridSpan w:val="28"/>
          </w:tcPr>
          <w:p>
            <w:pPr>
              <w:spacing w:after="0"/>
              <w:rPr>
                <w:sz w:val="20"/>
                <w:szCs w:val="20"/>
                <w:color w:val="auto"/>
              </w:rPr>
            </w:pPr>
            <w:r>
              <w:rPr>
                <w:rFonts w:ascii="Arial" w:cs="Arial" w:eastAsia="Arial" w:hAnsi="Arial"/>
                <w:sz w:val="18"/>
                <w:szCs w:val="18"/>
                <w:color w:val="0000FF"/>
              </w:rPr>
              <w:t>Power of Attorney. Reference is made to the signature page hereto.</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620" w:type="dxa"/>
            <w:vAlign w:val="bottom"/>
            <w:gridSpan w:val="11"/>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62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6140" w:type="dxa"/>
            <w:vAlign w:val="bottom"/>
            <w:gridSpan w:val="1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4820" w:type="dxa"/>
            <w:vAlign w:val="bottom"/>
            <w:gridSpan w:val="1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10060" w:type="dxa"/>
            <w:vAlign w:val="bottom"/>
            <w:gridSpan w:val="28"/>
          </w:tcPr>
          <w:p>
            <w:pPr>
              <w:spacing w:after="0"/>
              <w:rPr>
                <w:sz w:val="20"/>
                <w:szCs w:val="20"/>
                <w:color w:val="auto"/>
              </w:rPr>
            </w:pPr>
            <w:r>
              <w:rPr>
                <w:rFonts w:ascii="Arial" w:cs="Arial" w:eastAsia="Arial" w:hAnsi="Arial"/>
                <w:sz w:val="18"/>
                <w:szCs w:val="18"/>
                <w:color w:val="0000FF"/>
                <w:w w:val="94"/>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6340" w:type="dxa"/>
            <w:vAlign w:val="bottom"/>
            <w:gridSpan w:val="16"/>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28"/>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10060" w:type="dxa"/>
            <w:vAlign w:val="bottom"/>
            <w:gridSpan w:val="2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060" w:type="dxa"/>
            <w:vAlign w:val="bottom"/>
            <w:gridSpan w:val="28"/>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1006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101.CAL</w:t>
            </w:r>
          </w:p>
        </w:tc>
        <w:tc>
          <w:tcPr>
            <w:tcW w:w="1006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101.DEF</w:t>
            </w:r>
          </w:p>
        </w:tc>
        <w:tc>
          <w:tcPr>
            <w:tcW w:w="1006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1006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4"/>
                <w:szCs w:val="24"/>
                <w:color w:val="auto"/>
              </w:rPr>
            </w:pPr>
          </w:p>
        </w:tc>
        <w:tc>
          <w:tcPr>
            <w:tcW w:w="10060" w:type="dxa"/>
            <w:vAlign w:val="bottom"/>
            <w:gridSpan w:val="28"/>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ind w:left="20"/>
        <w:spacing w:after="0"/>
        <w:tabs>
          <w:tab w:leader="none" w:pos="114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36" w:lineRule="exact"/>
        <w:rPr>
          <w:sz w:val="20"/>
          <w:szCs w:val="20"/>
          <w:color w:val="auto"/>
        </w:rPr>
      </w:pPr>
    </w:p>
    <w:p>
      <w:pPr>
        <w:ind w:right="4300" w:firstLine="21"/>
        <w:spacing w:after="0" w:line="391" w:lineRule="auto"/>
        <w:tabs>
          <w:tab w:leader="none" w:pos="11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9512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right="20" w:firstLine="8"/>
        <w:spacing w:after="0" w:line="250" w:lineRule="auto"/>
        <w:tabs>
          <w:tab w:leader="none" w:pos="1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9" w:lineRule="exact"/>
        <w:rPr>
          <w:rFonts w:ascii="Arial" w:cs="Arial" w:eastAsia="Arial" w:hAnsi="Arial"/>
          <w:sz w:val="18"/>
          <w:szCs w:val="18"/>
          <w:color w:val="auto"/>
        </w:rPr>
      </w:pPr>
    </w:p>
    <w:p>
      <w:pPr>
        <w:ind w:right="120"/>
        <w:spacing w:after="0" w:line="260" w:lineRule="auto"/>
        <w:rPr>
          <w:rFonts w:ascii="Arial" w:cs="Arial" w:eastAsia="Arial" w:hAnsi="Arial"/>
          <w:sz w:val="18"/>
          <w:szCs w:val="18"/>
          <w:color w:val="auto"/>
        </w:rPr>
      </w:pPr>
      <w:r>
        <w:rPr>
          <w:rFonts w:ascii="Arial" w:cs="Arial" w:eastAsia="Arial" w:hAnsi="Arial"/>
          <w:sz w:val="18"/>
          <w:szCs w:val="18"/>
          <w:color w:val="auto"/>
        </w:rPr>
        <w:t>x Portions of this exhibit have been omitted as the Registrant has determined that (i) the omitted information is not material and (ii) the omitted material is of the type that the Registrant treats as private or 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10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Rani Therapeutics Holdings, Inc.</w:t>
      </w:r>
    </w:p>
    <w:p>
      <w:pPr>
        <w:spacing w:after="0" w:line="252" w:lineRule="exact"/>
        <w:rPr>
          <w:sz w:val="20"/>
          <w:szCs w:val="20"/>
          <w:color w:val="auto"/>
        </w:rPr>
      </w:pPr>
    </w:p>
    <w:p>
      <w:pPr>
        <w:ind w:left="20"/>
        <w:spacing w:after="0"/>
        <w:tabs>
          <w:tab w:leader="none" w:pos="5660" w:val="left"/>
          <w:tab w:leader="none" w:pos="8120" w:val="left"/>
        </w:tabs>
        <w:rPr>
          <w:sz w:val="20"/>
          <w:szCs w:val="20"/>
          <w:color w:val="auto"/>
        </w:rPr>
      </w:pPr>
      <w:r>
        <w:rPr>
          <w:rFonts w:ascii="Arial" w:cs="Arial" w:eastAsia="Arial" w:hAnsi="Arial"/>
          <w:sz w:val="18"/>
          <w:szCs w:val="18"/>
          <w:color w:val="auto"/>
        </w:rPr>
        <w:t>Date: March 22,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58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Talat Imran</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right="100" w:firstLine="101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15" w:lineRule="exact"/>
        <w:rPr>
          <w:sz w:val="20"/>
          <w:szCs w:val="20"/>
          <w:color w:val="auto"/>
        </w:rPr>
      </w:pPr>
    </w:p>
    <w:p>
      <w:pPr>
        <w:ind w:right="580" w:firstLine="10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380" w:type="dxa"/>
            <w:vAlign w:val="bottom"/>
          </w:tcPr>
          <w:p>
            <w:pPr>
              <w:jc w:val="center"/>
              <w:spacing w:after="0"/>
              <w:rPr>
                <w:sz w:val="20"/>
                <w:szCs w:val="20"/>
                <w:color w:val="auto"/>
              </w:rPr>
            </w:pPr>
            <w:r>
              <w:rPr>
                <w:rFonts w:ascii="Arial" w:cs="Arial" w:eastAsia="Arial" w:hAnsi="Arial"/>
                <w:sz w:val="18"/>
                <w:szCs w:val="18"/>
                <w:color w:val="auto"/>
                <w:w w:val="90"/>
              </w:rPr>
              <w:t>/s/ Talat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Talat Imran</w:t>
            </w:r>
          </w:p>
        </w:tc>
        <w:tc>
          <w:tcPr>
            <w:tcW w:w="1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1"/>
              </w:rPr>
              <w:t>/s/ Svai Sanford</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Svai Sanford</w:t>
            </w:r>
          </w:p>
        </w:tc>
        <w:tc>
          <w:tcPr>
            <w:tcW w:w="1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5"/>
              </w:rPr>
              <w:t>/s/ Mir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7"/>
              </w:rPr>
              <w:t>Mir Imran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3"/>
              </w:rPr>
              <w:t>/s/ Dennis Ausiello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3"/>
              </w:rPr>
              <w:t>Dennis Ausiello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2"/>
              </w:rPr>
              <w:t>/s/ Lyn Baranowski</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Lyn Baranowski</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1"/>
              </w:rPr>
              <w:t>/s/ Jean-Luc Butel</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Jean-Luc Butel</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0"/>
              </w:rPr>
              <w:t>/s/ Laureen DeBuono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Laureen DeBuono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0"/>
              </w:rPr>
              <w:t>/s/ Andrew Farquharson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0"/>
              </w:rPr>
              <w:t>Andrew Farquharson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4"/>
              </w:rPr>
              <w:t>/s/ Maulik Nanavaty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4"/>
              </w:rPr>
              <w:t>Maulik Nanavaty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3380" w:type="dxa"/>
            <w:vAlign w:val="bottom"/>
          </w:tcPr>
          <w:p>
            <w:pPr>
              <w:jc w:val="center"/>
              <w:spacing w:after="0"/>
              <w:rPr>
                <w:sz w:val="20"/>
                <w:szCs w:val="20"/>
                <w:color w:val="auto"/>
              </w:rPr>
            </w:pPr>
            <w:r>
              <w:rPr>
                <w:rFonts w:ascii="Arial" w:cs="Arial" w:eastAsia="Arial" w:hAnsi="Arial"/>
                <w:sz w:val="18"/>
                <w:szCs w:val="18"/>
                <w:color w:val="auto"/>
                <w:w w:val="92"/>
              </w:rPr>
              <w:t>/s/ Lisa Rometty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March 22, 2023</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3"/>
              </w:rPr>
              <w:t>Lisa Rometty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08685" cy="4629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9086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Amended and Restated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Talat:</w:t>
      </w:r>
    </w:p>
    <w:p>
      <w:pPr>
        <w:spacing w:after="0" w:line="221"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 xml:space="preserve">You are currently employed by </w:t>
      </w:r>
      <w:r>
        <w:rPr>
          <w:rFonts w:ascii="Arial" w:cs="Arial" w:eastAsia="Arial" w:hAnsi="Arial"/>
          <w:sz w:val="18"/>
          <w:szCs w:val="18"/>
          <w:b w:val="1"/>
          <w:bCs w:val="1"/>
          <w:color w:val="auto"/>
        </w:rPr>
        <w:t>R</w:t>
      </w:r>
      <w:r>
        <w:rPr>
          <w:rFonts w:ascii="Arial" w:cs="Arial" w:eastAsia="Arial" w:hAnsi="Arial"/>
          <w:sz w:val="13"/>
          <w:szCs w:val="13"/>
          <w:b w:val="1"/>
          <w:bCs w:val="1"/>
          <w:color w:val="auto"/>
        </w:rPr>
        <w:t>ANI</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3"/>
          <w:szCs w:val="13"/>
          <w:b w:val="1"/>
          <w:bCs w:val="1"/>
          <w:color w:val="auto"/>
        </w:rPr>
        <w:t>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3"/>
          <w:szCs w:val="13"/>
          <w:b w:val="1"/>
          <w:bCs w:val="1"/>
          <w:color w:val="auto"/>
        </w:rPr>
        <w:t>ERVICES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xml:space="preserve">”) under the terms of an employment agreement between you and </w:t>
      </w:r>
      <w:r>
        <w:rPr>
          <w:rFonts w:ascii="Arial" w:cs="Arial" w:eastAsia="Arial" w:hAnsi="Arial"/>
          <w:sz w:val="18"/>
          <w:szCs w:val="18"/>
          <w:b w:val="1"/>
          <w:bCs w:val="1"/>
          <w:color w:val="auto"/>
        </w:rPr>
        <w:t>RMS</w:t>
      </w:r>
      <w:r>
        <w:rPr>
          <w:rFonts w:ascii="Arial" w:cs="Arial" w:eastAsia="Arial" w:hAnsi="Arial"/>
          <w:sz w:val="18"/>
          <w:szCs w:val="18"/>
          <w:color w:val="auto"/>
        </w:rPr>
        <w:t xml:space="preserve"> dated June 17, 2021 (the “ </w:t>
      </w:r>
      <w:r>
        <w:rPr>
          <w:rFonts w:ascii="Arial" w:cs="Arial" w:eastAsia="Arial" w:hAnsi="Arial"/>
          <w:sz w:val="18"/>
          <w:szCs w:val="18"/>
          <w:b w:val="1"/>
          <w:bCs w:val="1"/>
          <w:color w:val="auto"/>
        </w:rPr>
        <w:t>RMS Agreement</w:t>
      </w:r>
      <w:r>
        <w:rPr>
          <w:rFonts w:ascii="Arial" w:cs="Arial" w:eastAsia="Arial" w:hAnsi="Arial"/>
          <w:sz w:val="18"/>
          <w:szCs w:val="18"/>
          <w:color w:val="auto"/>
        </w:rPr>
        <w:t>”). Your employment is being transitioned from RMS to Rani Therapeutics, LLC (the “Company”) effective as of September 1, 2022 (the “</w:t>
      </w:r>
      <w:r>
        <w:rPr>
          <w:rFonts w:ascii="Arial" w:cs="Arial" w:eastAsia="Arial" w:hAnsi="Arial"/>
          <w:sz w:val="18"/>
          <w:szCs w:val="18"/>
          <w:b w:val="1"/>
          <w:bCs w:val="1"/>
          <w:i w:val="1"/>
          <w:iCs w:val="1"/>
          <w:color w:val="auto"/>
        </w:rPr>
        <w:t>Transition Date</w:t>
      </w:r>
      <w:r>
        <w:rPr>
          <w:rFonts w:ascii="Arial" w:cs="Arial" w:eastAsia="Arial" w:hAnsi="Arial"/>
          <w:sz w:val="18"/>
          <w:szCs w:val="18"/>
          <w:color w:val="auto"/>
        </w:rPr>
        <w:t>”). Once you accept 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signing and returning it to the Company, this Agreement shall supersede and replace the RMS agreement in its entirety. This Agreement, together with the other documents and agreements referenced herein, shall then govern the terms of your employment with the Company.</w:t>
      </w:r>
    </w:p>
    <w:p>
      <w:pPr>
        <w:spacing w:after="0" w:line="143" w:lineRule="exact"/>
        <w:rPr>
          <w:sz w:val="20"/>
          <w:szCs w:val="20"/>
          <w:color w:val="auto"/>
        </w:rPr>
      </w:pPr>
    </w:p>
    <w:p>
      <w:pPr>
        <w:ind w:left="560" w:hanging="552"/>
        <w:spacing w:after="0"/>
        <w:tabs>
          <w:tab w:leader="none" w:pos="5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020" w:hanging="503"/>
        <w:spacing w:after="0"/>
        <w:tabs>
          <w:tab w:leader="none" w:pos="102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Executive Officer.</w:t>
      </w:r>
    </w:p>
    <w:p>
      <w:pPr>
        <w:spacing w:after="0" w:line="225" w:lineRule="exact"/>
        <w:rPr>
          <w:rFonts w:ascii="Arial" w:cs="Arial" w:eastAsia="Arial" w:hAnsi="Arial"/>
          <w:sz w:val="18"/>
          <w:szCs w:val="18"/>
          <w:b w:val="1"/>
          <w:bCs w:val="1"/>
          <w:color w:val="auto"/>
        </w:rPr>
      </w:pPr>
    </w:p>
    <w:p>
      <w:pPr>
        <w:ind w:right="40" w:firstLine="517"/>
        <w:spacing w:after="0" w:line="254" w:lineRule="auto"/>
        <w:tabs>
          <w:tab w:leader="none" w:pos="1008"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Executive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Board of Directors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w:t>
      </w:r>
    </w:p>
    <w:p>
      <w:pPr>
        <w:spacing w:after="0" w:line="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appropriate in light of the Company’s needs and interests from time to time.</w:t>
      </w:r>
    </w:p>
    <w:p>
      <w:pPr>
        <w:spacing w:after="0" w:line="206" w:lineRule="exact"/>
        <w:rPr>
          <w:rFonts w:ascii="Arial" w:cs="Arial" w:eastAsia="Arial" w:hAnsi="Arial"/>
          <w:sz w:val="18"/>
          <w:szCs w:val="18"/>
          <w:b w:val="1"/>
          <w:bCs w:val="1"/>
          <w:color w:val="auto"/>
        </w:rPr>
      </w:pPr>
    </w:p>
    <w:p>
      <w:pPr>
        <w:ind w:right="20" w:firstLine="517"/>
        <w:spacing w:after="0" w:line="254" w:lineRule="auto"/>
        <w:tabs>
          <w:tab w:leader="none" w:pos="1008"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w:t>
      </w:r>
      <w:r>
        <w:rPr>
          <w:rFonts w:ascii="Arial" w:cs="Arial" w:eastAsia="Arial" w:hAnsi="Arial"/>
          <w:sz w:val="18"/>
          <w:szCs w:val="18"/>
          <w:color w:val="auto"/>
        </w:rPr>
        <w:t>. Throughout your employment with the Company, you may engage in civic and not- for-profit activities so long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64" w:lineRule="exact"/>
        <w:rPr>
          <w:rFonts w:ascii="Arial" w:cs="Arial" w:eastAsia="Arial" w:hAnsi="Arial"/>
          <w:sz w:val="18"/>
          <w:szCs w:val="18"/>
          <w:b w:val="1"/>
          <w:bCs w:val="1"/>
          <w:color w:val="auto"/>
        </w:rPr>
      </w:pPr>
    </w:p>
    <w:p>
      <w:pPr>
        <w:ind w:left="560" w:hanging="552"/>
        <w:spacing w:after="0"/>
        <w:tabs>
          <w:tab w:leader="none" w:pos="5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517"/>
        <w:spacing w:after="0" w:line="314" w:lineRule="auto"/>
        <w:tabs>
          <w:tab w:leader="none" w:pos="1008"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You are currently receiving a base salary of $520,000 per year. Your base salary will be paid on the Company’s ordinary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41" w:lineRule="exact"/>
        <w:rPr>
          <w:rFonts w:ascii="Arial" w:cs="Arial" w:eastAsia="Arial" w:hAnsi="Arial"/>
          <w:sz w:val="16"/>
          <w:szCs w:val="16"/>
          <w:b w:val="1"/>
          <w:bCs w:val="1"/>
          <w:color w:val="auto"/>
        </w:rPr>
      </w:pPr>
    </w:p>
    <w:p>
      <w:pPr>
        <w:jc w:val="both"/>
        <w:ind w:right="20" w:firstLine="517"/>
        <w:spacing w:after="0" w:line="261" w:lineRule="auto"/>
        <w:tabs>
          <w:tab w:leader="none" w:pos="1008"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ind w:right="40" w:firstLine="517"/>
        <w:spacing w:after="0" w:line="347" w:lineRule="auto"/>
        <w:tabs>
          <w:tab w:leader="none" w:pos="1008"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 xml:space="preserve">Annual Bonus. </w:t>
      </w:r>
      <w:r>
        <w:rPr>
          <w:rFonts w:ascii="Arial" w:cs="Arial" w:eastAsia="Arial" w:hAnsi="Arial"/>
          <w:sz w:val="16"/>
          <w:szCs w:val="16"/>
          <w:color w:val="auto"/>
        </w:rPr>
        <w:t>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right="20" w:firstLine="517"/>
        <w:spacing w:after="0" w:line="271" w:lineRule="auto"/>
        <w:tabs>
          <w:tab w:leader="none" w:pos="100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Equity Compensation</w:t>
      </w:r>
      <w:r>
        <w:rPr>
          <w:rFonts w:ascii="Arial" w:cs="Arial" w:eastAsia="Arial" w:hAnsi="Arial"/>
          <w:sz w:val="17"/>
          <w:szCs w:val="17"/>
          <w:color w:val="auto"/>
        </w:rPr>
        <w:t>. During the term of your employment, you will be eligible to participate in the Rani Therapeutics Holdings,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or any successor plan, subject to the terms of the Plan or successor plan, as determined by the Board of Directors of Rani Therapeutics Holdings, Inc. or its Compensation Committee, in its discretion. You may have received equity awards from Rani Therapeutics, LLC, pursuant to the Rani Therapeutics Holdings, Inc., 2021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Your status as a “Servicer Provider” as defined in the Plan will not be changed or disrupted by your transition to becoming an at-will employee of Rani Therapeutics, LLC, as long as you have continually provided services to RMS prior to, through, and after the transition to Rani Therapeutics, LLC. This means that all terms and conditions of any agreement that you are a party to as related to Rani Therapeutics Holdings, Inc., under the Plan, including any vesting provisions, will remain in full force and effect as you transition to at-will employment at Rani Therapeutics, LLC, provided that your employment with RMS extends continuously up to the Transition Date and your employment with the Company begins on the Transition Date.</w:t>
      </w:r>
    </w:p>
    <w:p>
      <w:pPr>
        <w:spacing w:after="0" w:line="173" w:lineRule="exact"/>
        <w:rPr>
          <w:rFonts w:ascii="Arial" w:cs="Arial" w:eastAsia="Arial" w:hAnsi="Arial"/>
          <w:sz w:val="17"/>
          <w:szCs w:val="17"/>
          <w:b w:val="1"/>
          <w:bCs w:val="1"/>
          <w:color w:val="auto"/>
        </w:rPr>
      </w:pPr>
    </w:p>
    <w:p>
      <w:pPr>
        <w:jc w:val="both"/>
        <w:ind w:right="100" w:firstLine="517"/>
        <w:spacing w:after="0" w:line="261" w:lineRule="auto"/>
        <w:tabs>
          <w:tab w:leader="none" w:pos="100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other right to severance provided by any other agreements or promises made to you by anyone, whether oral or written, will be extinguished.</w:t>
      </w:r>
    </w:p>
    <w:p>
      <w:pPr>
        <w:spacing w:after="0" w:line="180" w:lineRule="exact"/>
        <w:rPr>
          <w:sz w:val="20"/>
          <w:szCs w:val="20"/>
          <w:color w:val="auto"/>
        </w:rPr>
      </w:pPr>
    </w:p>
    <w:p>
      <w:pPr>
        <w:ind w:right="280" w:firstLine="517"/>
        <w:spacing w:after="0" w:line="266" w:lineRule="auto"/>
        <w:tabs>
          <w:tab w:leader="none" w:pos="869"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right="100" w:firstLine="8"/>
        <w:spacing w:after="0" w:line="266" w:lineRule="auto"/>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color w:val="auto"/>
        </w:rPr>
        <w:t>. As a Company employee, you will be expected to continue to abide by Company rules and policies including those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policies regarding the protection of the Company’s confidential information. You are also required to execute the Company’s standard form of Confidentiality Agreement, to be provided to you.</w:t>
      </w:r>
    </w:p>
    <w:p>
      <w:pPr>
        <w:spacing w:after="0" w:line="175" w:lineRule="exact"/>
        <w:rPr>
          <w:rFonts w:ascii="Arial" w:cs="Arial" w:eastAsia="Arial" w:hAnsi="Arial"/>
          <w:sz w:val="18"/>
          <w:szCs w:val="18"/>
          <w:b w:val="1"/>
          <w:bCs w:val="1"/>
          <w:color w:val="auto"/>
        </w:rPr>
      </w:pPr>
    </w:p>
    <w:p>
      <w:pPr>
        <w:jc w:val="both"/>
        <w:ind w:right="80" w:firstLine="8"/>
        <w:spacing w:after="0" w:line="266" w:lineRule="auto"/>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w:t>
      </w:r>
      <w:r>
        <w:rPr>
          <w:rFonts w:ascii="Arial" w:cs="Arial" w:eastAsia="Arial" w:hAnsi="Arial"/>
          <w:sz w:val="18"/>
          <w:szCs w:val="18"/>
          <w:b w:val="1"/>
          <w:bCs w:val="1"/>
          <w:color w:val="auto"/>
        </w:rPr>
        <w:t>-W</w:t>
      </w:r>
      <w:r>
        <w:rPr>
          <w:rFonts w:ascii="Arial" w:cs="Arial" w:eastAsia="Arial" w:hAnsi="Arial"/>
          <w:sz w:val="12"/>
          <w:szCs w:val="12"/>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elationship</w:t>
      </w:r>
      <w:r>
        <w:rPr>
          <w:rFonts w:ascii="Arial" w:cs="Arial" w:eastAsia="Arial" w:hAnsi="Arial"/>
          <w:sz w:val="18"/>
          <w:szCs w:val="18"/>
          <w:color w:val="auto"/>
        </w:rPr>
        <w:t>. Your employment relationship with the Company is at 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right="220" w:firstLine="8"/>
        <w:spacing w:after="0" w:line="255" w:lineRule="auto"/>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ompliance</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w:t>
      </w:r>
      <w:r>
        <w:rPr>
          <w:rFonts w:ascii="Arial" w:cs="Arial" w:eastAsia="Arial" w:hAnsi="Arial"/>
          <w:sz w:val="18"/>
          <w:szCs w:val="18"/>
          <w:color w:val="auto"/>
        </w:rPr>
        <w:t>. It is intended that the benefits set forth in this Agreement satisfy, to the greatest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 the exemptions from the application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(Section 409A, together with any state law of similar effect,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provided under Treasury Regulations 1.409A-1(b)(4), 1.409A-1(b)(5) and 1.409A- 1(b)(9). With respect to reimbursements or in-kind benefits provided to you hereunder (or otherwise) that are not</w:t>
      </w:r>
    </w:p>
    <w:p>
      <w:pPr>
        <w:spacing w:after="0" w:line="2" w:lineRule="exact"/>
        <w:rPr>
          <w:rFonts w:ascii="Arial" w:cs="Arial" w:eastAsia="Arial" w:hAnsi="Arial"/>
          <w:sz w:val="18"/>
          <w:szCs w:val="18"/>
          <w:b w:val="1"/>
          <w:bCs w:val="1"/>
          <w:color w:val="auto"/>
        </w:rPr>
      </w:pPr>
    </w:p>
    <w:p>
      <w:pPr>
        <w:jc w:val="both"/>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57" w:lineRule="exact"/>
        <w:rPr>
          <w:rFonts w:ascii="Arial" w:cs="Arial" w:eastAsia="Arial" w:hAnsi="Arial"/>
          <w:sz w:val="18"/>
          <w:szCs w:val="18"/>
          <w:b w:val="1"/>
          <w:bCs w:val="1"/>
          <w:color w:val="auto"/>
        </w:rPr>
      </w:pPr>
    </w:p>
    <w:p>
      <w:pPr>
        <w:ind w:left="560" w:hanging="552"/>
        <w:spacing w:after="0"/>
        <w:tabs>
          <w:tab w:leader="none" w:pos="5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100" w:firstLine="517"/>
        <w:spacing w:after="0" w:line="266" w:lineRule="auto"/>
        <w:tabs>
          <w:tab w:leader="none" w:pos="965"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Agreement</w:t>
      </w:r>
      <w:r>
        <w:rPr>
          <w:rFonts w:ascii="Arial" w:cs="Arial" w:eastAsia="Arial" w:hAnsi="Arial"/>
          <w:sz w:val="18"/>
          <w:szCs w:val="18"/>
          <w:color w:val="auto"/>
        </w:rPr>
        <w:t>. To ensure the rapid and economical resolution of disputes that may arise in connection with your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and the Company agree that any and all disputes, claims, or causes of action, in law or equity, including but not limited to statutory claims, arising from or relating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47" w:name="page148"/>
    <w:bookmarkEnd w:id="14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xml:space="preserve">”), under JAMS’ then applicable rules and procedures for employment disputes before a single arbitrator (available upon request and also currently available at http://www.jamsadr.com/rules-employment-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w:t>
      </w:r>
      <w:r>
        <w:rPr>
          <w:rFonts w:ascii="Arial" w:cs="Arial" w:eastAsia="Arial" w:hAnsi="Arial"/>
          <w:sz w:val="18"/>
          <w:szCs w:val="18"/>
          <w:b w:val="1"/>
          <w:bCs w:val="1"/>
          <w:color w:val="auto"/>
        </w:rPr>
        <w:t>You acknowledge that by agreeing to</w:t>
      </w:r>
      <w:r>
        <w:rPr>
          <w:rFonts w:ascii="Arial" w:cs="Arial" w:eastAsia="Arial" w:hAnsi="Arial"/>
          <w:sz w:val="18"/>
          <w:szCs w:val="18"/>
          <w:color w:val="auto"/>
        </w:rPr>
        <w:t xml:space="preserve"> </w:t>
      </w:r>
      <w:r>
        <w:rPr>
          <w:rFonts w:ascii="Arial" w:cs="Arial" w:eastAsia="Arial" w:hAnsi="Arial"/>
          <w:sz w:val="18"/>
          <w:szCs w:val="18"/>
          <w:b w:val="1"/>
          <w:bCs w:val="1"/>
          <w:color w:val="auto"/>
        </w:rPr>
        <w:t>this arbitration procedure, both you and the Company waive the right to resolve any such dispute through a trial by jury or judge or administrative proceeding</w:t>
      </w:r>
      <w:r>
        <w:rPr>
          <w:rFonts w:ascii="Arial" w:cs="Arial" w:eastAsia="Arial" w:hAnsi="Arial"/>
          <w:sz w:val="18"/>
          <w:szCs w:val="18"/>
          <w:color w:val="auto"/>
        </w:rPr>
        <w:t>.</w:t>
      </w:r>
    </w:p>
    <w:p>
      <w:pPr>
        <w:spacing w:after="0" w:line="161" w:lineRule="exact"/>
        <w:rPr>
          <w:sz w:val="20"/>
          <w:szCs w:val="20"/>
          <w:color w:val="auto"/>
        </w:rPr>
      </w:pPr>
    </w:p>
    <w:p>
      <w:pPr>
        <w:ind w:firstLine="517"/>
        <w:spacing w:after="0" w:line="269" w:lineRule="auto"/>
        <w:tabs>
          <w:tab w:leader="none" w:pos="965" w:val="left"/>
        </w:tabs>
        <w:numPr>
          <w:ilvl w:val="1"/>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Individual Claims</w:t>
      </w:r>
      <w:r>
        <w:rPr>
          <w:rFonts w:ascii="Arial" w:cs="Arial" w:eastAsia="Arial" w:hAnsi="Arial"/>
          <w:sz w:val="17"/>
          <w:szCs w:val="17"/>
          <w:color w:val="auto"/>
        </w:rPr>
        <w:t>. All claims, disputes, or causes of action under this section, whether by you or the Company, must be brought in an</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7"/>
          <w:szCs w:val="17"/>
          <w:b w:val="1"/>
          <w:bCs w:val="1"/>
          <w:i w:val="1"/>
          <w:iCs w:val="1"/>
          <w:color w:val="auto"/>
        </w:rPr>
        <w:t>Excluded Claims</w:t>
      </w:r>
      <w:r>
        <w:rPr>
          <w:rFonts w:ascii="Arial" w:cs="Arial" w:eastAsia="Arial" w:hAnsi="Arial"/>
          <w:sz w:val="17"/>
          <w:szCs w:val="17"/>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41" w:lineRule="exact"/>
        <w:rPr>
          <w:rFonts w:ascii="Arial" w:cs="Arial" w:eastAsia="Arial" w:hAnsi="Arial"/>
          <w:sz w:val="17"/>
          <w:szCs w:val="17"/>
          <w:b w:val="1"/>
          <w:bCs w:val="1"/>
          <w:color w:val="auto"/>
        </w:rPr>
      </w:pPr>
    </w:p>
    <w:p>
      <w:pPr>
        <w:ind w:right="120" w:firstLine="517"/>
        <w:spacing w:after="0" w:line="292" w:lineRule="auto"/>
        <w:tabs>
          <w:tab w:leader="none" w:pos="965"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20" w:lineRule="exact"/>
        <w:rPr>
          <w:rFonts w:ascii="Arial" w:cs="Arial" w:eastAsia="Arial" w:hAnsi="Arial"/>
          <w:sz w:val="16"/>
          <w:szCs w:val="16"/>
          <w:b w:val="1"/>
          <w:bCs w:val="1"/>
          <w:color w:val="auto"/>
        </w:rPr>
      </w:pPr>
    </w:p>
    <w:p>
      <w:pPr>
        <w:ind w:right="100" w:firstLine="517"/>
        <w:spacing w:after="0" w:line="266" w:lineRule="auto"/>
        <w:tabs>
          <w:tab w:leader="none" w:pos="965"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67" w:lineRule="exact"/>
        <w:rPr>
          <w:rFonts w:ascii="Arial" w:cs="Arial" w:eastAsia="Arial" w:hAnsi="Arial"/>
          <w:sz w:val="18"/>
          <w:szCs w:val="18"/>
          <w:b w:val="1"/>
          <w:bCs w:val="1"/>
          <w:color w:val="auto"/>
        </w:rPr>
      </w:pPr>
    </w:p>
    <w:p>
      <w:pPr>
        <w:ind w:right="40" w:firstLine="8"/>
        <w:spacing w:after="0" w:line="287" w:lineRule="auto"/>
        <w:tabs>
          <w:tab w:leader="none" w:pos="5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1"/>
          <w:szCs w:val="11"/>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Letters.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Please sign and date this Agreement and return a signed copy to me on or before September 1, 2022, to confirm your acceptance of this Agreement.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181818"/>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22860</wp:posOffset>
            </wp:positionV>
            <wp:extent cx="32658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181818"/>
        </w:rPr>
        <w:t>Svai Sanford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Accepted and Agreed:</w:t>
            </w:r>
          </w:p>
        </w:tc>
        <w:tc>
          <w:tcPr>
            <w:tcW w:w="6060" w:type="dxa"/>
            <w:vAlign w:val="bottom"/>
            <w:gridSpan w:val="2"/>
            <w:vMerge w:val="restart"/>
          </w:tcPr>
          <w:p>
            <w:pPr>
              <w:ind w:left="480"/>
              <w:spacing w:after="0"/>
              <w:rPr>
                <w:sz w:val="20"/>
                <w:szCs w:val="20"/>
                <w:color w:val="auto"/>
              </w:rPr>
            </w:pPr>
            <w:r>
              <w:rPr>
                <w:rFonts w:ascii="Arial" w:cs="Arial" w:eastAsia="Arial" w:hAnsi="Arial"/>
                <w:sz w:val="18"/>
                <w:szCs w:val="18"/>
                <w:color w:val="auto"/>
              </w:rPr>
              <w:t>August 31, 2022</w:t>
            </w:r>
          </w:p>
        </w:tc>
        <w:tc>
          <w:tcPr>
            <w:tcW w:w="0" w:type="dxa"/>
            <w:vAlign w:val="bottom"/>
          </w:tcPr>
          <w:p>
            <w:pPr>
              <w:spacing w:after="0"/>
              <w:rPr>
                <w:sz w:val="1"/>
                <w:szCs w:val="1"/>
                <w:color w:val="auto"/>
              </w:rPr>
            </w:pPr>
          </w:p>
        </w:tc>
      </w:tr>
      <w:tr>
        <w:trPr>
          <w:trHeight w:val="229"/>
        </w:trPr>
        <w:tc>
          <w:tcPr>
            <w:tcW w:w="5140" w:type="dxa"/>
            <w:vAlign w:val="bottom"/>
            <w:vMerge w:val="restart"/>
          </w:tcPr>
          <w:p>
            <w:pPr>
              <w:spacing w:after="0"/>
              <w:rPr>
                <w:sz w:val="20"/>
                <w:szCs w:val="20"/>
                <w:color w:val="auto"/>
              </w:rPr>
            </w:pPr>
            <w:r>
              <w:rPr>
                <w:rFonts w:ascii="Arial" w:cs="Arial" w:eastAsia="Arial" w:hAnsi="Arial"/>
                <w:sz w:val="18"/>
                <w:szCs w:val="18"/>
                <w:color w:val="181818"/>
              </w:rPr>
              <w:t xml:space="preserve">/s/ </w:t>
            </w:r>
            <w:r>
              <w:rPr>
                <w:rFonts w:ascii="Arial" w:cs="Arial" w:eastAsia="Arial" w:hAnsi="Arial"/>
                <w:sz w:val="18"/>
                <w:szCs w:val="18"/>
                <w:color w:val="000000"/>
              </w:rPr>
              <w:t>Talat Imran</w:t>
            </w:r>
          </w:p>
        </w:tc>
        <w:tc>
          <w:tcPr>
            <w:tcW w:w="6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vMerge w:val="continue"/>
          </w:tcPr>
          <w:p>
            <w:pPr>
              <w:spacing w:after="0"/>
              <w:rPr>
                <w:sz w:val="20"/>
                <w:szCs w:val="20"/>
                <w:color w:val="auto"/>
              </w:rPr>
            </w:pPr>
          </w:p>
        </w:tc>
        <w:tc>
          <w:tcPr>
            <w:tcW w:w="480" w:type="dxa"/>
            <w:vAlign w:val="bottom"/>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Talat Imran</w:t>
            </w:r>
          </w:p>
        </w:tc>
        <w:tc>
          <w:tcPr>
            <w:tcW w:w="4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08685" cy="4629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9086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Mir Hashim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Amended and Restated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Mir Hashim:</w:t>
      </w:r>
    </w:p>
    <w:p>
      <w:pPr>
        <w:spacing w:after="0" w:line="221"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 xml:space="preserve">You are currently employed by </w:t>
      </w:r>
      <w:r>
        <w:rPr>
          <w:rFonts w:ascii="Arial" w:cs="Arial" w:eastAsia="Arial" w:hAnsi="Arial"/>
          <w:sz w:val="18"/>
          <w:szCs w:val="18"/>
          <w:b w:val="1"/>
          <w:bCs w:val="1"/>
          <w:color w:val="auto"/>
        </w:rPr>
        <w:t>R</w:t>
      </w:r>
      <w:r>
        <w:rPr>
          <w:rFonts w:ascii="Arial" w:cs="Arial" w:eastAsia="Arial" w:hAnsi="Arial"/>
          <w:sz w:val="13"/>
          <w:szCs w:val="13"/>
          <w:b w:val="1"/>
          <w:bCs w:val="1"/>
          <w:color w:val="auto"/>
        </w:rPr>
        <w:t>ANI</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3"/>
          <w:szCs w:val="13"/>
          <w:b w:val="1"/>
          <w:bCs w:val="1"/>
          <w:color w:val="auto"/>
        </w:rPr>
        <w:t>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3"/>
          <w:szCs w:val="13"/>
          <w:b w:val="1"/>
          <w:bCs w:val="1"/>
          <w:color w:val="auto"/>
        </w:rPr>
        <w:t>ERVICES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xml:space="preserve">”) under the terms of an employment agreement between you and </w:t>
      </w:r>
      <w:r>
        <w:rPr>
          <w:rFonts w:ascii="Arial" w:cs="Arial" w:eastAsia="Arial" w:hAnsi="Arial"/>
          <w:sz w:val="18"/>
          <w:szCs w:val="18"/>
          <w:b w:val="1"/>
          <w:bCs w:val="1"/>
          <w:color w:val="auto"/>
        </w:rPr>
        <w:t>RMS</w:t>
      </w:r>
      <w:r>
        <w:rPr>
          <w:rFonts w:ascii="Arial" w:cs="Arial" w:eastAsia="Arial" w:hAnsi="Arial"/>
          <w:sz w:val="18"/>
          <w:szCs w:val="18"/>
          <w:color w:val="auto"/>
        </w:rPr>
        <w:t xml:space="preserve"> dated June 17, 2021 (the “ </w:t>
      </w:r>
      <w:r>
        <w:rPr>
          <w:rFonts w:ascii="Arial" w:cs="Arial" w:eastAsia="Arial" w:hAnsi="Arial"/>
          <w:sz w:val="18"/>
          <w:szCs w:val="18"/>
          <w:b w:val="1"/>
          <w:bCs w:val="1"/>
          <w:color w:val="auto"/>
        </w:rPr>
        <w:t>RMS Agreement</w:t>
      </w:r>
      <w:r>
        <w:rPr>
          <w:rFonts w:ascii="Arial" w:cs="Arial" w:eastAsia="Arial" w:hAnsi="Arial"/>
          <w:sz w:val="18"/>
          <w:szCs w:val="18"/>
          <w:color w:val="auto"/>
        </w:rPr>
        <w:t>”). Your employment is being transitioned from RMS to Rani Therapeutics, LLC (the “Company”) effective as of September 1, 2022 (the “</w:t>
      </w:r>
      <w:r>
        <w:rPr>
          <w:rFonts w:ascii="Arial" w:cs="Arial" w:eastAsia="Arial" w:hAnsi="Arial"/>
          <w:sz w:val="18"/>
          <w:szCs w:val="18"/>
          <w:b w:val="1"/>
          <w:bCs w:val="1"/>
          <w:i w:val="1"/>
          <w:iCs w:val="1"/>
          <w:color w:val="auto"/>
        </w:rPr>
        <w:t>Transition Date</w:t>
      </w:r>
      <w:r>
        <w:rPr>
          <w:rFonts w:ascii="Arial" w:cs="Arial" w:eastAsia="Arial" w:hAnsi="Arial"/>
          <w:sz w:val="18"/>
          <w:szCs w:val="18"/>
          <w:color w:val="auto"/>
        </w:rPr>
        <w:t>”). Once you accept 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signing and returning it to the Company, this Agreement shall supersede and replace the RMS agreement in its entirety. This Agreement, together with the other documents and agreements referenced herein, shall then govern the terms of your employment with the Company.</w:t>
      </w:r>
    </w:p>
    <w:p>
      <w:pPr>
        <w:spacing w:after="0" w:line="143"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020" w:hanging="503"/>
        <w:spacing w:after="0"/>
        <w:tabs>
          <w:tab w:leader="none" w:pos="102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Scientific Officer.</w:t>
      </w:r>
    </w:p>
    <w:p>
      <w:pPr>
        <w:spacing w:after="0" w:line="225" w:lineRule="exact"/>
        <w:rPr>
          <w:rFonts w:ascii="Arial" w:cs="Arial" w:eastAsia="Arial" w:hAnsi="Arial"/>
          <w:sz w:val="18"/>
          <w:szCs w:val="18"/>
          <w:b w:val="1"/>
          <w:bCs w:val="1"/>
          <w:color w:val="auto"/>
        </w:rPr>
      </w:pPr>
    </w:p>
    <w:p>
      <w:pPr>
        <w:ind w:right="40" w:firstLine="517"/>
        <w:spacing w:after="0" w:line="254" w:lineRule="auto"/>
        <w:tabs>
          <w:tab w:leader="none" w:pos="100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Scientific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w:t>
      </w:r>
    </w:p>
    <w:p>
      <w:pPr>
        <w:spacing w:after="0" w:line="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appropriate in light of the Company’s needs and interests from time to time.</w:t>
      </w:r>
    </w:p>
    <w:p>
      <w:pPr>
        <w:spacing w:after="0" w:line="206" w:lineRule="exact"/>
        <w:rPr>
          <w:rFonts w:ascii="Arial" w:cs="Arial" w:eastAsia="Arial" w:hAnsi="Arial"/>
          <w:sz w:val="18"/>
          <w:szCs w:val="18"/>
          <w:b w:val="1"/>
          <w:bCs w:val="1"/>
          <w:color w:val="auto"/>
        </w:rPr>
      </w:pPr>
    </w:p>
    <w:p>
      <w:pPr>
        <w:ind w:right="20" w:firstLine="517"/>
        <w:spacing w:after="0" w:line="254" w:lineRule="auto"/>
        <w:tabs>
          <w:tab w:leader="none" w:pos="100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w:t>
      </w:r>
      <w:r>
        <w:rPr>
          <w:rFonts w:ascii="Arial" w:cs="Arial" w:eastAsia="Arial" w:hAnsi="Arial"/>
          <w:sz w:val="18"/>
          <w:szCs w:val="18"/>
          <w:color w:val="auto"/>
        </w:rPr>
        <w:t>. Throughout your employment with the Company, you may engage in civic and not- for-profit activities so long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64" w:lineRule="exact"/>
        <w:rPr>
          <w:rFonts w:ascii="Arial" w:cs="Arial" w:eastAsia="Arial" w:hAnsi="Arial"/>
          <w:sz w:val="18"/>
          <w:szCs w:val="18"/>
          <w:b w:val="1"/>
          <w:bCs w:val="1"/>
          <w:color w:val="auto"/>
        </w:rPr>
      </w:pPr>
    </w:p>
    <w:p>
      <w:pPr>
        <w:ind w:left="400" w:hanging="392"/>
        <w:spacing w:after="0"/>
        <w:tabs>
          <w:tab w:leader="none" w:pos="4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517"/>
        <w:spacing w:after="0" w:line="314" w:lineRule="auto"/>
        <w:tabs>
          <w:tab w:leader="none" w:pos="1007"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You are currently receiving a base salary of $416,000 per year. Your base salary will be paid on the Company’s ordinary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41" w:lineRule="exact"/>
        <w:rPr>
          <w:rFonts w:ascii="Arial" w:cs="Arial" w:eastAsia="Arial" w:hAnsi="Arial"/>
          <w:sz w:val="16"/>
          <w:szCs w:val="16"/>
          <w:b w:val="1"/>
          <w:bCs w:val="1"/>
          <w:color w:val="auto"/>
        </w:rPr>
      </w:pPr>
    </w:p>
    <w:p>
      <w:pPr>
        <w:jc w:val="both"/>
        <w:ind w:right="20" w:firstLine="517"/>
        <w:spacing w:after="0" w:line="261" w:lineRule="auto"/>
        <w:tabs>
          <w:tab w:leader="none" w:pos="100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left="-8" w:right="20" w:firstLine="517"/>
        <w:spacing w:after="0" w:line="347" w:lineRule="auto"/>
        <w:tabs>
          <w:tab w:leader="none" w:pos="999"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 xml:space="preserve">Annual Bonus. </w:t>
      </w:r>
      <w:r>
        <w:rPr>
          <w:rFonts w:ascii="Arial" w:cs="Arial" w:eastAsia="Arial" w:hAnsi="Arial"/>
          <w:sz w:val="16"/>
          <w:szCs w:val="16"/>
          <w:color w:val="auto"/>
        </w:rPr>
        <w:t>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88" w:lineRule="exact"/>
        <w:rPr>
          <w:rFonts w:ascii="Arial" w:cs="Arial" w:eastAsia="Arial" w:hAnsi="Arial"/>
          <w:sz w:val="16"/>
          <w:szCs w:val="16"/>
          <w:b w:val="1"/>
          <w:bCs w:val="1"/>
          <w:color w:val="auto"/>
        </w:rPr>
      </w:pPr>
    </w:p>
    <w:p>
      <w:pPr>
        <w:ind w:left="-8" w:firstLine="517"/>
        <w:spacing w:after="0" w:line="271" w:lineRule="auto"/>
        <w:tabs>
          <w:tab w:leader="none" w:pos="999"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Equity Compensation</w:t>
      </w:r>
      <w:r>
        <w:rPr>
          <w:rFonts w:ascii="Arial" w:cs="Arial" w:eastAsia="Arial" w:hAnsi="Arial"/>
          <w:sz w:val="17"/>
          <w:szCs w:val="17"/>
          <w:color w:val="auto"/>
        </w:rPr>
        <w:t>. During the term of your employment, you will be eligible to participate in the Rani Therapeutics Holdings,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or any successor plan, subject to the terms of the Plan or successor plan, as determined by the Board of Directors of Rani Therapeutics Holdings, Inc. or its Compensation Committee, in its discretion. You may have received equity awards from Rani Therapeutics, LLC, pursuant to the Rani Therapeutics Holdings, Inc., 2021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Your status as a “Servicer Provider” as defined in the Plan will not be changed or disrupted by your transition to becoming an at-will employee of Rani Therapeutics, LLC, as long as you have continually provided services to RMS prior to, through, and after the transition to Rani Therapeutics, LLC. This means that all terms and conditions of any agreement that you are a party to as related to Rani Therapeutics Holdings, Inc., under the Plan, including any vesting provisions, will remain in full force and effect as you transition to at-will employment at Rani Therapeutics, LLC, provided that your employment with RMS extends continuously up to the Transition Date and your employment with the Company begins on the Transition Date.</w:t>
      </w:r>
    </w:p>
    <w:p>
      <w:pPr>
        <w:spacing w:after="0" w:line="133" w:lineRule="exact"/>
        <w:rPr>
          <w:rFonts w:ascii="Arial" w:cs="Arial" w:eastAsia="Arial" w:hAnsi="Arial"/>
          <w:sz w:val="17"/>
          <w:szCs w:val="17"/>
          <w:b w:val="1"/>
          <w:bCs w:val="1"/>
          <w:color w:val="auto"/>
        </w:rPr>
      </w:pPr>
    </w:p>
    <w:p>
      <w:pPr>
        <w:jc w:val="both"/>
        <w:ind w:left="-8" w:right="80" w:firstLine="517"/>
        <w:spacing w:after="0" w:line="261" w:lineRule="auto"/>
        <w:tabs>
          <w:tab w:leader="none" w:pos="999"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other right to severance provided by any other agreements or promises made to you by anyone, whether oral or written, will be extinguished.</w:t>
      </w:r>
    </w:p>
    <w:p>
      <w:pPr>
        <w:spacing w:after="0" w:line="139" w:lineRule="exact"/>
        <w:rPr>
          <w:sz w:val="20"/>
          <w:szCs w:val="20"/>
          <w:color w:val="auto"/>
        </w:rPr>
      </w:pPr>
    </w:p>
    <w:p>
      <w:pPr>
        <w:ind w:left="-8" w:right="180" w:firstLine="517"/>
        <w:spacing w:after="0" w:line="266" w:lineRule="auto"/>
        <w:tabs>
          <w:tab w:leader="none" w:pos="1061"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48" w:lineRule="exact"/>
        <w:rPr>
          <w:rFonts w:ascii="Arial" w:cs="Arial" w:eastAsia="Arial" w:hAnsi="Arial"/>
          <w:sz w:val="18"/>
          <w:szCs w:val="18"/>
          <w:b w:val="1"/>
          <w:bCs w:val="1"/>
          <w:color w:val="auto"/>
        </w:rPr>
      </w:pPr>
    </w:p>
    <w:p>
      <w:pPr>
        <w:ind w:left="-8" w:right="60" w:firstLine="8"/>
        <w:spacing w:after="0" w:line="266" w:lineRule="auto"/>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color w:val="auto"/>
        </w:rPr>
        <w:t>. As a Company employee, you will be expected to continue to abide by Company rules and policies including those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policies regarding the protection of the Company’s confidential information. You are also required to execute the Company’s standard form of Confidentiality Agreement, to be provided to you.</w:t>
      </w:r>
    </w:p>
    <w:p>
      <w:pPr>
        <w:spacing w:after="0" w:line="135" w:lineRule="exact"/>
        <w:rPr>
          <w:rFonts w:ascii="Arial" w:cs="Arial" w:eastAsia="Arial" w:hAnsi="Arial"/>
          <w:sz w:val="18"/>
          <w:szCs w:val="18"/>
          <w:b w:val="1"/>
          <w:bCs w:val="1"/>
          <w:color w:val="auto"/>
        </w:rPr>
      </w:pPr>
    </w:p>
    <w:p>
      <w:pPr>
        <w:jc w:val="both"/>
        <w:ind w:left="-8" w:right="60" w:firstLine="8"/>
        <w:spacing w:after="0" w:line="266" w:lineRule="auto"/>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w:t>
      </w:r>
      <w:r>
        <w:rPr>
          <w:rFonts w:ascii="Arial" w:cs="Arial" w:eastAsia="Arial" w:hAnsi="Arial"/>
          <w:sz w:val="18"/>
          <w:szCs w:val="18"/>
          <w:b w:val="1"/>
          <w:bCs w:val="1"/>
          <w:color w:val="auto"/>
        </w:rPr>
        <w:t>-W</w:t>
      </w:r>
      <w:r>
        <w:rPr>
          <w:rFonts w:ascii="Arial" w:cs="Arial" w:eastAsia="Arial" w:hAnsi="Arial"/>
          <w:sz w:val="12"/>
          <w:szCs w:val="12"/>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elationship</w:t>
      </w:r>
      <w:r>
        <w:rPr>
          <w:rFonts w:ascii="Arial" w:cs="Arial" w:eastAsia="Arial" w:hAnsi="Arial"/>
          <w:sz w:val="18"/>
          <w:szCs w:val="18"/>
          <w:color w:val="auto"/>
        </w:rPr>
        <w:t>. Your employment relationship with the Company is at 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96" w:right="379" w:bottom="1440" w:gutter="0" w:footer="0" w:header="0"/>
        </w:sectPr>
      </w:pPr>
    </w:p>
    <w:bookmarkStart w:id="151" w:name="page152"/>
    <w:bookmarkEnd w:id="151"/>
    <w:p>
      <w:pPr>
        <w:ind w:left="-8" w:right="20" w:firstLine="8"/>
        <w:spacing w:after="0" w:line="272" w:lineRule="auto"/>
        <w:tabs>
          <w:tab w:leader="none" w:pos="40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C</w:t>
      </w:r>
      <w:r>
        <w:rPr>
          <w:rFonts w:ascii="Arial" w:cs="Arial" w:eastAsia="Arial" w:hAnsi="Arial"/>
          <w:sz w:val="11"/>
          <w:szCs w:val="11"/>
          <w:b w:val="1"/>
          <w:bCs w:val="1"/>
          <w:color w:val="auto"/>
        </w:rPr>
        <w:t>ompliance</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ith or</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xemption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rom</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ection</w:t>
      </w:r>
      <w:r>
        <w:rPr>
          <w:rFonts w:ascii="Arial" w:cs="Arial" w:eastAsia="Arial" w:hAnsi="Arial"/>
          <w:sz w:val="17"/>
          <w:szCs w:val="17"/>
          <w:b w:val="1"/>
          <w:bCs w:val="1"/>
          <w:color w:val="auto"/>
        </w:rPr>
        <w:t xml:space="preserve"> 409A</w:t>
      </w:r>
      <w:r>
        <w:rPr>
          <w:rFonts w:ascii="Arial" w:cs="Arial" w:eastAsia="Arial" w:hAnsi="Arial"/>
          <w:sz w:val="17"/>
          <w:szCs w:val="17"/>
          <w:color w:val="auto"/>
        </w:rPr>
        <w:t>. It is intended that the benefits set forth in this Agreement satisfy, to the greatest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the exemptions from the application of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(Section 409A, together with any state law of similar effect,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provided under Treasury Regulations 1.409A-1(b)(4), 1.409A-1(b)(5) and 1.409A- 1(b)(9).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44" w:lineRule="exact"/>
        <w:rPr>
          <w:rFonts w:ascii="Arial" w:cs="Arial" w:eastAsia="Arial" w:hAnsi="Arial"/>
          <w:sz w:val="17"/>
          <w:szCs w:val="17"/>
          <w:b w:val="1"/>
          <w:bCs w:val="1"/>
          <w:color w:val="auto"/>
        </w:rPr>
      </w:pPr>
    </w:p>
    <w:p>
      <w:pPr>
        <w:ind w:left="392" w:hanging="392"/>
        <w:spacing w:after="0"/>
        <w:tabs>
          <w:tab w:leader="none" w:pos="39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 w:firstLine="517"/>
        <w:spacing w:after="0" w:line="272" w:lineRule="auto"/>
        <w:tabs>
          <w:tab w:leader="none" w:pos="1061" w:val="left"/>
        </w:tabs>
        <w:numPr>
          <w:ilvl w:val="1"/>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under JAMS’ then applicable rules and procedures for employment disputes before a single arbitrator (available upon request and also currently available at http://www.jamsadr.com/rules-employment-</w:t>
      </w: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96" w:right="359" w:bottom="1440" w:gutter="0" w:footer="0" w:header="0"/>
        </w:sectPr>
      </w:pPr>
    </w:p>
    <w:bookmarkStart w:id="152" w:name="page153"/>
    <w:bookmarkEnd w:id="152"/>
    <w:p>
      <w:pPr>
        <w:ind w:left="-8" w:firstLine="517"/>
        <w:spacing w:after="0" w:line="269" w:lineRule="auto"/>
        <w:tabs>
          <w:tab w:leader="none" w:pos="1061" w:val="left"/>
        </w:tabs>
        <w:numPr>
          <w:ilvl w:val="1"/>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Individual Claims</w:t>
      </w:r>
      <w:r>
        <w:rPr>
          <w:rFonts w:ascii="Arial" w:cs="Arial" w:eastAsia="Arial" w:hAnsi="Arial"/>
          <w:sz w:val="17"/>
          <w:szCs w:val="17"/>
          <w:color w:val="auto"/>
        </w:rPr>
        <w:t>. All claims, disputes, or causes of action under this section, whether by you or the Company, must be brought in an</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7"/>
          <w:szCs w:val="17"/>
          <w:b w:val="1"/>
          <w:bCs w:val="1"/>
          <w:i w:val="1"/>
          <w:iCs w:val="1"/>
          <w:color w:val="auto"/>
        </w:rPr>
        <w:t>Excluded Claims</w:t>
      </w:r>
      <w:r>
        <w:rPr>
          <w:rFonts w:ascii="Arial" w:cs="Arial" w:eastAsia="Arial" w:hAnsi="Arial"/>
          <w:sz w:val="17"/>
          <w:szCs w:val="17"/>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81" w:lineRule="exact"/>
        <w:rPr>
          <w:rFonts w:ascii="Arial" w:cs="Arial" w:eastAsia="Arial" w:hAnsi="Arial"/>
          <w:sz w:val="17"/>
          <w:szCs w:val="17"/>
          <w:b w:val="1"/>
          <w:bCs w:val="1"/>
          <w:color w:val="auto"/>
        </w:rPr>
      </w:pPr>
    </w:p>
    <w:p>
      <w:pPr>
        <w:ind w:left="-8" w:right="120" w:firstLine="517"/>
        <w:spacing w:after="0" w:line="292" w:lineRule="auto"/>
        <w:tabs>
          <w:tab w:leader="none" w:pos="1061" w:val="left"/>
        </w:tabs>
        <w:numPr>
          <w:ilvl w:val="1"/>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8" w:firstLine="517"/>
        <w:spacing w:after="0" w:line="266" w:lineRule="auto"/>
        <w:tabs>
          <w:tab w:leader="none" w:pos="1061"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35" w:lineRule="exact"/>
        <w:rPr>
          <w:rFonts w:ascii="Arial" w:cs="Arial" w:eastAsia="Arial" w:hAnsi="Arial"/>
          <w:sz w:val="18"/>
          <w:szCs w:val="18"/>
          <w:b w:val="1"/>
          <w:bCs w:val="1"/>
          <w:color w:val="auto"/>
        </w:rPr>
      </w:pPr>
    </w:p>
    <w:p>
      <w:pPr>
        <w:ind w:left="-8" w:right="40" w:firstLine="8"/>
        <w:spacing w:after="0" w:line="287" w:lineRule="auto"/>
        <w:tabs>
          <w:tab w:leader="none" w:pos="40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1"/>
          <w:szCs w:val="11"/>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Letters.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Please sign and date this Agreement and return a signed copy to me on or before September 1, 2022, to confirm your acceptance of this Agreement.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RANI Therapeutics, LLC</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181818"/>
        </w:rPr>
        <w:t xml:space="preserve">/s/ </w:t>
      </w:r>
      <w:r>
        <w:rPr>
          <w:rFonts w:ascii="Arial" w:cs="Arial" w:eastAsia="Arial" w:hAnsi="Arial"/>
          <w:sz w:val="18"/>
          <w:szCs w:val="18"/>
          <w:color w:val="000000"/>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8295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Talat Imran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Accepted and Agreed:</w:t>
            </w:r>
          </w:p>
        </w:tc>
        <w:tc>
          <w:tcPr>
            <w:tcW w:w="44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243"/>
        </w:trPr>
        <w:tc>
          <w:tcPr>
            <w:tcW w:w="5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August 31, 2022</w:t>
            </w:r>
          </w:p>
        </w:tc>
      </w:tr>
      <w:tr>
        <w:trPr>
          <w:trHeight w:val="250"/>
        </w:trPr>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181818"/>
              </w:rPr>
              <w:t xml:space="preserve">/s/ </w:t>
            </w:r>
            <w:r>
              <w:rPr>
                <w:rFonts w:ascii="Arial" w:cs="Arial" w:eastAsia="Arial" w:hAnsi="Arial"/>
                <w:sz w:val="18"/>
                <w:szCs w:val="18"/>
                <w:color w:val="000000"/>
              </w:rPr>
              <w:t>Mir Hashim</w:t>
            </w:r>
          </w:p>
        </w:tc>
        <w:tc>
          <w:tcPr>
            <w:tcW w:w="440" w:type="dxa"/>
            <w:vAlign w:val="bottom"/>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Mir Hashim</w:t>
            </w:r>
          </w:p>
        </w:tc>
        <w:tc>
          <w:tcPr>
            <w:tcW w:w="4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08685" cy="4629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9086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Svai Sanford VIA EMAIL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Amended and Restated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Svai:</w:t>
      </w:r>
    </w:p>
    <w:p>
      <w:pPr>
        <w:spacing w:after="0" w:line="221" w:lineRule="exact"/>
        <w:rPr>
          <w:sz w:val="20"/>
          <w:szCs w:val="20"/>
          <w:color w:val="auto"/>
        </w:rPr>
      </w:pPr>
    </w:p>
    <w:p>
      <w:pPr>
        <w:ind w:right="20" w:firstLine="509"/>
        <w:spacing w:after="0" w:line="258" w:lineRule="auto"/>
        <w:rPr>
          <w:sz w:val="20"/>
          <w:szCs w:val="20"/>
          <w:color w:val="auto"/>
        </w:rPr>
      </w:pPr>
      <w:r>
        <w:rPr>
          <w:rFonts w:ascii="Arial" w:cs="Arial" w:eastAsia="Arial" w:hAnsi="Arial"/>
          <w:sz w:val="18"/>
          <w:szCs w:val="18"/>
          <w:color w:val="auto"/>
        </w:rPr>
        <w:t xml:space="preserve">You are currently employed by </w:t>
      </w:r>
      <w:r>
        <w:rPr>
          <w:rFonts w:ascii="Arial" w:cs="Arial" w:eastAsia="Arial" w:hAnsi="Arial"/>
          <w:sz w:val="18"/>
          <w:szCs w:val="18"/>
          <w:b w:val="1"/>
          <w:bCs w:val="1"/>
          <w:color w:val="auto"/>
        </w:rPr>
        <w:t>R</w:t>
      </w:r>
      <w:r>
        <w:rPr>
          <w:rFonts w:ascii="Arial" w:cs="Arial" w:eastAsia="Arial" w:hAnsi="Arial"/>
          <w:sz w:val="13"/>
          <w:szCs w:val="13"/>
          <w:b w:val="1"/>
          <w:bCs w:val="1"/>
          <w:color w:val="auto"/>
        </w:rPr>
        <w:t>ANI</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3"/>
          <w:szCs w:val="13"/>
          <w:b w:val="1"/>
          <w:bCs w:val="1"/>
          <w:color w:val="auto"/>
        </w:rPr>
        <w:t>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3"/>
          <w:szCs w:val="13"/>
          <w:b w:val="1"/>
          <w:bCs w:val="1"/>
          <w:color w:val="auto"/>
        </w:rPr>
        <w:t>ERVICES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RMS</w:t>
      </w:r>
      <w:r>
        <w:rPr>
          <w:rFonts w:ascii="Arial" w:cs="Arial" w:eastAsia="Arial" w:hAnsi="Arial"/>
          <w:sz w:val="18"/>
          <w:szCs w:val="18"/>
          <w:color w:val="auto"/>
        </w:rPr>
        <w:t xml:space="preserve">”) under the terms of an employment agreement between you and </w:t>
      </w:r>
      <w:r>
        <w:rPr>
          <w:rFonts w:ascii="Arial" w:cs="Arial" w:eastAsia="Arial" w:hAnsi="Arial"/>
          <w:sz w:val="18"/>
          <w:szCs w:val="18"/>
          <w:b w:val="1"/>
          <w:bCs w:val="1"/>
          <w:color w:val="auto"/>
        </w:rPr>
        <w:t>RMS</w:t>
      </w:r>
      <w:r>
        <w:rPr>
          <w:rFonts w:ascii="Arial" w:cs="Arial" w:eastAsia="Arial" w:hAnsi="Arial"/>
          <w:sz w:val="18"/>
          <w:szCs w:val="18"/>
          <w:color w:val="auto"/>
        </w:rPr>
        <w:t xml:space="preserve"> dated June 17, 2021 (the “ </w:t>
      </w:r>
      <w:r>
        <w:rPr>
          <w:rFonts w:ascii="Arial" w:cs="Arial" w:eastAsia="Arial" w:hAnsi="Arial"/>
          <w:sz w:val="18"/>
          <w:szCs w:val="18"/>
          <w:b w:val="1"/>
          <w:bCs w:val="1"/>
          <w:color w:val="auto"/>
        </w:rPr>
        <w:t>RMS Agreement</w:t>
      </w:r>
      <w:r>
        <w:rPr>
          <w:rFonts w:ascii="Arial" w:cs="Arial" w:eastAsia="Arial" w:hAnsi="Arial"/>
          <w:sz w:val="18"/>
          <w:szCs w:val="18"/>
          <w:color w:val="auto"/>
        </w:rPr>
        <w:t>”). Your employment is being transitioned from RMS to Rani Therapeutics, LLC (the “Company”) effective as of September 1, 2022 (the “</w:t>
      </w:r>
      <w:r>
        <w:rPr>
          <w:rFonts w:ascii="Arial" w:cs="Arial" w:eastAsia="Arial" w:hAnsi="Arial"/>
          <w:sz w:val="18"/>
          <w:szCs w:val="18"/>
          <w:b w:val="1"/>
          <w:bCs w:val="1"/>
          <w:i w:val="1"/>
          <w:iCs w:val="1"/>
          <w:color w:val="auto"/>
        </w:rPr>
        <w:t>Transition Date</w:t>
      </w:r>
      <w:r>
        <w:rPr>
          <w:rFonts w:ascii="Arial" w:cs="Arial" w:eastAsia="Arial" w:hAnsi="Arial"/>
          <w:sz w:val="18"/>
          <w:szCs w:val="18"/>
          <w:color w:val="auto"/>
        </w:rPr>
        <w:t>”). Once you accept this employment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signing and returning it to the Company, this Agreement shall supersede and replace the RMS agreement in its entirety. This Agreement, together with the other documents and agreements referenced herein, shall then govern the terms of your employment with the Company.</w:t>
      </w:r>
    </w:p>
    <w:p>
      <w:pPr>
        <w:spacing w:after="0" w:line="183"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84" w:lineRule="exact"/>
        <w:rPr>
          <w:rFonts w:ascii="Arial" w:cs="Arial" w:eastAsia="Arial" w:hAnsi="Arial"/>
          <w:sz w:val="18"/>
          <w:szCs w:val="18"/>
          <w:b w:val="1"/>
          <w:bCs w:val="1"/>
          <w:color w:val="auto"/>
        </w:rPr>
      </w:pPr>
    </w:p>
    <w:p>
      <w:pPr>
        <w:ind w:left="1020" w:hanging="503"/>
        <w:spacing w:after="0"/>
        <w:tabs>
          <w:tab w:leader="none" w:pos="102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Financial Officer.</w:t>
      </w:r>
    </w:p>
    <w:p>
      <w:pPr>
        <w:spacing w:after="0" w:line="225" w:lineRule="exact"/>
        <w:rPr>
          <w:rFonts w:ascii="Arial" w:cs="Arial" w:eastAsia="Arial" w:hAnsi="Arial"/>
          <w:sz w:val="18"/>
          <w:szCs w:val="18"/>
          <w:b w:val="1"/>
          <w:bCs w:val="1"/>
          <w:color w:val="auto"/>
        </w:rPr>
      </w:pPr>
    </w:p>
    <w:p>
      <w:pPr>
        <w:ind w:right="40" w:firstLine="517"/>
        <w:spacing w:after="0" w:line="254" w:lineRule="auto"/>
        <w:tabs>
          <w:tab w:leader="none" w:pos="1007"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Financial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w:t>
      </w:r>
    </w:p>
    <w:p>
      <w:pPr>
        <w:spacing w:after="0" w:line="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appropriate in light of the Company’s needs and interests from time to time.</w:t>
      </w:r>
    </w:p>
    <w:p>
      <w:pPr>
        <w:spacing w:after="0" w:line="206" w:lineRule="exact"/>
        <w:rPr>
          <w:rFonts w:ascii="Arial" w:cs="Arial" w:eastAsia="Arial" w:hAnsi="Arial"/>
          <w:sz w:val="18"/>
          <w:szCs w:val="18"/>
          <w:b w:val="1"/>
          <w:bCs w:val="1"/>
          <w:color w:val="auto"/>
        </w:rPr>
      </w:pPr>
    </w:p>
    <w:p>
      <w:pPr>
        <w:ind w:right="20" w:firstLine="517"/>
        <w:spacing w:after="0" w:line="254" w:lineRule="auto"/>
        <w:tabs>
          <w:tab w:leader="none" w:pos="1007"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Outside Activities</w:t>
      </w:r>
      <w:r>
        <w:rPr>
          <w:rFonts w:ascii="Arial" w:cs="Arial" w:eastAsia="Arial" w:hAnsi="Arial"/>
          <w:sz w:val="18"/>
          <w:szCs w:val="18"/>
          <w:color w:val="auto"/>
        </w:rPr>
        <w:t>. Throughout your employment with the Company, you may engage in civic and not- for-profit activities so long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64" w:lineRule="exact"/>
        <w:rPr>
          <w:rFonts w:ascii="Arial" w:cs="Arial" w:eastAsia="Arial" w:hAnsi="Arial"/>
          <w:sz w:val="18"/>
          <w:szCs w:val="18"/>
          <w:b w:val="1"/>
          <w:bCs w:val="1"/>
          <w:color w:val="auto"/>
        </w:rPr>
      </w:pPr>
    </w:p>
    <w:p>
      <w:pPr>
        <w:ind w:left="420" w:hanging="412"/>
        <w:spacing w:after="0"/>
        <w:tabs>
          <w:tab w:leader="none" w:pos="4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enefits</w:t>
      </w:r>
      <w:r>
        <w:rPr>
          <w:rFonts w:ascii="Arial" w:cs="Arial" w:eastAsia="Arial" w:hAnsi="Arial"/>
          <w:sz w:val="18"/>
          <w:szCs w:val="18"/>
          <w:b w:val="1"/>
          <w:bCs w:val="1"/>
          <w:color w:val="auto"/>
        </w:rPr>
        <w:t>.</w:t>
      </w:r>
    </w:p>
    <w:p>
      <w:pPr>
        <w:spacing w:after="0" w:line="184" w:lineRule="exact"/>
        <w:rPr>
          <w:rFonts w:ascii="Arial" w:cs="Arial" w:eastAsia="Arial" w:hAnsi="Arial"/>
          <w:sz w:val="18"/>
          <w:szCs w:val="18"/>
          <w:b w:val="1"/>
          <w:bCs w:val="1"/>
          <w:color w:val="auto"/>
        </w:rPr>
      </w:pPr>
    </w:p>
    <w:p>
      <w:pPr>
        <w:ind w:right="20" w:firstLine="517"/>
        <w:spacing w:after="0" w:line="314" w:lineRule="auto"/>
        <w:tabs>
          <w:tab w:leader="none" w:pos="1007"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Base Salary</w:t>
      </w:r>
      <w:r>
        <w:rPr>
          <w:rFonts w:ascii="Arial" w:cs="Arial" w:eastAsia="Arial" w:hAnsi="Arial"/>
          <w:sz w:val="16"/>
          <w:szCs w:val="16"/>
          <w:color w:val="auto"/>
        </w:rPr>
        <w:t>. You are currently receiving a base salary of $416,000 per year. Your base salary will be paid on the Company’s ordinary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41" w:lineRule="exact"/>
        <w:rPr>
          <w:rFonts w:ascii="Arial" w:cs="Arial" w:eastAsia="Arial" w:hAnsi="Arial"/>
          <w:sz w:val="16"/>
          <w:szCs w:val="16"/>
          <w:b w:val="1"/>
          <w:bCs w:val="1"/>
          <w:color w:val="auto"/>
        </w:rPr>
      </w:pPr>
    </w:p>
    <w:p>
      <w:pPr>
        <w:jc w:val="both"/>
        <w:ind w:right="20" w:firstLine="517"/>
        <w:spacing w:after="0" w:line="261" w:lineRule="auto"/>
        <w:tabs>
          <w:tab w:leader="none" w:pos="1007"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ind w:left="-8" w:right="20" w:firstLine="517"/>
        <w:spacing w:after="0" w:line="347" w:lineRule="auto"/>
        <w:tabs>
          <w:tab w:leader="none" w:pos="999"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 xml:space="preserve">Annual Bonus. </w:t>
      </w:r>
      <w:r>
        <w:rPr>
          <w:rFonts w:ascii="Arial" w:cs="Arial" w:eastAsia="Arial" w:hAnsi="Arial"/>
          <w:sz w:val="16"/>
          <w:szCs w:val="16"/>
          <w:color w:val="auto"/>
        </w:rPr>
        <w:t>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8" w:firstLine="517"/>
        <w:spacing w:after="0" w:line="271" w:lineRule="auto"/>
        <w:tabs>
          <w:tab w:leader="none" w:pos="999"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Equity Compensation</w:t>
      </w:r>
      <w:r>
        <w:rPr>
          <w:rFonts w:ascii="Arial" w:cs="Arial" w:eastAsia="Arial" w:hAnsi="Arial"/>
          <w:sz w:val="17"/>
          <w:szCs w:val="17"/>
          <w:color w:val="auto"/>
        </w:rPr>
        <w:t>. During the term of your employment, you will be eligible to participate in the Rani Therapeutics Holdings,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or any successor plan, subject to the terms of the Plan or successor plan, as determined by the Board of Directors of Rani Therapeutics Holdings, Inc. or its Compensation Committee, in its discretion. You may have received equity awards from Rani Therapeutics, LLC, pursuant to the Rani Therapeutics Holdings, Inc., 2021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Your status as a “Servicer Provider” as defined in the Plan will not be changed or disrupted by your transition to becoming an at-will employee of Rani Therapeutics, LLC, as long as you have continually provided services to RMS prior to, through, and after the transition to Rani Therapeutics, LLC. This means that all terms and conditions of any agreement that you are a party to as related to Rani Therapeutics Holdings, Inc., under the Plan, including any vesting provisions, will remain in full force and effect as you transition to at-will employment at Rani Therapeutics, LLC, provided that your employment with RMS extends continuously up to the Transition Date and your employment with the Company begins on the Transition Date.</w:t>
      </w:r>
    </w:p>
    <w:p>
      <w:pPr>
        <w:spacing w:after="0" w:line="173" w:lineRule="exact"/>
        <w:rPr>
          <w:rFonts w:ascii="Arial" w:cs="Arial" w:eastAsia="Arial" w:hAnsi="Arial"/>
          <w:sz w:val="17"/>
          <w:szCs w:val="17"/>
          <w:b w:val="1"/>
          <w:bCs w:val="1"/>
          <w:color w:val="auto"/>
        </w:rPr>
      </w:pPr>
    </w:p>
    <w:p>
      <w:pPr>
        <w:jc w:val="both"/>
        <w:ind w:left="-8" w:right="80" w:firstLine="517"/>
        <w:spacing w:after="0" w:line="261" w:lineRule="auto"/>
        <w:tabs>
          <w:tab w:leader="none" w:pos="999"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other right to severance provided by any other agreements or promises made to you by anyone, whether oral or written, will be extinguished.</w:t>
      </w:r>
    </w:p>
    <w:p>
      <w:pPr>
        <w:spacing w:after="0" w:line="180" w:lineRule="exact"/>
        <w:rPr>
          <w:sz w:val="20"/>
          <w:szCs w:val="20"/>
          <w:color w:val="auto"/>
        </w:rPr>
      </w:pPr>
    </w:p>
    <w:p>
      <w:pPr>
        <w:ind w:left="-8" w:right="180" w:firstLine="517"/>
        <w:spacing w:after="0" w:line="266" w:lineRule="auto"/>
        <w:tabs>
          <w:tab w:leader="none" w:pos="1061"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8" w:right="60" w:firstLine="8"/>
        <w:spacing w:after="0" w:line="266" w:lineRule="auto"/>
        <w:tabs>
          <w:tab w:leader="none" w:pos="4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color w:val="auto"/>
        </w:rPr>
        <w:t>. As a Company employee, you will be expected to continue to abide by Company rules and policies including those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policies regarding the protection of the Company’s confidential information. You are also required to execute the Company’s standard form of Confidentiality Agreement, to be provided to you.</w:t>
      </w:r>
    </w:p>
    <w:p>
      <w:pPr>
        <w:spacing w:after="0" w:line="175" w:lineRule="exact"/>
        <w:rPr>
          <w:rFonts w:ascii="Arial" w:cs="Arial" w:eastAsia="Arial" w:hAnsi="Arial"/>
          <w:sz w:val="18"/>
          <w:szCs w:val="18"/>
          <w:b w:val="1"/>
          <w:bCs w:val="1"/>
          <w:color w:val="auto"/>
        </w:rPr>
      </w:pPr>
    </w:p>
    <w:p>
      <w:pPr>
        <w:jc w:val="both"/>
        <w:ind w:left="-8" w:right="60" w:firstLine="8"/>
        <w:spacing w:after="0" w:line="266" w:lineRule="auto"/>
        <w:tabs>
          <w:tab w:leader="none" w:pos="4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t</w:t>
      </w:r>
      <w:r>
        <w:rPr>
          <w:rFonts w:ascii="Arial" w:cs="Arial" w:eastAsia="Arial" w:hAnsi="Arial"/>
          <w:sz w:val="18"/>
          <w:szCs w:val="18"/>
          <w:b w:val="1"/>
          <w:bCs w:val="1"/>
          <w:color w:val="auto"/>
        </w:rPr>
        <w:t>-W</w:t>
      </w:r>
      <w:r>
        <w:rPr>
          <w:rFonts w:ascii="Arial" w:cs="Arial" w:eastAsia="Arial" w:hAnsi="Arial"/>
          <w:sz w:val="12"/>
          <w:szCs w:val="12"/>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elationship</w:t>
      </w:r>
      <w:r>
        <w:rPr>
          <w:rFonts w:ascii="Arial" w:cs="Arial" w:eastAsia="Arial" w:hAnsi="Arial"/>
          <w:sz w:val="18"/>
          <w:szCs w:val="18"/>
          <w:color w:val="auto"/>
        </w:rPr>
        <w:t>. Your employment relationship with the Company is at will. Accordingly, you may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8" w:firstLine="8"/>
        <w:spacing w:after="0" w:line="272" w:lineRule="auto"/>
        <w:tabs>
          <w:tab w:leader="none" w:pos="40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ompliance</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ith or</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xemption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rom</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ection</w:t>
      </w:r>
      <w:r>
        <w:rPr>
          <w:rFonts w:ascii="Arial" w:cs="Arial" w:eastAsia="Arial" w:hAnsi="Arial"/>
          <w:sz w:val="17"/>
          <w:szCs w:val="17"/>
          <w:b w:val="1"/>
          <w:bCs w:val="1"/>
          <w:color w:val="auto"/>
        </w:rPr>
        <w:t xml:space="preserve"> 409A</w:t>
      </w:r>
      <w:r>
        <w:rPr>
          <w:rFonts w:ascii="Arial" w:cs="Arial" w:eastAsia="Arial" w:hAnsi="Arial"/>
          <w:sz w:val="17"/>
          <w:szCs w:val="17"/>
          <w:color w:val="auto"/>
        </w:rPr>
        <w:t>. It is intended that the benefits set forth in this Agreement satisfy, to the greatest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the exemptions from the application of Section 409A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(Section 409A, together with any state law of similar effect,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provided under Treasury Regulations 1.409A-1(b)(4), 1.409A-1(b)(5) and 1.409A- 1(b)(9).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296" w:right="379" w:bottom="1440" w:gutter="0" w:footer="0" w:header="0"/>
        </w:sectPr>
      </w:pPr>
    </w:p>
    <w:bookmarkStart w:id="156" w:name="page157"/>
    <w:bookmarkEnd w:id="156"/>
    <w:p>
      <w:pPr>
        <w:ind w:left="412" w:hanging="412"/>
        <w:spacing w:after="0"/>
        <w:tabs>
          <w:tab w:leader="none" w:pos="41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D</w:t>
      </w:r>
      <w:r>
        <w:rPr>
          <w:rFonts w:ascii="Arial" w:cs="Arial" w:eastAsia="Arial" w:hAnsi="Arial"/>
          <w:sz w:val="12"/>
          <w:szCs w:val="12"/>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esolution</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8" w:firstLine="517"/>
        <w:spacing w:after="0" w:line="272" w:lineRule="auto"/>
        <w:tabs>
          <w:tab w:leader="none" w:pos="1061"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under JAMS’ then applicable rules and procedures for employment disputes before a single arbitrator (available upon request and also currently available at http://www.jamsadr.com/rules-employment-</w:t>
      </w: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31" w:lineRule="exact"/>
        <w:rPr>
          <w:rFonts w:ascii="Arial" w:cs="Arial" w:eastAsia="Arial" w:hAnsi="Arial"/>
          <w:sz w:val="17"/>
          <w:szCs w:val="17"/>
          <w:b w:val="1"/>
          <w:bCs w:val="1"/>
          <w:color w:val="auto"/>
        </w:rPr>
      </w:pPr>
    </w:p>
    <w:p>
      <w:pPr>
        <w:ind w:left="-8" w:firstLine="517"/>
        <w:spacing w:after="0" w:line="269" w:lineRule="auto"/>
        <w:tabs>
          <w:tab w:leader="none" w:pos="1061"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Individual Claims</w:t>
      </w:r>
      <w:r>
        <w:rPr>
          <w:rFonts w:ascii="Arial" w:cs="Arial" w:eastAsia="Arial" w:hAnsi="Arial"/>
          <w:sz w:val="17"/>
          <w:szCs w:val="17"/>
          <w:color w:val="auto"/>
        </w:rPr>
        <w:t>. All claims, disputes, or causes of action under this section, whether by you or the Company, must be brought in an</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7"/>
          <w:szCs w:val="17"/>
          <w:b w:val="1"/>
          <w:bCs w:val="1"/>
          <w:i w:val="1"/>
          <w:iCs w:val="1"/>
          <w:color w:val="auto"/>
        </w:rPr>
        <w:t>Excluded Claims</w:t>
      </w:r>
      <w:r>
        <w:rPr>
          <w:rFonts w:ascii="Arial" w:cs="Arial" w:eastAsia="Arial" w:hAnsi="Arial"/>
          <w:sz w:val="17"/>
          <w:szCs w:val="17"/>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41" w:lineRule="exact"/>
        <w:rPr>
          <w:rFonts w:ascii="Arial" w:cs="Arial" w:eastAsia="Arial" w:hAnsi="Arial"/>
          <w:sz w:val="17"/>
          <w:szCs w:val="17"/>
          <w:b w:val="1"/>
          <w:bCs w:val="1"/>
          <w:color w:val="auto"/>
        </w:rPr>
      </w:pPr>
    </w:p>
    <w:p>
      <w:pPr>
        <w:ind w:left="-8" w:right="120" w:firstLine="517"/>
        <w:spacing w:after="0" w:line="292" w:lineRule="auto"/>
        <w:tabs>
          <w:tab w:leader="none" w:pos="1061"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34" w:lineRule="exact"/>
        <w:rPr>
          <w:rFonts w:ascii="Arial" w:cs="Arial" w:eastAsia="Arial" w:hAnsi="Arial"/>
          <w:sz w:val="16"/>
          <w:szCs w:val="16"/>
          <w:b w:val="1"/>
          <w:bCs w:val="1"/>
          <w:color w:val="auto"/>
        </w:rPr>
      </w:pPr>
    </w:p>
    <w:p>
      <w:pPr>
        <w:ind w:left="-8" w:firstLine="517"/>
        <w:spacing w:after="0" w:line="266" w:lineRule="auto"/>
        <w:tabs>
          <w:tab w:leader="none" w:pos="1061"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296" w:right="359" w:bottom="1440" w:gutter="0" w:footer="0" w:header="0"/>
        </w:sectPr>
      </w:pPr>
    </w:p>
    <w:bookmarkStart w:id="157" w:name="page158"/>
    <w:bookmarkEnd w:id="157"/>
    <w:p>
      <w:pPr>
        <w:ind w:left="-8" w:firstLine="8"/>
        <w:spacing w:after="0" w:line="287" w:lineRule="auto"/>
        <w:tabs>
          <w:tab w:leader="none" w:pos="55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M</w:t>
      </w:r>
      <w:r>
        <w:rPr>
          <w:rFonts w:ascii="Arial" w:cs="Arial" w:eastAsia="Arial" w:hAnsi="Arial"/>
          <w:sz w:val="11"/>
          <w:szCs w:val="11"/>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Letters.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296" w:right="399" w:bottom="1440" w:gutter="0" w:footer="0" w:header="0"/>
        </w:sectPr>
      </w:pPr>
    </w:p>
    <w:bookmarkStart w:id="158" w:name="page159"/>
    <w:bookmarkEnd w:id="158"/>
    <w:p>
      <w:pPr>
        <w:ind w:left="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4629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908685" cy="462915"/>
                    </a:xfrm>
                    <a:prstGeom prst="rect">
                      <a:avLst/>
                    </a:prstGeom>
                    <a:noFill/>
                  </pic:spPr>
                </pic:pic>
              </a:graphicData>
            </a:graphic>
          </wp:anchor>
        </w:drawing>
        <w:t>Please sign and date this Agreement and return a signed copy to me on or before September 1, 2022, to confirm your acceptance of this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 LLC</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9"/>
          <w:szCs w:val="19"/>
          <w:color w:val="181818"/>
        </w:rPr>
        <w:t xml:space="preserve">/s/ </w:t>
      </w:r>
      <w:r>
        <w:rPr>
          <w:rFonts w:ascii="Arial" w:cs="Arial" w:eastAsia="Arial" w:hAnsi="Arial"/>
          <w:sz w:val="17"/>
          <w:szCs w:val="17"/>
          <w:color w:val="000000"/>
        </w:rPr>
        <w:t>Talat Imran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33343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August 31, 2022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181818"/>
        </w:rPr>
        <w:t xml:space="preserve">/s/ </w:t>
      </w:r>
      <w:r>
        <w:rPr>
          <w:rFonts w:ascii="Arial" w:cs="Arial" w:eastAsia="Arial" w:hAnsi="Arial"/>
          <w:sz w:val="17"/>
          <w:szCs w:val="17"/>
          <w:color w:val="000000"/>
        </w:rPr>
        <w:t>Svai Sanford</w:t>
      </w:r>
    </w:p>
    <w:p>
      <w:pPr>
        <w:spacing w:after="0" w:line="3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Svai Sanford</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11517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2051 Ringwood Ave San Jose, CA 95131 Phone: (408) 457-3700 Fax: (408) 433-5440 Web: www.ranitherapeutics.com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300" w:right="439" w:bottom="1440" w:gutter="0" w:footer="0" w:header="0"/>
        </w:sectPr>
      </w:pPr>
    </w:p>
    <w:bookmarkStart w:id="159" w:name="page160"/>
    <w:bookmarkEnd w:id="159"/>
    <w:p>
      <w:pPr>
        <w:ind w:left="10220"/>
        <w:spacing w:after="0"/>
        <w:rPr>
          <w:sz w:val="20"/>
          <w:szCs w:val="20"/>
          <w:color w:val="auto"/>
        </w:rPr>
      </w:pPr>
      <w:r>
        <w:rPr>
          <w:rFonts w:ascii="Arial" w:cs="Arial" w:eastAsia="Arial" w:hAnsi="Arial"/>
          <w:sz w:val="16"/>
          <w:szCs w:val="16"/>
          <w:b w:val="1"/>
          <w:bCs w:val="1"/>
          <w:color w:val="auto"/>
        </w:rPr>
        <w:t>Exhibit 10.27</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upply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 and</w:t>
      </w:r>
      <w:r>
        <w:rPr>
          <w:rFonts w:ascii="Arial" w:cs="Arial" w:eastAsia="Arial" w:hAnsi="Arial"/>
          <w:sz w:val="18"/>
          <w:szCs w:val="18"/>
          <w:color w:val="auto"/>
        </w:rPr>
        <w:t xml:space="preserve"> B</w:t>
      </w:r>
      <w:r>
        <w:rPr>
          <w:rFonts w:ascii="Arial" w:cs="Arial" w:eastAsia="Arial" w:hAnsi="Arial"/>
          <w:sz w:val="12"/>
          <w:szCs w:val="12"/>
          <w:color w:val="auto"/>
        </w:rPr>
        <w:t>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ani</w:t>
      </w:r>
      <w:r>
        <w:rPr>
          <w:rFonts w:ascii="Arial" w:cs="Arial" w:eastAsia="Arial" w:hAnsi="Arial"/>
          <w:sz w:val="18"/>
          <w:szCs w:val="18"/>
          <w:color w:val="auto"/>
        </w:rPr>
        <w:t xml:space="preserve"> T</w:t>
      </w:r>
      <w:r>
        <w:rPr>
          <w:rFonts w:ascii="Arial" w:cs="Arial" w:eastAsia="Arial" w:hAnsi="Arial"/>
          <w:sz w:val="12"/>
          <w:szCs w:val="12"/>
          <w:color w:val="auto"/>
        </w:rPr>
        <w:t>herapeutics</w:t>
      </w:r>
      <w:r>
        <w:rPr>
          <w:rFonts w:ascii="Arial" w:cs="Arial" w:eastAsia="Arial" w:hAnsi="Arial"/>
          <w:sz w:val="18"/>
          <w:szCs w:val="18"/>
          <w:color w:val="auto"/>
        </w:rPr>
        <w:t>, LLC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elltrion</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anuary</w:t>
      </w:r>
      <w:r>
        <w:rPr>
          <w:rFonts w:ascii="Arial" w:cs="Arial" w:eastAsia="Arial" w:hAnsi="Arial"/>
          <w:sz w:val="18"/>
          <w:szCs w:val="18"/>
          <w:color w:val="auto"/>
        </w:rPr>
        <w:t xml:space="preserve">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upply</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reamble</w:t>
      </w:r>
    </w:p>
    <w:p>
      <w:pPr>
        <w:spacing w:after="0" w:line="11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This License and Supply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effective as of January 6, 2023 (the “</w:t>
      </w:r>
      <w:r>
        <w:rPr>
          <w:rFonts w:ascii="Arial" w:cs="Arial" w:eastAsia="Arial" w:hAnsi="Arial"/>
          <w:sz w:val="18"/>
          <w:szCs w:val="18"/>
          <w:i w:val="1"/>
          <w:iCs w:val="1"/>
          <w:color w:val="auto"/>
        </w:rPr>
        <w:t>Effective Date</w:t>
      </w:r>
      <w:r>
        <w:rPr>
          <w:rFonts w:ascii="Arial" w:cs="Arial" w:eastAsia="Arial" w:hAnsi="Arial"/>
          <w:sz w:val="18"/>
          <w:szCs w:val="18"/>
          <w:color w:val="auto"/>
        </w:rPr>
        <w:t>”), is by and between Rani Therapeutics, LLC, a California limited liability company having an address at 2051 Ringwood Ave., San Jose, California 95131, USA (</w:t>
      </w:r>
      <w:r>
        <w:rPr>
          <w:rFonts w:ascii="Arial" w:cs="Arial" w:eastAsia="Arial" w:hAnsi="Arial"/>
          <w:sz w:val="18"/>
          <w:szCs w:val="18"/>
          <w:i w:val="1"/>
          <w:iCs w:val="1"/>
          <w:color w:val="auto"/>
        </w:rPr>
        <w:t>“Rani”</w:t>
      </w:r>
      <w:r>
        <w:rPr>
          <w:rFonts w:ascii="Arial" w:cs="Arial" w:eastAsia="Arial" w:hAnsi="Arial"/>
          <w:sz w:val="18"/>
          <w:szCs w:val="18"/>
          <w:color w:val="auto"/>
        </w:rPr>
        <w:t>), and Celltrion, Inc., having an address at 23, Academy-ro, Yeonsu-gu, Incheon, 22014, Republic of Korea (</w:t>
      </w:r>
      <w:r>
        <w:rPr>
          <w:rFonts w:ascii="Arial" w:cs="Arial" w:eastAsia="Arial" w:hAnsi="Arial"/>
          <w:sz w:val="18"/>
          <w:szCs w:val="18"/>
          <w:i w:val="1"/>
          <w:iCs w:val="1"/>
          <w:color w:val="auto"/>
        </w:rPr>
        <w:t>“Celltrion”</w:t>
      </w:r>
      <w:r>
        <w:rPr>
          <w:rFonts w:ascii="Arial" w:cs="Arial" w:eastAsia="Arial" w:hAnsi="Arial"/>
          <w:sz w:val="18"/>
          <w:szCs w:val="18"/>
          <w:color w:val="auto"/>
        </w:rPr>
        <w:t xml:space="preserve">). Rani and Celltrion are sometimes referred to herein individually as a </w:t>
      </w:r>
      <w:r>
        <w:rPr>
          <w:rFonts w:ascii="Arial" w:cs="Arial" w:eastAsia="Arial" w:hAnsi="Arial"/>
          <w:sz w:val="18"/>
          <w:szCs w:val="18"/>
          <w:i w:val="1"/>
          <w:iCs w:val="1"/>
          <w:color w:val="auto"/>
        </w:rPr>
        <w:t>“Party”</w:t>
      </w:r>
      <w:r>
        <w:rPr>
          <w:rFonts w:ascii="Arial" w:cs="Arial" w:eastAsia="Arial" w:hAnsi="Arial"/>
          <w:sz w:val="18"/>
          <w:szCs w:val="18"/>
          <w:color w:val="auto"/>
        </w:rPr>
        <w:t xml:space="preserve"> and collectively as the </w:t>
      </w:r>
      <w:r>
        <w:rPr>
          <w:rFonts w:ascii="Arial" w:cs="Arial" w:eastAsia="Arial" w:hAnsi="Arial"/>
          <w:sz w:val="18"/>
          <w:szCs w:val="18"/>
          <w:i w:val="1"/>
          <w:iCs w:val="1"/>
          <w:color w:val="auto"/>
        </w:rPr>
        <w:t>“Parties”.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ecitals</w:t>
      </w:r>
    </w:p>
    <w:p>
      <w:pPr>
        <w:spacing w:after="0" w:line="11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WHEREAS, Celltrion is a biopharmaceutical company that develops, manufactures and commercializes therapeutics, and is developing or has developed a biosimilar of ustekinumab;</w:t>
      </w:r>
    </w:p>
    <w:p>
      <w:pPr>
        <w:spacing w:after="0" w:line="62"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WHEREAS, Rani is a biopharmaceutical company that develops, manufactures and commercializes therapeutics using its oral delivery technology;</w:t>
      </w:r>
    </w:p>
    <w:p>
      <w:pPr>
        <w:spacing w:after="0" w:line="6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WHEREAS, Rani desires to develop and commercialize Celltrion’s ustekinumab biosimilar using its oral delivery technology, and Celltrion is willing to enable Rani to do so, on the terms and conditions set forth in this Agreement;</w:t>
      </w:r>
    </w:p>
    <w:p>
      <w:pPr>
        <w:spacing w:after="0" w:line="6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for other good and valuable consideration, the receipt and sufficiency of which are hereby acknowledged, and intending to be legally bound, the Parties hereto agree as follows:</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w:t>
      </w:r>
      <w:r>
        <w:rPr>
          <w:sz w:val="20"/>
          <w:szCs w:val="20"/>
          <w:color w:val="auto"/>
        </w:rPr>
        <w:tab/>
      </w: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p>
    <w:p>
      <w:pPr>
        <w:spacing w:after="0" w:line="172"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i w:val="1"/>
          <w:iCs w:val="1"/>
          <w:color w:val="auto"/>
        </w:rPr>
        <w:t xml:space="preserve">“Affiliate” </w:t>
      </w:r>
      <w:r>
        <w:rPr>
          <w:rFonts w:ascii="Arial" w:cs="Arial" w:eastAsia="Arial" w:hAnsi="Arial"/>
          <w:sz w:val="18"/>
          <w:szCs w:val="18"/>
          <w:color w:val="auto"/>
        </w:rPr>
        <w:t>means, with respect to a Party, any Person which controls, is controlled by or is under common control with such Party. For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definition only, “control” means the actual power, either directly or indirectly through one or more intermediaries, to direct or cause the direction of the management and policies of such Person, whether by the ownership of 50% or more (or if less than 50%, the maximum ownership interest permitted by applicable Law) of the securities entitled to be voted generally or in the election of directors of such Person, or by contract or otherwise. For the avoidance of doubt, specifically with regards to Section 6.5 (Commercial Supply) of this Agreement, [*] shall be considered an Affiliate of Celltrion as it relates [*].</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6"/>
          <w:szCs w:val="16"/>
          <w:i w:val="1"/>
          <w:iCs w:val="1"/>
          <w:color w:val="auto"/>
        </w:rPr>
        <w:t xml:space="preserve">“Agreement” </w:t>
      </w:r>
      <w:r>
        <w:rPr>
          <w:rFonts w:ascii="Arial" w:cs="Arial" w:eastAsia="Arial" w:hAnsi="Arial"/>
          <w:sz w:val="16"/>
          <w:szCs w:val="16"/>
          <w:color w:val="auto"/>
        </w:rPr>
        <w:t>has the meaning set forth in the Preamble</w:t>
      </w:r>
      <w:r>
        <w:rPr>
          <w:rFonts w:ascii="Arial" w:cs="Arial" w:eastAsia="Arial" w:hAnsi="Arial"/>
          <w:sz w:val="16"/>
          <w:szCs w:val="16"/>
          <w:i w:val="1"/>
          <w:iCs w:val="1"/>
          <w:color w:val="auto"/>
        </w:rPr>
        <w:t>.</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6"/>
          <w:szCs w:val="16"/>
          <w:i w:val="1"/>
          <w:iCs w:val="1"/>
          <w:color w:val="auto"/>
        </w:rPr>
        <w:t xml:space="preserve">“Alliance Managers” </w:t>
      </w:r>
      <w:r>
        <w:rPr>
          <w:rFonts w:ascii="Arial" w:cs="Arial" w:eastAsia="Arial" w:hAnsi="Arial"/>
          <w:sz w:val="16"/>
          <w:szCs w:val="16"/>
          <w:color w:val="auto"/>
        </w:rPr>
        <w:t>has the meaning set forth in Section 3.7 (Alliance Managers).</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6"/>
          <w:szCs w:val="16"/>
          <w:i w:val="1"/>
          <w:iCs w:val="1"/>
          <w:color w:val="auto"/>
        </w:rPr>
        <w:t xml:space="preserve">“Alternate Supply” </w:t>
      </w:r>
      <w:r>
        <w:rPr>
          <w:rFonts w:ascii="Arial" w:cs="Arial" w:eastAsia="Arial" w:hAnsi="Arial"/>
          <w:sz w:val="16"/>
          <w:szCs w:val="16"/>
          <w:color w:val="auto"/>
        </w:rPr>
        <w:t>has the meaning set forth in Section 6.9 (Supply Continuity).</w:t>
      </w:r>
    </w:p>
    <w:p>
      <w:pPr>
        <w:spacing w:after="0" w:line="98"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 day that is not a Saturday, a Sunday or a day on which banking institutions in New York, New York, USA, or Seoul,</w:t>
      </w:r>
      <w:r>
        <w:rPr>
          <w:rFonts w:ascii="Arial" w:cs="Arial" w:eastAsia="Arial" w:hAnsi="Arial"/>
          <w:sz w:val="18"/>
          <w:szCs w:val="18"/>
          <w:i w:val="1"/>
          <w:iCs w:val="1"/>
          <w:color w:val="auto"/>
        </w:rPr>
        <w:t xml:space="preserve"> </w:t>
      </w:r>
      <w:r>
        <w:rPr>
          <w:rFonts w:ascii="Arial" w:cs="Arial" w:eastAsia="Arial" w:hAnsi="Arial"/>
          <w:sz w:val="18"/>
          <w:szCs w:val="18"/>
          <w:color w:val="auto"/>
        </w:rPr>
        <w:t>South Korea, are authorized by applicable Law to remain closed.</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6"/>
          <w:szCs w:val="16"/>
          <w:i w:val="1"/>
          <w:iCs w:val="1"/>
          <w:color w:val="auto"/>
        </w:rPr>
        <w:t xml:space="preserve">“Celltrion” </w:t>
      </w:r>
      <w:r>
        <w:rPr>
          <w:rFonts w:ascii="Arial" w:cs="Arial" w:eastAsia="Arial" w:hAnsi="Arial"/>
          <w:sz w:val="16"/>
          <w:szCs w:val="16"/>
          <w:color w:val="auto"/>
        </w:rPr>
        <w:t>has the meaning set forth in the Preamble.</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6"/>
          <w:szCs w:val="16"/>
          <w:i w:val="1"/>
          <w:iCs w:val="1"/>
          <w:color w:val="auto"/>
        </w:rPr>
        <w:t xml:space="preserve">“Celltrion Indemnitees” </w:t>
      </w:r>
      <w:r>
        <w:rPr>
          <w:rFonts w:ascii="Arial" w:cs="Arial" w:eastAsia="Arial" w:hAnsi="Arial"/>
          <w:sz w:val="16"/>
          <w:szCs w:val="16"/>
          <w:color w:val="auto"/>
        </w:rPr>
        <w:t>has the meaning set forth in Section 12.1.1 (Rani Indemnity).</w:t>
      </w:r>
    </w:p>
    <w:p>
      <w:pPr>
        <w:spacing w:after="0" w:line="98" w:lineRule="exact"/>
        <w:rPr>
          <w:sz w:val="20"/>
          <w:szCs w:val="20"/>
          <w:color w:val="auto"/>
        </w:rPr>
      </w:pPr>
    </w:p>
    <w:p>
      <w:pPr>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8"/>
          <w:szCs w:val="18"/>
          <w:i w:val="1"/>
          <w:iCs w:val="1"/>
          <w:color w:val="auto"/>
        </w:rPr>
        <w:t xml:space="preserve">“cGMP” </w:t>
      </w:r>
      <w:r>
        <w:rPr>
          <w:rFonts w:ascii="Arial" w:cs="Arial" w:eastAsia="Arial" w:hAnsi="Arial"/>
          <w:sz w:val="18"/>
          <w:szCs w:val="18"/>
          <w:color w:val="auto"/>
        </w:rPr>
        <w:t>or</w:t>
      </w:r>
      <w:r>
        <w:rPr>
          <w:rFonts w:ascii="Arial" w:cs="Arial" w:eastAsia="Arial" w:hAnsi="Arial"/>
          <w:sz w:val="18"/>
          <w:szCs w:val="18"/>
          <w:i w:val="1"/>
          <w:iCs w:val="1"/>
          <w:color w:val="auto"/>
        </w:rPr>
        <w:t xml:space="preserve"> “current Good Manufacturing Practices” </w:t>
      </w:r>
      <w:r>
        <w:rPr>
          <w:rFonts w:ascii="Arial" w:cs="Arial" w:eastAsia="Arial" w:hAnsi="Arial"/>
          <w:sz w:val="18"/>
          <w:szCs w:val="18"/>
          <w:color w:val="auto"/>
        </w:rPr>
        <w:t>means current Good Manufacturing Practices as defined in the United States Code of</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Regulations.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6"/>
          <w:szCs w:val="16"/>
          <w:i w:val="1"/>
          <w:iCs w:val="1"/>
          <w:color w:val="auto"/>
        </w:rPr>
        <w:t xml:space="preserve">“Claims” </w:t>
      </w:r>
      <w:r>
        <w:rPr>
          <w:rFonts w:ascii="Arial" w:cs="Arial" w:eastAsia="Arial" w:hAnsi="Arial"/>
          <w:sz w:val="16"/>
          <w:szCs w:val="16"/>
          <w:color w:val="auto"/>
        </w:rPr>
        <w:t>has the meaning set forth in Section 12.1.1 (Rani Indemnity).</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6"/>
          <w:szCs w:val="16"/>
          <w:i w:val="1"/>
          <w:iCs w:val="1"/>
          <w:color w:val="auto"/>
        </w:rPr>
        <w:t xml:space="preserve">“Commercial Supply Agreement” </w:t>
      </w:r>
      <w:r>
        <w:rPr>
          <w:rFonts w:ascii="Arial" w:cs="Arial" w:eastAsia="Arial" w:hAnsi="Arial"/>
          <w:sz w:val="16"/>
          <w:szCs w:val="16"/>
          <w:color w:val="auto"/>
        </w:rPr>
        <w:t>has the meaning set forth in Section 6.5 (Commercial Supply).</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6"/>
          <w:szCs w:val="16"/>
          <w:i w:val="1"/>
          <w:iCs w:val="1"/>
          <w:color w:val="auto"/>
        </w:rPr>
        <w:t xml:space="preserve">“Confidential Information” </w:t>
      </w:r>
      <w:r>
        <w:rPr>
          <w:rFonts w:ascii="Arial" w:cs="Arial" w:eastAsia="Arial" w:hAnsi="Arial"/>
          <w:sz w:val="16"/>
          <w:szCs w:val="16"/>
          <w:color w:val="auto"/>
        </w:rPr>
        <w:t>has the meaning set forth in Section 11.1 (Confidentiality; Exceptions).</w:t>
      </w:r>
    </w:p>
    <w:p>
      <w:pPr>
        <w:spacing w:after="0" w:line="254"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1" w:name="page162"/>
    <w:bookmarkEnd w:id="161"/>
    <w:p>
      <w:pPr>
        <w:spacing w:after="0"/>
        <w:tabs>
          <w:tab w:leader="none" w:pos="7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7"/>
          <w:szCs w:val="17"/>
          <w:i w:val="1"/>
          <w:iCs w:val="1"/>
          <w:color w:val="auto"/>
        </w:rPr>
        <w:t xml:space="preserve">“Contract Interest Rate” </w:t>
      </w:r>
      <w:r>
        <w:rPr>
          <w:rFonts w:ascii="Arial" w:cs="Arial" w:eastAsia="Arial" w:hAnsi="Arial"/>
          <w:sz w:val="17"/>
          <w:szCs w:val="17"/>
          <w:color w:val="auto"/>
        </w:rPr>
        <w:t>means [*]</w:t>
      </w:r>
    </w:p>
    <w:p>
      <w:pPr>
        <w:spacing w:after="0" w:line="98"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7"/>
          <w:szCs w:val="17"/>
          <w:i w:val="1"/>
          <w:iCs w:val="1"/>
          <w:color w:val="auto"/>
        </w:rPr>
        <w:t xml:space="preserve">“Control” </w:t>
      </w:r>
      <w:r>
        <w:rPr>
          <w:rFonts w:ascii="Arial" w:cs="Arial" w:eastAsia="Arial" w:hAnsi="Arial"/>
          <w:sz w:val="17"/>
          <w:szCs w:val="17"/>
          <w:color w:val="auto"/>
        </w:rPr>
        <w:t>means, with respect to any Information or intellectual property, that the applicable Party or any of its Affiliates owns or has a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to such Information or intellectual property and has the ability to grant to the other Party access to and a license or sublicense (as applicable) under such Information or intellectual property as set forth herein without violating the terms of any agreement with any Third Party as of the time such Party would first be required hereunder to grant such access and license or sublicense.</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7"/>
          <w:szCs w:val="17"/>
          <w:i w:val="1"/>
          <w:iCs w:val="1"/>
          <w:color w:val="auto"/>
        </w:rPr>
        <w:t xml:space="preserve">“Dollars” </w:t>
      </w:r>
      <w:r>
        <w:rPr>
          <w:rFonts w:ascii="Arial" w:cs="Arial" w:eastAsia="Arial" w:hAnsi="Arial"/>
          <w:sz w:val="17"/>
          <w:szCs w:val="17"/>
          <w:color w:val="auto"/>
        </w:rPr>
        <w:t>or</w:t>
      </w:r>
      <w:r>
        <w:rPr>
          <w:rFonts w:ascii="Arial" w:cs="Arial" w:eastAsia="Arial" w:hAnsi="Arial"/>
          <w:sz w:val="17"/>
          <w:szCs w:val="17"/>
          <w:i w:val="1"/>
          <w:iCs w:val="1"/>
          <w:color w:val="auto"/>
        </w:rPr>
        <w:t xml:space="preserve"> “$” </w:t>
      </w:r>
      <w:r>
        <w:rPr>
          <w:rFonts w:ascii="Arial" w:cs="Arial" w:eastAsia="Arial" w:hAnsi="Arial"/>
          <w:sz w:val="17"/>
          <w:szCs w:val="17"/>
          <w:color w:val="auto"/>
        </w:rPr>
        <w:t>means U.S. Dollars.</w:t>
      </w:r>
    </w:p>
    <w:p>
      <w:pPr>
        <w:spacing w:after="0" w:line="98"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8"/>
          <w:szCs w:val="18"/>
          <w:i w:val="1"/>
          <w:iCs w:val="1"/>
          <w:color w:val="auto"/>
        </w:rPr>
        <w:t xml:space="preserve">“Drug” </w:t>
      </w:r>
      <w:r>
        <w:rPr>
          <w:rFonts w:ascii="Arial" w:cs="Arial" w:eastAsia="Arial" w:hAnsi="Arial"/>
          <w:sz w:val="18"/>
          <w:szCs w:val="18"/>
          <w:color w:val="auto"/>
        </w:rPr>
        <w:t>means the ustekinumab biosimilar being developed by Celltrion which is in, or has completed, a Phase 3 Trial as of the Effective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 is referred to as CT-P43.</w:t>
      </w:r>
    </w:p>
    <w:p>
      <w:pPr>
        <w:spacing w:after="0" w:line="89"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8"/>
          <w:szCs w:val="18"/>
          <w:i w:val="1"/>
          <w:iCs w:val="1"/>
          <w:color w:val="auto"/>
        </w:rPr>
        <w:t xml:space="preserve">“Drug Product” </w:t>
      </w:r>
      <w:r>
        <w:rPr>
          <w:rFonts w:ascii="Arial" w:cs="Arial" w:eastAsia="Arial" w:hAnsi="Arial"/>
          <w:sz w:val="18"/>
          <w:szCs w:val="18"/>
          <w:color w:val="auto"/>
        </w:rPr>
        <w:t>or</w:t>
      </w:r>
      <w:r>
        <w:rPr>
          <w:rFonts w:ascii="Arial" w:cs="Arial" w:eastAsia="Arial" w:hAnsi="Arial"/>
          <w:sz w:val="18"/>
          <w:szCs w:val="18"/>
          <w:i w:val="1"/>
          <w:iCs w:val="1"/>
          <w:color w:val="auto"/>
        </w:rPr>
        <w:t xml:space="preserve"> “DP” </w:t>
      </w:r>
      <w:r>
        <w:rPr>
          <w:rFonts w:ascii="Arial" w:cs="Arial" w:eastAsia="Arial" w:hAnsi="Arial"/>
          <w:sz w:val="18"/>
          <w:szCs w:val="18"/>
          <w:color w:val="auto"/>
        </w:rPr>
        <w:t>means the Drug supplied to Rani by Celltrion in [*] (or such other form or presentation as the Parties may mutually</w:t>
      </w:r>
      <w:r>
        <w:rPr>
          <w:rFonts w:ascii="Arial" w:cs="Arial" w:eastAsia="Arial" w:hAnsi="Arial"/>
          <w:sz w:val="18"/>
          <w:szCs w:val="18"/>
          <w:i w:val="1"/>
          <w:iCs w:val="1"/>
          <w:color w:val="auto"/>
        </w:rPr>
        <w:t xml:space="preserve"> </w:t>
      </w:r>
      <w:r>
        <w:rPr>
          <w:rFonts w:ascii="Arial" w:cs="Arial" w:eastAsia="Arial" w:hAnsi="Arial"/>
          <w:sz w:val="18"/>
          <w:szCs w:val="18"/>
          <w:color w:val="auto"/>
        </w:rPr>
        <w:t>agree).</w:t>
      </w:r>
    </w:p>
    <w:p>
      <w:pPr>
        <w:spacing w:after="0" w:line="89" w:lineRule="exact"/>
        <w:rPr>
          <w:sz w:val="20"/>
          <w:szCs w:val="20"/>
          <w:color w:val="auto"/>
        </w:rPr>
      </w:pPr>
    </w:p>
    <w:p>
      <w:pPr>
        <w:ind w:left="760" w:right="40" w:hanging="745"/>
        <w:spacing w:after="0" w:line="277" w:lineRule="auto"/>
        <w:tabs>
          <w:tab w:leader="none" w:pos="74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Drug Substance</w:t>
      </w:r>
      <w:r>
        <w:rPr>
          <w:rFonts w:ascii="Arial" w:cs="Arial" w:eastAsia="Arial" w:hAnsi="Arial"/>
          <w:sz w:val="18"/>
          <w:szCs w:val="18"/>
          <w:color w:val="auto"/>
        </w:rPr>
        <w:t>” or “</w:t>
      </w:r>
      <w:r>
        <w:rPr>
          <w:rFonts w:ascii="Arial" w:cs="Arial" w:eastAsia="Arial" w:hAnsi="Arial"/>
          <w:sz w:val="18"/>
          <w:szCs w:val="18"/>
          <w:i w:val="1"/>
          <w:iCs w:val="1"/>
          <w:color w:val="auto"/>
        </w:rPr>
        <w:t>DS</w:t>
      </w:r>
      <w:r>
        <w:rPr>
          <w:rFonts w:ascii="Arial" w:cs="Arial" w:eastAsia="Arial" w:hAnsi="Arial"/>
          <w:sz w:val="18"/>
          <w:szCs w:val="18"/>
          <w:color w:val="auto"/>
        </w:rPr>
        <w:t>” means the active pharmaceutical ingredient and excipients used in the manufacture of the Drug, supplied to Rani by Celltrion in liquid form in at least [*] (or such other form or presentation as the Parties may mutually agree).</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6"/>
          <w:szCs w:val="16"/>
          <w:i w:val="1"/>
          <w:iCs w:val="1"/>
          <w:color w:val="auto"/>
        </w:rPr>
        <w:t xml:space="preserve">“FDA” </w:t>
      </w:r>
      <w:r>
        <w:rPr>
          <w:rFonts w:ascii="Arial" w:cs="Arial" w:eastAsia="Arial" w:hAnsi="Arial"/>
          <w:sz w:val="16"/>
          <w:szCs w:val="16"/>
          <w:color w:val="auto"/>
        </w:rPr>
        <w:t>means the U.S. Food and Drug Administration, and any successor agency thereto.</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6"/>
          <w:szCs w:val="16"/>
          <w:i w:val="1"/>
          <w:iCs w:val="1"/>
          <w:color w:val="auto"/>
        </w:rPr>
        <w:t xml:space="preserve">“Force Majeure” </w:t>
      </w:r>
      <w:r>
        <w:rPr>
          <w:rFonts w:ascii="Arial" w:cs="Arial" w:eastAsia="Arial" w:hAnsi="Arial"/>
          <w:sz w:val="16"/>
          <w:szCs w:val="16"/>
          <w:color w:val="auto"/>
        </w:rPr>
        <w:t>has the meaning set forth in Section 14.7 (Force Majeure).</w:t>
      </w:r>
    </w:p>
    <w:p>
      <w:pPr>
        <w:spacing w:after="0" w:line="98" w:lineRule="exact"/>
        <w:rPr>
          <w:sz w:val="20"/>
          <w:szCs w:val="20"/>
          <w:color w:val="auto"/>
        </w:rPr>
      </w:pPr>
    </w:p>
    <w:p>
      <w:pPr>
        <w:ind w:left="760" w:right="40" w:hanging="745"/>
        <w:spacing w:after="0" w:line="277" w:lineRule="auto"/>
        <w:tabs>
          <w:tab w:leader="none" w:pos="74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8"/>
          <w:szCs w:val="18"/>
          <w:i w:val="1"/>
          <w:iCs w:val="1"/>
          <w:color w:val="auto"/>
        </w:rPr>
        <w:t xml:space="preserve">“FTE” </w:t>
      </w:r>
      <w:r>
        <w:rPr>
          <w:rFonts w:ascii="Arial" w:cs="Arial" w:eastAsia="Arial" w:hAnsi="Arial"/>
          <w:sz w:val="18"/>
          <w:szCs w:val="18"/>
          <w:color w:val="auto"/>
        </w:rPr>
        <w:t>means the equivalent of the work of one employee full time for the applicable period of time and employee grade level provided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FTE Rate Schedule attached hereto as Appendix C.</w:t>
      </w:r>
    </w:p>
    <w:p>
      <w:pPr>
        <w:spacing w:after="0" w:line="89"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8"/>
          <w:szCs w:val="18"/>
          <w:i w:val="1"/>
          <w:iCs w:val="1"/>
          <w:color w:val="auto"/>
        </w:rPr>
        <w:t xml:space="preserve">“FTE Rate” </w:t>
      </w:r>
      <w:r>
        <w:rPr>
          <w:rFonts w:ascii="Arial" w:cs="Arial" w:eastAsia="Arial" w:hAnsi="Arial"/>
          <w:sz w:val="18"/>
          <w:szCs w:val="18"/>
          <w:color w:val="auto"/>
        </w:rPr>
        <w:t>means the hourly rate for FTE time, increasing on January 1 each year by [*] of the then-current FTE Rate, beginning on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FTE Rate is an hourly rate as set forth in the FTE Rate Schedule attached to this Agreement as Appendix C. Overtime, and work on weekends, holidays and the like will not be counted with any multiplier (e.g., time-and-a-half or double time) toward the number of hours or rate used to calculate the FTE contribution.</w:t>
      </w:r>
    </w:p>
    <w:p>
      <w:pPr>
        <w:spacing w:after="0" w:line="106"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government administrative agency, commission or other governmental authority, body or instrumentality,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federal, state, local, domestic or foreign governmental regulatory body.</w:t>
      </w:r>
    </w:p>
    <w:p>
      <w:pPr>
        <w:spacing w:after="0" w:line="89"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8"/>
          <w:szCs w:val="18"/>
          <w:i w:val="1"/>
          <w:iCs w:val="1"/>
          <w:color w:val="auto"/>
        </w:rPr>
        <w:t xml:space="preserve">“IND” </w:t>
      </w:r>
      <w:r>
        <w:rPr>
          <w:rFonts w:ascii="Arial" w:cs="Arial" w:eastAsia="Arial" w:hAnsi="Arial"/>
          <w:sz w:val="18"/>
          <w:szCs w:val="18"/>
          <w:color w:val="auto"/>
        </w:rPr>
        <w:t>means, with respect to the United States, an Investigational New Drug Application as defined in applicable regulations promulgated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FDA and filed with the FDA for human clinical testing of a drug or, with respect any jurisdiction other than the United States, an equivalent filing thereof.</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6"/>
          <w:szCs w:val="16"/>
          <w:i w:val="1"/>
          <w:iCs w:val="1"/>
          <w:color w:val="auto"/>
        </w:rPr>
        <w:t xml:space="preserve">“Indemnified Party” </w:t>
      </w:r>
      <w:r>
        <w:rPr>
          <w:rFonts w:ascii="Arial" w:cs="Arial" w:eastAsia="Arial" w:hAnsi="Arial"/>
          <w:sz w:val="16"/>
          <w:szCs w:val="16"/>
          <w:color w:val="auto"/>
        </w:rPr>
        <w:t>has the meaning set forth in Section 12.2 (Claim for Indemnification).</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6"/>
          <w:szCs w:val="16"/>
          <w:i w:val="1"/>
          <w:iCs w:val="1"/>
          <w:color w:val="auto"/>
        </w:rPr>
        <w:t xml:space="preserve">“Indemnifying Party” </w:t>
      </w:r>
      <w:r>
        <w:rPr>
          <w:rFonts w:ascii="Arial" w:cs="Arial" w:eastAsia="Arial" w:hAnsi="Arial"/>
          <w:sz w:val="16"/>
          <w:szCs w:val="16"/>
          <w:color w:val="auto"/>
        </w:rPr>
        <w:t>has the meaning set forth in Section 12.2 (Claim for Indemnification).</w:t>
      </w:r>
    </w:p>
    <w:p>
      <w:pPr>
        <w:spacing w:after="0" w:line="98"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means all tangible and intangible techniques, information, technology, practices, trade secrets, inventions (whether patentable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methods, knowledge, know-how, conclusions, skill, experience, test data and results (including pharmacological, toxicological and clinical test data and results), analytical and quality control data, results or descriptions, software and algorithms.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excludes tangible materials, including biological compounds, chemical compounds and reagents.</w:t>
      </w:r>
    </w:p>
    <w:p>
      <w:pPr>
        <w:spacing w:after="0" w:line="106"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6"/>
          <w:szCs w:val="16"/>
          <w:i w:val="1"/>
          <w:iCs w:val="1"/>
          <w:color w:val="auto"/>
        </w:rPr>
        <w:t xml:space="preserve">“Initial Supply” </w:t>
      </w:r>
      <w:r>
        <w:rPr>
          <w:rFonts w:ascii="Arial" w:cs="Arial" w:eastAsia="Arial" w:hAnsi="Arial"/>
          <w:sz w:val="16"/>
          <w:szCs w:val="16"/>
          <w:color w:val="auto"/>
        </w:rPr>
        <w:t>has the meaning set forth in Section 6.2 (Initial Supply).</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7"/>
          <w:szCs w:val="17"/>
          <w:i w:val="1"/>
          <w:iCs w:val="1"/>
          <w:color w:val="auto"/>
        </w:rPr>
        <w:t xml:space="preserve">“Initiation” </w:t>
      </w:r>
      <w:r>
        <w:rPr>
          <w:rFonts w:ascii="Arial" w:cs="Arial" w:eastAsia="Arial" w:hAnsi="Arial"/>
          <w:sz w:val="17"/>
          <w:szCs w:val="17"/>
          <w:color w:val="auto"/>
        </w:rPr>
        <w:t>of a clinical trial or to</w:t>
      </w:r>
      <w:r>
        <w:rPr>
          <w:rFonts w:ascii="Arial" w:cs="Arial" w:eastAsia="Arial" w:hAnsi="Arial"/>
          <w:sz w:val="17"/>
          <w:szCs w:val="17"/>
          <w:i w:val="1"/>
          <w:iCs w:val="1"/>
          <w:color w:val="auto"/>
        </w:rPr>
        <w:t xml:space="preserve"> “Initiate” </w:t>
      </w:r>
      <w:r>
        <w:rPr>
          <w:rFonts w:ascii="Arial" w:cs="Arial" w:eastAsia="Arial" w:hAnsi="Arial"/>
          <w:sz w:val="17"/>
          <w:szCs w:val="17"/>
          <w:color w:val="auto"/>
        </w:rPr>
        <w:t>a clinical trial means the first dosing of a human subject with Product in such trial.</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6"/>
          <w:szCs w:val="16"/>
          <w:i w:val="1"/>
          <w:iCs w:val="1"/>
          <w:color w:val="auto"/>
        </w:rPr>
        <w:t xml:space="preserve">“Joint Steering Committee” </w:t>
      </w:r>
      <w:r>
        <w:rPr>
          <w:rFonts w:ascii="Arial" w:cs="Arial" w:eastAsia="Arial" w:hAnsi="Arial"/>
          <w:sz w:val="16"/>
          <w:szCs w:val="16"/>
          <w:color w:val="auto"/>
        </w:rPr>
        <w:t>or</w:t>
      </w:r>
      <w:r>
        <w:rPr>
          <w:rFonts w:ascii="Arial" w:cs="Arial" w:eastAsia="Arial" w:hAnsi="Arial"/>
          <w:sz w:val="16"/>
          <w:szCs w:val="16"/>
          <w:i w:val="1"/>
          <w:iCs w:val="1"/>
          <w:color w:val="auto"/>
        </w:rPr>
        <w:t xml:space="preserve"> “JSC” </w:t>
      </w:r>
      <w:r>
        <w:rPr>
          <w:rFonts w:ascii="Arial" w:cs="Arial" w:eastAsia="Arial" w:hAnsi="Arial"/>
          <w:sz w:val="16"/>
          <w:szCs w:val="16"/>
          <w:color w:val="auto"/>
        </w:rPr>
        <w:t>has the meaning set forth in Section 2.1 (Joint Steering Committee).</w:t>
      </w:r>
    </w:p>
    <w:p>
      <w:pPr>
        <w:spacing w:after="0" w:line="254"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2" w:name="page163"/>
    <w:bookmarkEnd w:id="162"/>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8"/>
          <w:szCs w:val="18"/>
          <w:i w:val="1"/>
          <w:iCs w:val="1"/>
          <w:color w:val="auto"/>
        </w:rPr>
        <w:t xml:space="preserve">“Law” </w:t>
      </w:r>
      <w:r>
        <w:rPr>
          <w:rFonts w:ascii="Arial" w:cs="Arial" w:eastAsia="Arial" w:hAnsi="Arial"/>
          <w:sz w:val="18"/>
          <w:szCs w:val="18"/>
          <w:color w:val="auto"/>
        </w:rPr>
        <w:t>means, individually and collectively, any and all laws, ordinances, rules, directives, administrative circulars and regulations of any kind</w:t>
      </w:r>
      <w:r>
        <w:rPr>
          <w:rFonts w:ascii="Arial" w:cs="Arial" w:eastAsia="Arial" w:hAnsi="Arial"/>
          <w:sz w:val="18"/>
          <w:szCs w:val="18"/>
          <w:i w:val="1"/>
          <w:iCs w:val="1"/>
          <w:color w:val="auto"/>
        </w:rPr>
        <w:t xml:space="preserve"> </w:t>
      </w:r>
      <w:r>
        <w:rPr>
          <w:rFonts w:ascii="Arial" w:cs="Arial" w:eastAsia="Arial" w:hAnsi="Arial"/>
          <w:sz w:val="18"/>
          <w:szCs w:val="18"/>
          <w:color w:val="auto"/>
        </w:rPr>
        <w:t>whatsoever of any Governmental Authority within the applicable jurisdiction.</w:t>
      </w:r>
    </w:p>
    <w:p>
      <w:pPr>
        <w:spacing w:after="0" w:line="89"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7"/>
          <w:szCs w:val="17"/>
          <w:i w:val="1"/>
          <w:iCs w:val="1"/>
          <w:color w:val="auto"/>
        </w:rPr>
        <w:t xml:space="preserve">“Licensed Information” </w:t>
      </w:r>
      <w:r>
        <w:rPr>
          <w:rFonts w:ascii="Arial" w:cs="Arial" w:eastAsia="Arial" w:hAnsi="Arial"/>
          <w:sz w:val="17"/>
          <w:szCs w:val="17"/>
          <w:color w:val="auto"/>
        </w:rPr>
        <w:t>means all Information in Celltrion’s Control, as of the Effective Date or thereafter during the Term,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information in the investigational brochure for Drug, information in Regulatory Filings, information related to Drug manufacturing or the Chemistry, Manufacturing and Controls section (or the equivalent) of Regulatory Filings, safety and pharmacovigilance data and other information, related to Drug and reasonably necessary for the manufacture, development and/or commercialization of Product, including without limitation the preparation of Regulatory Filings and seeking to obtain Regulatory Approvals for Product.</w:t>
      </w:r>
    </w:p>
    <w:p>
      <w:pPr>
        <w:spacing w:after="0" w:line="95" w:lineRule="exact"/>
        <w:rPr>
          <w:sz w:val="20"/>
          <w:szCs w:val="20"/>
          <w:color w:val="auto"/>
        </w:rPr>
      </w:pPr>
    </w:p>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7"/>
          <w:szCs w:val="17"/>
          <w:i w:val="1"/>
          <w:iCs w:val="1"/>
          <w:color w:val="auto"/>
        </w:rPr>
        <w:t xml:space="preserve">“Licensed IP” </w:t>
      </w:r>
      <w:r>
        <w:rPr>
          <w:rFonts w:ascii="Arial" w:cs="Arial" w:eastAsia="Arial" w:hAnsi="Arial"/>
          <w:sz w:val="17"/>
          <w:szCs w:val="17"/>
          <w:color w:val="auto"/>
        </w:rPr>
        <w:t>means all Licensed Patents, Licensed Know-How and other intellectual property in Celltrion’s Control, as of the Effective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thereafter during the Term, (i) relating to Drug, including without limitation methods of use thereof, or (ii) that is necessary or useful for the development (including regulatory activities), manufacture and/or commercialization of Product in the Territory.</w:t>
      </w:r>
    </w:p>
    <w:p>
      <w:pPr>
        <w:spacing w:after="0" w:line="84"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8"/>
          <w:szCs w:val="18"/>
          <w:i w:val="1"/>
          <w:iCs w:val="1"/>
          <w:color w:val="auto"/>
        </w:rPr>
        <w:t xml:space="preserve">“Licensed Know-How” </w:t>
      </w:r>
      <w:r>
        <w:rPr>
          <w:rFonts w:ascii="Arial" w:cs="Arial" w:eastAsia="Arial" w:hAnsi="Arial"/>
          <w:sz w:val="18"/>
          <w:szCs w:val="18"/>
          <w:color w:val="auto"/>
        </w:rPr>
        <w:t>means Information in Celltrion’s Control, as of the Effective Date or thereafter during the Term, that is necessary or</w:t>
      </w:r>
      <w:r>
        <w:rPr>
          <w:rFonts w:ascii="Arial" w:cs="Arial" w:eastAsia="Arial" w:hAnsi="Arial"/>
          <w:sz w:val="18"/>
          <w:szCs w:val="18"/>
          <w:i w:val="1"/>
          <w:iCs w:val="1"/>
          <w:color w:val="auto"/>
        </w:rPr>
        <w:t xml:space="preserve"> </w:t>
      </w:r>
      <w:r>
        <w:rPr>
          <w:rFonts w:ascii="Arial" w:cs="Arial" w:eastAsia="Arial" w:hAnsi="Arial"/>
          <w:sz w:val="18"/>
          <w:szCs w:val="18"/>
          <w:color w:val="auto"/>
        </w:rPr>
        <w:t>useful for the development (including regulatory activities), manufacture and/or commercialization of Product in the Territory. Licensed Know-How will include Licensed Information.</w:t>
      </w:r>
    </w:p>
    <w:p>
      <w:pPr>
        <w:spacing w:after="0" w:line="103" w:lineRule="exact"/>
        <w:rPr>
          <w:sz w:val="20"/>
          <w:szCs w:val="20"/>
          <w:color w:val="auto"/>
        </w:rPr>
      </w:pPr>
    </w:p>
    <w:p>
      <w:pPr>
        <w:jc w:val="both"/>
        <w:ind w:left="760" w:hanging="748"/>
        <w:spacing w:after="0" w:line="275" w:lineRule="auto"/>
        <w:tabs>
          <w:tab w:leader="none" w:pos="7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7"/>
          <w:szCs w:val="17"/>
          <w:i w:val="1"/>
          <w:iCs w:val="1"/>
          <w:color w:val="auto"/>
        </w:rPr>
        <w:t xml:space="preserve">“Licensed Patents” </w:t>
      </w:r>
      <w:r>
        <w:rPr>
          <w:rFonts w:ascii="Arial" w:cs="Arial" w:eastAsia="Arial" w:hAnsi="Arial"/>
          <w:sz w:val="17"/>
          <w:szCs w:val="17"/>
          <w:color w:val="auto"/>
        </w:rPr>
        <w:t>means all Patents in Celltrion’s Control, as of the Effective Date or thereafter during the Term, that (i) would (absent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granted herein) be infringed by the use, sale, offer for sale, importation or other exploitation of Product in the Territory or (ii) would be necessary or useful for the development (including regulatory activities), manufacture and/or commercialization of Product in the Territory. For purposes of determining whether a patent application falls within clause (i) of this definition, a patent application shall be considered “infringed” if its pending claims would be infringed if issued as then currently set forth in the patent application.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6"/>
          <w:szCs w:val="16"/>
          <w:i w:val="1"/>
          <w:iCs w:val="1"/>
          <w:color w:val="auto"/>
        </w:rPr>
        <w:t xml:space="preserve">“Losses” </w:t>
      </w:r>
      <w:r>
        <w:rPr>
          <w:rFonts w:ascii="Arial" w:cs="Arial" w:eastAsia="Arial" w:hAnsi="Arial"/>
          <w:sz w:val="16"/>
          <w:szCs w:val="16"/>
          <w:color w:val="auto"/>
        </w:rPr>
        <w:t>has the meaning set forth in Section 12.1.1 (Rani Indemnity).</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6"/>
          <w:szCs w:val="16"/>
          <w:i w:val="1"/>
          <w:iCs w:val="1"/>
          <w:color w:val="auto"/>
        </w:rPr>
        <w:t xml:space="preserve">“Notice” </w:t>
      </w:r>
      <w:r>
        <w:rPr>
          <w:rFonts w:ascii="Arial" w:cs="Arial" w:eastAsia="Arial" w:hAnsi="Arial"/>
          <w:sz w:val="16"/>
          <w:szCs w:val="16"/>
          <w:color w:val="auto"/>
        </w:rPr>
        <w:t>has the meaning set forth in Section 6.4.4 (Non-Conforming DP/DS).</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Order</w:t>
      </w:r>
      <w:r>
        <w:rPr>
          <w:rFonts w:ascii="Arial" w:cs="Arial" w:eastAsia="Arial" w:hAnsi="Arial"/>
          <w:sz w:val="16"/>
          <w:szCs w:val="16"/>
          <w:color w:val="auto"/>
        </w:rPr>
        <w:t>” has the meaning set forth in Section 6.3.2 (Orders).</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6"/>
          <w:szCs w:val="16"/>
          <w:i w:val="1"/>
          <w:iCs w:val="1"/>
          <w:color w:val="auto"/>
        </w:rPr>
        <w:t xml:space="preserve">“Party” </w:t>
      </w:r>
      <w:r>
        <w:rPr>
          <w:rFonts w:ascii="Arial" w:cs="Arial" w:eastAsia="Arial" w:hAnsi="Arial"/>
          <w:sz w:val="16"/>
          <w:szCs w:val="16"/>
          <w:color w:val="auto"/>
        </w:rPr>
        <w:t>or</w:t>
      </w:r>
      <w:r>
        <w:rPr>
          <w:rFonts w:ascii="Arial" w:cs="Arial" w:eastAsia="Arial" w:hAnsi="Arial"/>
          <w:sz w:val="16"/>
          <w:szCs w:val="16"/>
          <w:i w:val="1"/>
          <w:iCs w:val="1"/>
          <w:color w:val="auto"/>
        </w:rPr>
        <w:t xml:space="preserve"> “Parties” </w:t>
      </w:r>
      <w:r>
        <w:rPr>
          <w:rFonts w:ascii="Arial" w:cs="Arial" w:eastAsia="Arial" w:hAnsi="Arial"/>
          <w:sz w:val="16"/>
          <w:szCs w:val="16"/>
          <w:color w:val="auto"/>
        </w:rPr>
        <w:t>has the meaning set forth in the Preamble.</w:t>
      </w:r>
    </w:p>
    <w:p>
      <w:pPr>
        <w:spacing w:after="0" w:line="98" w:lineRule="exact"/>
        <w:rPr>
          <w:sz w:val="20"/>
          <w:szCs w:val="20"/>
          <w:color w:val="auto"/>
        </w:rPr>
      </w:pPr>
    </w:p>
    <w:p>
      <w:pPr>
        <w:jc w:val="both"/>
        <w:ind w:left="760" w:right="40" w:hanging="745"/>
        <w:spacing w:after="0" w:line="270" w:lineRule="auto"/>
        <w:tabs>
          <w:tab w:leader="none" w:pos="7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7"/>
          <w:szCs w:val="17"/>
          <w:i w:val="1"/>
          <w:iCs w:val="1"/>
          <w:color w:val="auto"/>
        </w:rPr>
        <w:t xml:space="preserve">“Patent” </w:t>
      </w:r>
      <w:r>
        <w:rPr>
          <w:rFonts w:ascii="Arial" w:cs="Arial" w:eastAsia="Arial" w:hAnsi="Arial"/>
          <w:sz w:val="17"/>
          <w:szCs w:val="17"/>
          <w:color w:val="auto"/>
        </w:rPr>
        <w:t>means any of the following, whether existing now or in the future, anywhere in the world: (i) any patents and patent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provisional applications); (ii) any patent applications filed either from such patents or patent applications (including provisional applications) or from an application claiming priority from either of these, including continuations, continuations-in-part, divisionals, converted provisionals, continued prosecution applications, and substitute applications; (iii) any patents issued based on or claiming priority to any such patent applications in (i) and (ii); (iv) any and all extensions or restorations by existing or future extension or restoration mechanisms, including adjustments, revalidations, renewals, reissues, re-examinations and extensions (including any supplementary protection certificates and the like) of the foregoing patents or patent applications in (i), (ii) and (iii); and (v) any similar rights, including so-called pipeline protection, or any importation, revalidation, confirmation or introduction patent or registration patent or patents of addition to any of such foregoing patents or patent applications.</w:t>
      </w:r>
    </w:p>
    <w:p>
      <w:pPr>
        <w:spacing w:after="0" w:line="100" w:lineRule="exact"/>
        <w:rPr>
          <w:sz w:val="20"/>
          <w:szCs w:val="20"/>
          <w:color w:val="auto"/>
        </w:rPr>
      </w:pPr>
    </w:p>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17"/>
          <w:szCs w:val="17"/>
          <w:i w:val="1"/>
          <w:iCs w:val="1"/>
          <w:color w:val="auto"/>
        </w:rPr>
        <w:t xml:space="preserve">“Person” </w:t>
      </w:r>
      <w:r>
        <w:rPr>
          <w:rFonts w:ascii="Arial" w:cs="Arial" w:eastAsia="Arial" w:hAnsi="Arial"/>
          <w:sz w:val="17"/>
          <w:szCs w:val="17"/>
          <w:color w:val="auto"/>
        </w:rPr>
        <w:t>means an individual, corporation, partnership, limited liability company, limited partnership, trust, business trust, association, joint</w:t>
      </w:r>
      <w:r>
        <w:rPr>
          <w:rFonts w:ascii="Arial" w:cs="Arial" w:eastAsia="Arial" w:hAnsi="Arial"/>
          <w:sz w:val="17"/>
          <w:szCs w:val="17"/>
          <w:i w:val="1"/>
          <w:iCs w:val="1"/>
          <w:color w:val="auto"/>
        </w:rPr>
        <w:t xml:space="preserve"> </w:t>
      </w:r>
      <w:r>
        <w:rPr>
          <w:rFonts w:ascii="Arial" w:cs="Arial" w:eastAsia="Arial" w:hAnsi="Arial"/>
          <w:sz w:val="17"/>
          <w:szCs w:val="17"/>
          <w:color w:val="auto"/>
        </w:rPr>
        <w:t>stock company, joint venture, pool, syndicate, “group” as defined in Section 13(d)(3) of the U.S. Securities Exchange Act of 1934, as amended, sole proprietorship, unincorporated organization, Governmental Authority or any other form of entity not specifically listed herein.</w:t>
      </w:r>
    </w:p>
    <w:p>
      <w:pPr>
        <w:spacing w:after="0" w:line="8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6"/>
          <w:szCs w:val="16"/>
          <w:i w:val="1"/>
          <w:iCs w:val="1"/>
          <w:color w:val="auto"/>
        </w:rPr>
        <w:t xml:space="preserve">“Phase 1 Data” </w:t>
      </w:r>
      <w:r>
        <w:rPr>
          <w:rFonts w:ascii="Arial" w:cs="Arial" w:eastAsia="Arial" w:hAnsi="Arial"/>
          <w:sz w:val="16"/>
          <w:szCs w:val="16"/>
          <w:color w:val="auto"/>
        </w:rPr>
        <w:t>has the meaning set forth in Section 5.1 (Right of First Negotiation).</w:t>
      </w:r>
    </w:p>
    <w:p>
      <w:pPr>
        <w:spacing w:after="0" w:line="254"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3</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3" w:name="page164"/>
    <w:bookmarkEnd w:id="163"/>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8"/>
          <w:szCs w:val="18"/>
          <w:i w:val="1"/>
          <w:iCs w:val="1"/>
          <w:color w:val="auto"/>
        </w:rPr>
        <w:t xml:space="preserve">“Phase 1 Trial” </w:t>
      </w:r>
      <w:r>
        <w:rPr>
          <w:rFonts w:ascii="Arial" w:cs="Arial" w:eastAsia="Arial" w:hAnsi="Arial"/>
          <w:sz w:val="18"/>
          <w:szCs w:val="18"/>
          <w:color w:val="auto"/>
        </w:rPr>
        <w:t>means, with respect to the United States, any human clinical trial, the principal purpose of which is preliminary determination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safety in healthy individuals or patients as required under 21 C.F.R. §312.21(a), or, with respect to a jurisdiction other than the United States, an equivalent clinical study</w:t>
      </w:r>
      <w:r>
        <w:rPr>
          <w:rFonts w:ascii="Arial" w:cs="Arial" w:eastAsia="Arial" w:hAnsi="Arial"/>
          <w:sz w:val="18"/>
          <w:szCs w:val="18"/>
          <w:i w:val="1"/>
          <w:iCs w:val="1"/>
          <w:color w:val="auto"/>
        </w:rPr>
        <w:t>.</w:t>
      </w:r>
    </w:p>
    <w:p>
      <w:pPr>
        <w:spacing w:after="0" w:line="103"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8"/>
          <w:szCs w:val="18"/>
          <w:i w:val="1"/>
          <w:iCs w:val="1"/>
          <w:color w:val="auto"/>
        </w:rPr>
        <w:t xml:space="preserve">“Phase 2 Trial” </w:t>
      </w:r>
      <w:r>
        <w:rPr>
          <w:rFonts w:ascii="Arial" w:cs="Arial" w:eastAsia="Arial" w:hAnsi="Arial"/>
          <w:sz w:val="18"/>
          <w:szCs w:val="18"/>
          <w:color w:val="auto"/>
        </w:rPr>
        <w:t>means a human clinical trial on sufficient numbers of patients that is designed to establish the safety and preliminary efficacy of</w:t>
      </w:r>
      <w:r>
        <w:rPr>
          <w:rFonts w:ascii="Arial" w:cs="Arial" w:eastAsia="Arial" w:hAnsi="Arial"/>
          <w:sz w:val="18"/>
          <w:szCs w:val="18"/>
          <w:i w:val="1"/>
          <w:iCs w:val="1"/>
          <w:color w:val="auto"/>
        </w:rPr>
        <w:t xml:space="preserve"> </w:t>
      </w:r>
      <w:r>
        <w:rPr>
          <w:rFonts w:ascii="Arial" w:cs="Arial" w:eastAsia="Arial" w:hAnsi="Arial"/>
          <w:sz w:val="18"/>
          <w:szCs w:val="18"/>
          <w:color w:val="auto"/>
        </w:rPr>
        <w:t>a drug for its intended use, and that satisfies the requirements of 21 CFR 312.21(b) (or its successor regulation), or, with respect to a jurisdiction other than the United States, an equivalent clinical study.</w:t>
      </w:r>
    </w:p>
    <w:p>
      <w:pPr>
        <w:spacing w:after="0" w:line="103"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7"/>
          <w:szCs w:val="17"/>
          <w:i w:val="1"/>
          <w:iCs w:val="1"/>
          <w:color w:val="auto"/>
        </w:rPr>
        <w:t xml:space="preserve">“Phase 3 Trial” </w:t>
      </w:r>
      <w:r>
        <w:rPr>
          <w:rFonts w:ascii="Arial" w:cs="Arial" w:eastAsia="Arial" w:hAnsi="Arial"/>
          <w:sz w:val="17"/>
          <w:szCs w:val="17"/>
          <w:color w:val="auto"/>
        </w:rPr>
        <w:t>means a human clinical trial of sufficient numbers of patients that, if the defined end-points are met, is intended to be a pivotal</w:t>
      </w:r>
      <w:r>
        <w:rPr>
          <w:rFonts w:ascii="Arial" w:cs="Arial" w:eastAsia="Arial" w:hAnsi="Arial"/>
          <w:sz w:val="17"/>
          <w:szCs w:val="17"/>
          <w:i w:val="1"/>
          <w:iCs w:val="1"/>
          <w:color w:val="auto"/>
        </w:rPr>
        <w:t xml:space="preserve"> </w:t>
      </w:r>
      <w:r>
        <w:rPr>
          <w:rFonts w:ascii="Arial" w:cs="Arial" w:eastAsia="Arial" w:hAnsi="Arial"/>
          <w:sz w:val="17"/>
          <w:szCs w:val="17"/>
          <w:color w:val="auto"/>
        </w:rPr>
        <w:t>trial for obtaining Regulatory Approval or otherwise intended to supplement existing data on the drug and thereby establish that a drug is sufficiently safe and efficacious for its intended use for the purposes of obtaining Regulatory Approval, and that satisfies the requirements of 21 CFR 312.21(c), or, with respect to a jurisdiction other than the United States, an equivalent clinical study.</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6"/>
          <w:szCs w:val="16"/>
          <w:i w:val="1"/>
          <w:iCs w:val="1"/>
          <w:color w:val="auto"/>
        </w:rPr>
        <w:t xml:space="preserve">“Prior Agreement” </w:t>
      </w:r>
      <w:r>
        <w:rPr>
          <w:rFonts w:ascii="Arial" w:cs="Arial" w:eastAsia="Arial" w:hAnsi="Arial"/>
          <w:sz w:val="16"/>
          <w:szCs w:val="16"/>
          <w:color w:val="auto"/>
        </w:rPr>
        <w:t>has the meaning set forth in Section 9.4 (Prior Agreement).</w:t>
      </w:r>
    </w:p>
    <w:p>
      <w:pPr>
        <w:spacing w:after="0" w:line="98"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8"/>
          <w:szCs w:val="18"/>
          <w:i w:val="1"/>
          <w:iCs w:val="1"/>
          <w:color w:val="auto"/>
        </w:rPr>
        <w:t xml:space="preserve">“Product” </w:t>
      </w:r>
      <w:r>
        <w:rPr>
          <w:rFonts w:ascii="Arial" w:cs="Arial" w:eastAsia="Arial" w:hAnsi="Arial"/>
          <w:sz w:val="18"/>
          <w:szCs w:val="18"/>
          <w:color w:val="auto"/>
        </w:rPr>
        <w:t>means an orally-administered therapeutic product using Rani Oral Delivery Technology and containing ustekinumab as the sole</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agent.</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6"/>
          <w:szCs w:val="16"/>
          <w:i w:val="1"/>
          <w:iCs w:val="1"/>
          <w:color w:val="auto"/>
        </w:rPr>
        <w:t xml:space="preserve">“Program Data” </w:t>
      </w:r>
      <w:r>
        <w:rPr>
          <w:rFonts w:ascii="Arial" w:cs="Arial" w:eastAsia="Arial" w:hAnsi="Arial"/>
          <w:sz w:val="16"/>
          <w:szCs w:val="16"/>
          <w:color w:val="auto"/>
        </w:rPr>
        <w:t>has the meaning set forth in Section 8.5 (Program Data).</w:t>
      </w:r>
    </w:p>
    <w:p>
      <w:pPr>
        <w:spacing w:after="0" w:line="98" w:lineRule="exact"/>
        <w:rPr>
          <w:sz w:val="20"/>
          <w:szCs w:val="20"/>
          <w:color w:val="auto"/>
        </w:rPr>
      </w:pPr>
    </w:p>
    <w:p>
      <w:pPr>
        <w:jc w:val="both"/>
        <w:ind w:left="760" w:right="20" w:hanging="748"/>
        <w:spacing w:after="0" w:line="277" w:lineRule="auto"/>
        <w:tabs>
          <w:tab w:leader="none" w:pos="74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8"/>
          <w:szCs w:val="18"/>
          <w:i w:val="1"/>
          <w:iCs w:val="1"/>
          <w:color w:val="auto"/>
        </w:rPr>
        <w:t xml:space="preserve">“Program Inventions” </w:t>
      </w:r>
      <w:r>
        <w:rPr>
          <w:rFonts w:ascii="Arial" w:cs="Arial" w:eastAsia="Arial" w:hAnsi="Arial"/>
          <w:sz w:val="18"/>
          <w:szCs w:val="18"/>
          <w:color w:val="auto"/>
        </w:rPr>
        <w:t>means inventions generated in performance of this Agreement for the manufacture, development and commercialization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Product.</w:t>
      </w:r>
    </w:p>
    <w:p>
      <w:pPr>
        <w:spacing w:after="0" w:line="89"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Quality Agreement</w:t>
      </w:r>
      <w:r>
        <w:rPr>
          <w:rFonts w:ascii="Arial" w:cs="Arial" w:eastAsia="Arial" w:hAnsi="Arial"/>
          <w:sz w:val="18"/>
          <w:szCs w:val="18"/>
          <w:color w:val="auto"/>
        </w:rPr>
        <w:t>” means a Quality Agreement entered into between the Parties related to the manufacture and supply of Drug Product and/or Drug Substance, as contemplated by Section 6.6 (Quality Agreement).</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6"/>
          <w:szCs w:val="16"/>
          <w:i w:val="1"/>
          <w:iCs w:val="1"/>
          <w:color w:val="auto"/>
        </w:rPr>
        <w:t xml:space="preserve">“Rani” </w:t>
      </w:r>
      <w:r>
        <w:rPr>
          <w:rFonts w:ascii="Arial" w:cs="Arial" w:eastAsia="Arial" w:hAnsi="Arial"/>
          <w:sz w:val="16"/>
          <w:szCs w:val="16"/>
          <w:color w:val="auto"/>
        </w:rPr>
        <w:t>has the meaning set forth in the Preamble.</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6"/>
          <w:szCs w:val="16"/>
          <w:i w:val="1"/>
          <w:iCs w:val="1"/>
          <w:color w:val="auto"/>
        </w:rPr>
        <w:t xml:space="preserve">“Rani Indemnitees” </w:t>
      </w:r>
      <w:r>
        <w:rPr>
          <w:rFonts w:ascii="Arial" w:cs="Arial" w:eastAsia="Arial" w:hAnsi="Arial"/>
          <w:sz w:val="16"/>
          <w:szCs w:val="16"/>
          <w:color w:val="auto"/>
        </w:rPr>
        <w:t>has the meaning set forth in Section 12.1.2 (Celltrion Indemnity).</w:t>
      </w:r>
    </w:p>
    <w:p>
      <w:pPr>
        <w:spacing w:after="0" w:line="98" w:lineRule="exact"/>
        <w:rPr>
          <w:sz w:val="20"/>
          <w:szCs w:val="20"/>
          <w:color w:val="auto"/>
        </w:rPr>
      </w:pPr>
    </w:p>
    <w:p>
      <w:pPr>
        <w:jc w:val="both"/>
        <w:ind w:left="760" w:hanging="748"/>
        <w:spacing w:after="0" w:line="232" w:lineRule="auto"/>
        <w:tabs>
          <w:tab w:leader="none" w:pos="7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8"/>
          <w:szCs w:val="18"/>
          <w:i w:val="1"/>
          <w:iCs w:val="1"/>
          <w:color w:val="auto"/>
        </w:rPr>
        <w:t xml:space="preserve">“Rani Oral Delivery Technology” </w:t>
      </w:r>
      <w:r>
        <w:rPr>
          <w:rFonts w:ascii="Arial" w:cs="Arial" w:eastAsia="Arial" w:hAnsi="Arial"/>
          <w:sz w:val="18"/>
          <w:szCs w:val="18"/>
          <w:color w:val="auto"/>
        </w:rPr>
        <w:t>means oral delivery technology Controlled by Rani or its Affiliates, including the RaniPill</w:t>
      </w:r>
      <w:r>
        <w:rPr>
          <w:rFonts w:ascii="Arial" w:cs="Arial" w:eastAsia="Arial" w:hAnsi="Arial"/>
          <w:sz w:val="24"/>
          <w:szCs w:val="24"/>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capsule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oral delivery of therapeutic molecules, microtablet formulation technology, and any improvements thereto.</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6"/>
          <w:szCs w:val="16"/>
          <w:i w:val="1"/>
          <w:iCs w:val="1"/>
          <w:color w:val="auto"/>
        </w:rPr>
        <w:t xml:space="preserve">“Rani Territory” </w:t>
      </w:r>
      <w:r>
        <w:rPr>
          <w:rFonts w:ascii="Arial" w:cs="Arial" w:eastAsia="Arial" w:hAnsi="Arial"/>
          <w:sz w:val="16"/>
          <w:szCs w:val="16"/>
          <w:color w:val="auto"/>
        </w:rPr>
        <w:t>means the entire world other than the ROFN Territory.</w:t>
      </w:r>
    </w:p>
    <w:p>
      <w:pPr>
        <w:spacing w:after="0" w:line="98"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8"/>
          <w:szCs w:val="18"/>
          <w:i w:val="1"/>
          <w:iCs w:val="1"/>
          <w:color w:val="auto"/>
        </w:rPr>
        <w:t xml:space="preserve">“Regulatory Approval” </w:t>
      </w:r>
      <w:r>
        <w:rPr>
          <w:rFonts w:ascii="Arial" w:cs="Arial" w:eastAsia="Arial" w:hAnsi="Arial"/>
          <w:sz w:val="18"/>
          <w:szCs w:val="18"/>
          <w:color w:val="auto"/>
        </w:rPr>
        <w:t>means, with respect to a given therapeutic product, the product-specific approvals, licenses, permits, certifications,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registrations or authorizations from Governmental Authorities necessary under applicable Law for the commercial distribution, manufacture, marketing and sale of such product in a country or some or all of an extra-national territory.</w:t>
      </w:r>
    </w:p>
    <w:p>
      <w:pPr>
        <w:spacing w:after="0" w:line="103"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8"/>
          <w:szCs w:val="18"/>
          <w:i w:val="1"/>
          <w:iCs w:val="1"/>
          <w:color w:val="auto"/>
        </w:rPr>
        <w:t xml:space="preserve">“Regulatory Filing” </w:t>
      </w:r>
      <w:r>
        <w:rPr>
          <w:rFonts w:ascii="Arial" w:cs="Arial" w:eastAsia="Arial" w:hAnsi="Arial"/>
          <w:sz w:val="18"/>
          <w:szCs w:val="18"/>
          <w:color w:val="auto"/>
        </w:rPr>
        <w:t>means a filing with any Governmental Authority with respect to the development, manufacture,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or reimbursement of a therapeutic product.</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6"/>
          <w:szCs w:val="16"/>
          <w:i w:val="1"/>
          <w:iCs w:val="1"/>
          <w:color w:val="auto"/>
        </w:rPr>
        <w:t xml:space="preserve">“ROFN” </w:t>
      </w:r>
      <w:r>
        <w:rPr>
          <w:rFonts w:ascii="Arial" w:cs="Arial" w:eastAsia="Arial" w:hAnsi="Arial"/>
          <w:sz w:val="16"/>
          <w:szCs w:val="16"/>
          <w:color w:val="auto"/>
        </w:rPr>
        <w:t>means the right of first negotiation as set forth in Section 5.1 (Right of First Negotiation).</w:t>
      </w:r>
    </w:p>
    <w:p>
      <w:pPr>
        <w:spacing w:after="0" w:line="98" w:lineRule="exact"/>
        <w:rPr>
          <w:sz w:val="20"/>
          <w:szCs w:val="20"/>
          <w:color w:val="auto"/>
        </w:rPr>
      </w:pPr>
    </w:p>
    <w:p>
      <w:pPr>
        <w:jc w:val="both"/>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8"/>
          <w:szCs w:val="18"/>
          <w:i w:val="1"/>
          <w:iCs w:val="1"/>
          <w:color w:val="auto"/>
        </w:rPr>
        <w:t xml:space="preserve">“ROFN Exercise Date” </w:t>
      </w:r>
      <w:r>
        <w:rPr>
          <w:rFonts w:ascii="Arial" w:cs="Arial" w:eastAsia="Arial" w:hAnsi="Arial"/>
          <w:sz w:val="18"/>
          <w:szCs w:val="18"/>
          <w:color w:val="auto"/>
        </w:rPr>
        <w:t>means the date on which Celltrion has delivered to Rani a ROFN Exercise Notice in accordance with Section 5.1 (Right</w:t>
      </w:r>
      <w:r>
        <w:rPr>
          <w:rFonts w:ascii="Arial" w:cs="Arial" w:eastAsia="Arial" w:hAnsi="Arial"/>
          <w:sz w:val="18"/>
          <w:szCs w:val="18"/>
          <w:i w:val="1"/>
          <w:iCs w:val="1"/>
          <w:color w:val="auto"/>
        </w:rPr>
        <w:t xml:space="preserve"> </w:t>
      </w:r>
      <w:r>
        <w:rPr>
          <w:rFonts w:ascii="Arial" w:cs="Arial" w:eastAsia="Arial" w:hAnsi="Arial"/>
          <w:sz w:val="18"/>
          <w:szCs w:val="18"/>
          <w:color w:val="auto"/>
        </w:rPr>
        <w:t>of First Negotiation).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6"/>
          <w:szCs w:val="16"/>
          <w:i w:val="1"/>
          <w:iCs w:val="1"/>
          <w:color w:val="auto"/>
        </w:rPr>
        <w:t xml:space="preserve">“ROFN Exercise Notice” </w:t>
      </w:r>
      <w:r>
        <w:rPr>
          <w:rFonts w:ascii="Arial" w:cs="Arial" w:eastAsia="Arial" w:hAnsi="Arial"/>
          <w:sz w:val="16"/>
          <w:szCs w:val="16"/>
          <w:color w:val="auto"/>
        </w:rPr>
        <w:t>has the meaning set forth in Section 5.1 (Right of First Negotiation).</w:t>
      </w:r>
    </w:p>
    <w:p>
      <w:pPr>
        <w:spacing w:after="0" w:line="98" w:lineRule="exact"/>
        <w:rPr>
          <w:sz w:val="20"/>
          <w:szCs w:val="20"/>
          <w:color w:val="auto"/>
        </w:rPr>
      </w:pPr>
    </w:p>
    <w:p>
      <w:pPr>
        <w:jc w:val="both"/>
        <w:ind w:left="760" w:right="40" w:hanging="745"/>
        <w:spacing w:after="0" w:line="263" w:lineRule="auto"/>
        <w:tabs>
          <w:tab w:leader="none" w:pos="74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8"/>
          <w:szCs w:val="18"/>
          <w:i w:val="1"/>
          <w:iCs w:val="1"/>
          <w:color w:val="auto"/>
        </w:rPr>
        <w:t xml:space="preserve">“ROFN Exercise Period” </w:t>
      </w:r>
      <w:r>
        <w:rPr>
          <w:rFonts w:ascii="Arial" w:cs="Arial" w:eastAsia="Arial" w:hAnsi="Arial"/>
          <w:sz w:val="18"/>
          <w:szCs w:val="18"/>
          <w:color w:val="auto"/>
        </w:rPr>
        <w:t>has the meaning set forth in Section 5.1 (Right of First Negotiation) and, subject to Section 5.5 (End of ROFN), will</w:t>
      </w:r>
      <w:r>
        <w:rPr>
          <w:rFonts w:ascii="Arial" w:cs="Arial" w:eastAsia="Arial" w:hAnsi="Arial"/>
          <w:sz w:val="18"/>
          <w:szCs w:val="18"/>
          <w:i w:val="1"/>
          <w:iCs w:val="1"/>
          <w:color w:val="auto"/>
        </w:rPr>
        <w:t xml:space="preserve"> </w:t>
      </w:r>
      <w:r>
        <w:rPr>
          <w:rFonts w:ascii="Arial" w:cs="Arial" w:eastAsia="Arial" w:hAnsi="Arial"/>
          <w:sz w:val="18"/>
          <w:szCs w:val="18"/>
          <w:color w:val="auto"/>
        </w:rPr>
        <w:t>expire upon the earlier of (i) the end of thirty (30) days after receipt by Celltrion of the Phase 1 Data, (ii) the ROFN Exercise Date and (iii) the date this Agreement is terminated.</w:t>
      </w:r>
    </w:p>
    <w:p>
      <w:pPr>
        <w:spacing w:after="0" w:line="103" w:lineRule="exact"/>
        <w:rPr>
          <w:sz w:val="20"/>
          <w:szCs w:val="20"/>
          <w:color w:val="auto"/>
        </w:rPr>
      </w:pPr>
    </w:p>
    <w:p>
      <w:pPr>
        <w:jc w:val="both"/>
        <w:ind w:left="760" w:right="40" w:hanging="745"/>
        <w:spacing w:after="0" w:line="277" w:lineRule="auto"/>
        <w:tabs>
          <w:tab w:leader="none" w:pos="74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8"/>
          <w:szCs w:val="18"/>
          <w:i w:val="1"/>
          <w:iCs w:val="1"/>
          <w:color w:val="auto"/>
        </w:rPr>
        <w:t xml:space="preserve">“ROFN Negotiation Period” </w:t>
      </w:r>
      <w:r>
        <w:rPr>
          <w:rFonts w:ascii="Arial" w:cs="Arial" w:eastAsia="Arial" w:hAnsi="Arial"/>
          <w:sz w:val="18"/>
          <w:szCs w:val="18"/>
          <w:color w:val="auto"/>
        </w:rPr>
        <w:t>has the meaning set forth in Section 5.3 (Negotiation Period) and, subject to Section 5.5 (End of ROFN), will</w:t>
      </w:r>
      <w:r>
        <w:rPr>
          <w:rFonts w:ascii="Arial" w:cs="Arial" w:eastAsia="Arial" w:hAnsi="Arial"/>
          <w:sz w:val="18"/>
          <w:szCs w:val="18"/>
          <w:i w:val="1"/>
          <w:iCs w:val="1"/>
          <w:color w:val="auto"/>
        </w:rPr>
        <w:t xml:space="preserve"> </w:t>
      </w:r>
      <w:r>
        <w:rPr>
          <w:rFonts w:ascii="Arial" w:cs="Arial" w:eastAsia="Arial" w:hAnsi="Arial"/>
          <w:sz w:val="18"/>
          <w:szCs w:val="18"/>
          <w:color w:val="auto"/>
        </w:rPr>
        <w:t>expire upon the earlier of (i) the end of ninety (90) days after the ROFN</w:t>
      </w:r>
    </w:p>
    <w:p>
      <w:pPr>
        <w:spacing w:after="0" w:line="245"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4</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4" w:name="page165"/>
    <w:bookmarkEnd w:id="164"/>
    <w:p>
      <w:pPr>
        <w:ind w:left="760" w:right="60"/>
        <w:spacing w:after="0" w:line="277" w:lineRule="auto"/>
        <w:rPr>
          <w:sz w:val="20"/>
          <w:szCs w:val="20"/>
          <w:color w:val="auto"/>
        </w:rPr>
      </w:pPr>
      <w:r>
        <w:rPr>
          <w:rFonts w:ascii="Arial" w:cs="Arial" w:eastAsia="Arial" w:hAnsi="Arial"/>
          <w:sz w:val="18"/>
          <w:szCs w:val="18"/>
          <w:color w:val="auto"/>
        </w:rPr>
        <w:t>Exercise Date, (ii) the date the Parties enter into a definitive agreement under Section 5.4 (Definitive Agreement) and (iii) the date this Agreement is terminated.</w:t>
      </w:r>
    </w:p>
    <w:p>
      <w:pPr>
        <w:spacing w:after="0" w:line="5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6"/>
          <w:szCs w:val="16"/>
          <w:i w:val="1"/>
          <w:iCs w:val="1"/>
          <w:color w:val="auto"/>
        </w:rPr>
        <w:t xml:space="preserve">“ROFN Territory” </w:t>
      </w:r>
      <w:r>
        <w:rPr>
          <w:rFonts w:ascii="Arial" w:cs="Arial" w:eastAsia="Arial" w:hAnsi="Arial"/>
          <w:sz w:val="16"/>
          <w:szCs w:val="16"/>
          <w:color w:val="auto"/>
        </w:rPr>
        <w:t>has the meaning set forth in Section 5.1 (Right of First Negotiation).</w:t>
      </w:r>
    </w:p>
    <w:p>
      <w:pPr>
        <w:spacing w:after="0" w:line="98"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Specifications</w:t>
      </w:r>
      <w:r>
        <w:rPr>
          <w:rFonts w:ascii="Arial" w:cs="Arial" w:eastAsia="Arial" w:hAnsi="Arial"/>
          <w:sz w:val="18"/>
          <w:szCs w:val="18"/>
          <w:color w:val="auto"/>
        </w:rPr>
        <w:t>” means the product specifications and the manufacturing process approved by the FDA or, if prior to such approval, as set forth in Celltrion’s latest regulatory filings with the FDA.</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Stage 1 Supply</w:t>
      </w:r>
      <w:r>
        <w:rPr>
          <w:rFonts w:ascii="Arial" w:cs="Arial" w:eastAsia="Arial" w:hAnsi="Arial"/>
          <w:sz w:val="16"/>
          <w:szCs w:val="16"/>
          <w:color w:val="auto"/>
        </w:rPr>
        <w:t>” means supply of Drug Product for use in preclinical testing and/or Phase 1 Trials.</w:t>
      </w:r>
    </w:p>
    <w:p>
      <w:pPr>
        <w:spacing w:after="0" w:line="98"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Stage 2 Supply</w:t>
      </w:r>
      <w:r>
        <w:rPr>
          <w:rFonts w:ascii="Arial" w:cs="Arial" w:eastAsia="Arial" w:hAnsi="Arial"/>
          <w:sz w:val="18"/>
          <w:szCs w:val="18"/>
          <w:color w:val="auto"/>
        </w:rPr>
        <w:t>” means supply of Drug Substance for use in, or to support, Phase 2 Trials, Phase 3 Trials and/or late-stage pre-approval activities to support Regulatory Approval of Product.</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Stage 3 Supply</w:t>
      </w:r>
      <w:r>
        <w:rPr>
          <w:rFonts w:ascii="Arial" w:cs="Arial" w:eastAsia="Arial" w:hAnsi="Arial"/>
          <w:sz w:val="16"/>
          <w:szCs w:val="16"/>
          <w:color w:val="auto"/>
        </w:rPr>
        <w:t>” means supply of Drug Substance for use in commercial Product after receipt of Regulatory Approval therefor.</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6"/>
          <w:szCs w:val="16"/>
          <w:i w:val="1"/>
          <w:iCs w:val="1"/>
          <w:color w:val="auto"/>
        </w:rPr>
        <w:t xml:space="preserve">“Taxes” </w:t>
      </w:r>
      <w:r>
        <w:rPr>
          <w:rFonts w:ascii="Arial" w:cs="Arial" w:eastAsia="Arial" w:hAnsi="Arial"/>
          <w:sz w:val="16"/>
          <w:szCs w:val="16"/>
          <w:color w:val="auto"/>
        </w:rPr>
        <w:t>means any tax, excise or duty, other than taxes upon income.</w:t>
      </w:r>
    </w:p>
    <w:p>
      <w:pPr>
        <w:spacing w:after="0" w:line="98" w:lineRule="exact"/>
        <w:rPr>
          <w:sz w:val="20"/>
          <w:szCs w:val="20"/>
          <w:color w:val="auto"/>
        </w:rPr>
      </w:pPr>
    </w:p>
    <w:p>
      <w:pPr>
        <w:jc w:val="both"/>
        <w:ind w:left="760" w:right="20" w:hanging="748"/>
        <w:spacing w:after="0" w:line="277" w:lineRule="auto"/>
        <w:tabs>
          <w:tab w:leader="none" w:pos="74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8"/>
          <w:szCs w:val="18"/>
          <w:i w:val="1"/>
          <w:iCs w:val="1"/>
          <w:color w:val="auto"/>
        </w:rPr>
        <w:t xml:space="preserve">“Term” </w:t>
      </w:r>
      <w:r>
        <w:rPr>
          <w:rFonts w:ascii="Arial" w:cs="Arial" w:eastAsia="Arial" w:hAnsi="Arial"/>
          <w:sz w:val="18"/>
          <w:szCs w:val="18"/>
          <w:color w:val="auto"/>
        </w:rPr>
        <w:t>means the period beginning on the Effective Date and ending upon the termination of this Agreement pursuant to Article 13 (Term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w:t>
      </w:r>
    </w:p>
    <w:p>
      <w:pPr>
        <w:spacing w:after="0" w:line="89"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8"/>
          <w:szCs w:val="18"/>
          <w:i w:val="1"/>
          <w:iCs w:val="1"/>
          <w:color w:val="auto"/>
        </w:rPr>
        <w:t xml:space="preserve">“Territory” </w:t>
      </w:r>
      <w:r>
        <w:rPr>
          <w:rFonts w:ascii="Arial" w:cs="Arial" w:eastAsia="Arial" w:hAnsi="Arial"/>
          <w:sz w:val="18"/>
          <w:szCs w:val="18"/>
          <w:color w:val="auto"/>
        </w:rPr>
        <w:t>means the entire world, which is divided into the ROFN Territory and the Rani Territory as set forth in Sections 5.1 and 5.3,</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6"/>
          <w:szCs w:val="16"/>
          <w:i w:val="1"/>
          <w:iCs w:val="1"/>
          <w:color w:val="auto"/>
        </w:rPr>
        <w:t xml:space="preserve">“Third Party” </w:t>
      </w:r>
      <w:r>
        <w:rPr>
          <w:rFonts w:ascii="Arial" w:cs="Arial" w:eastAsia="Arial" w:hAnsi="Arial"/>
          <w:sz w:val="16"/>
          <w:szCs w:val="16"/>
          <w:color w:val="auto"/>
        </w:rPr>
        <w:t>means any entity other than a Party or an Affiliate of a Party.</w:t>
      </w:r>
    </w:p>
    <w:p>
      <w:pPr>
        <w:spacing w:after="0" w:line="98" w:lineRule="exact"/>
        <w:rPr>
          <w:sz w:val="20"/>
          <w:szCs w:val="20"/>
          <w:color w:val="auto"/>
        </w:rPr>
      </w:pPr>
    </w:p>
    <w:p>
      <w:pPr>
        <w:jc w:val="both"/>
        <w:ind w:left="760" w:right="20" w:hanging="748"/>
        <w:spacing w:after="0" w:line="277" w:lineRule="auto"/>
        <w:tabs>
          <w:tab w:leader="none" w:pos="74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8"/>
          <w:szCs w:val="18"/>
          <w:i w:val="1"/>
          <w:iCs w:val="1"/>
          <w:color w:val="auto"/>
        </w:rPr>
        <w:t xml:space="preserve">“United States” </w:t>
      </w:r>
      <w:r>
        <w:rPr>
          <w:rFonts w:ascii="Arial" w:cs="Arial" w:eastAsia="Arial" w:hAnsi="Arial"/>
          <w:sz w:val="18"/>
          <w:szCs w:val="18"/>
          <w:color w:val="auto"/>
        </w:rPr>
        <w:t>or</w:t>
      </w:r>
      <w:r>
        <w:rPr>
          <w:rFonts w:ascii="Arial" w:cs="Arial" w:eastAsia="Arial" w:hAnsi="Arial"/>
          <w:sz w:val="18"/>
          <w:szCs w:val="18"/>
          <w:i w:val="1"/>
          <w:iCs w:val="1"/>
          <w:color w:val="auto"/>
        </w:rPr>
        <w:t xml:space="preserve"> “US” </w:t>
      </w:r>
      <w:r>
        <w:rPr>
          <w:rFonts w:ascii="Arial" w:cs="Arial" w:eastAsia="Arial" w:hAnsi="Arial"/>
          <w:sz w:val="18"/>
          <w:szCs w:val="18"/>
          <w:color w:val="auto"/>
        </w:rPr>
        <w:t>means the United States of America, including its territories and possessions (including the District of Columbia and</w:t>
      </w:r>
      <w:r>
        <w:rPr>
          <w:rFonts w:ascii="Arial" w:cs="Arial" w:eastAsia="Arial" w:hAnsi="Arial"/>
          <w:sz w:val="18"/>
          <w:szCs w:val="18"/>
          <w:i w:val="1"/>
          <w:iCs w:val="1"/>
          <w:color w:val="auto"/>
        </w:rPr>
        <w:t xml:space="preserve"> </w:t>
      </w:r>
      <w:r>
        <w:rPr>
          <w:rFonts w:ascii="Arial" w:cs="Arial" w:eastAsia="Arial" w:hAnsi="Arial"/>
          <w:sz w:val="18"/>
          <w:szCs w:val="18"/>
          <w:color w:val="auto"/>
        </w:rPr>
        <w:t>Puerto Rico).</w:t>
      </w:r>
    </w:p>
    <w:p>
      <w:pPr>
        <w:spacing w:after="0" w:line="143"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2.</w:t>
      </w:r>
      <w:r>
        <w:rPr>
          <w:sz w:val="20"/>
          <w:szCs w:val="20"/>
          <w:color w:val="auto"/>
        </w:rPr>
        <w:tab/>
      </w:r>
      <w:r>
        <w:rPr>
          <w:rFonts w:ascii="Arial" w:cs="Arial" w:eastAsia="Arial" w:hAnsi="Arial"/>
          <w:sz w:val="18"/>
          <w:szCs w:val="18"/>
          <w:b w:val="1"/>
          <w:bCs w:val="1"/>
          <w:color w:val="auto"/>
        </w:rPr>
        <w:t>G</w:t>
      </w:r>
      <w:r>
        <w:rPr>
          <w:rFonts w:ascii="Arial" w:cs="Arial" w:eastAsia="Arial" w:hAnsi="Arial"/>
          <w:sz w:val="12"/>
          <w:szCs w:val="12"/>
          <w:b w:val="1"/>
          <w:bCs w:val="1"/>
          <w:color w:val="auto"/>
        </w:rPr>
        <w:t>overnance</w:t>
      </w:r>
    </w:p>
    <w:p>
      <w:pPr>
        <w:spacing w:after="0" w:line="172" w:lineRule="exact"/>
        <w:rPr>
          <w:sz w:val="20"/>
          <w:szCs w:val="20"/>
          <w:color w:val="auto"/>
        </w:rPr>
      </w:pPr>
    </w:p>
    <w:p>
      <w:pPr>
        <w:jc w:val="both"/>
        <w:ind w:left="760" w:hanging="748"/>
        <w:spacing w:after="0" w:line="272" w:lineRule="auto"/>
        <w:tabs>
          <w:tab w:leader="none" w:pos="7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 Promptly but not later than sixty (60) days following the Effective Date, the Parties will establish a joint steering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committee (the </w:t>
      </w:r>
      <w:r>
        <w:rPr>
          <w:rFonts w:ascii="Arial" w:cs="Arial" w:eastAsia="Arial" w:hAnsi="Arial"/>
          <w:sz w:val="17"/>
          <w:szCs w:val="17"/>
          <w:i w:val="1"/>
          <w:iCs w:val="1"/>
          <w:color w:val="auto"/>
        </w:rPr>
        <w:t>“Joint Steering Committee”</w:t>
      </w:r>
      <w:r>
        <w:rPr>
          <w:rFonts w:ascii="Arial" w:cs="Arial" w:eastAsia="Arial" w:hAnsi="Arial"/>
          <w:sz w:val="17"/>
          <w:szCs w:val="17"/>
          <w:color w:val="auto"/>
        </w:rPr>
        <w:t xml:space="preserve"> or </w:t>
      </w:r>
      <w:r>
        <w:rPr>
          <w:rFonts w:ascii="Arial" w:cs="Arial" w:eastAsia="Arial" w:hAnsi="Arial"/>
          <w:sz w:val="17"/>
          <w:szCs w:val="17"/>
          <w:i w:val="1"/>
          <w:iCs w:val="1"/>
          <w:color w:val="auto"/>
        </w:rPr>
        <w:t>“JSC”</w:t>
      </w:r>
      <w:r>
        <w:rPr>
          <w:rFonts w:ascii="Arial" w:cs="Arial" w:eastAsia="Arial" w:hAnsi="Arial"/>
          <w:sz w:val="17"/>
          <w:szCs w:val="17"/>
          <w:color w:val="auto"/>
        </w:rPr>
        <w:t>) consisting of an equal number of representatives from each Party, in order to (i) facilitate information-sharing regarding the conduct and progress of activities by each Party under the Agreement or Quality Agreement and (ii) resolution of matters that may arise regarding the execution of the Parties’ rights and responsibilities under this Agreement or the Quality Agreement. The JSC will consist of the Alliance Managers and such other employees of the Parties as mutually agreed. The JSC will meet quarterly, or such other frequency as may be mutually agreed by the Parties. The JSC will have no authority to amend, modify or waive compliance with this Agreement or to create new obligations for a Party not specified in this Agreement.</w:t>
      </w:r>
    </w:p>
    <w:p>
      <w:pPr>
        <w:spacing w:after="0" w:line="96" w:lineRule="exact"/>
        <w:rPr>
          <w:sz w:val="20"/>
          <w:szCs w:val="20"/>
          <w:color w:val="auto"/>
        </w:rPr>
      </w:pPr>
    </w:p>
    <w:p>
      <w:pPr>
        <w:jc w:val="both"/>
        <w:ind w:left="760" w:right="40" w:hanging="745"/>
        <w:spacing w:after="0" w:line="255" w:lineRule="auto"/>
        <w:tabs>
          <w:tab w:leader="none" w:pos="7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u w:val="single" w:color="auto"/>
          <w:color w:val="auto"/>
        </w:rPr>
        <w:t>Alliance Managers</w:t>
      </w:r>
      <w:r>
        <w:rPr>
          <w:rFonts w:ascii="Arial" w:cs="Arial" w:eastAsia="Arial" w:hAnsi="Arial"/>
          <w:sz w:val="18"/>
          <w:szCs w:val="18"/>
          <w:color w:val="auto"/>
        </w:rPr>
        <w:t>. Promptly but not later than sixty (60) days following the Effective Date, each Party will appoint one or more representatives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act as its respective alliance manager(s) (each, an </w:t>
      </w:r>
      <w:r>
        <w:rPr>
          <w:rFonts w:ascii="Arial" w:cs="Arial" w:eastAsia="Arial" w:hAnsi="Arial"/>
          <w:sz w:val="18"/>
          <w:szCs w:val="18"/>
          <w:i w:val="1"/>
          <w:iCs w:val="1"/>
          <w:color w:val="auto"/>
        </w:rPr>
        <w:t>“Alliance Manager”</w:t>
      </w:r>
      <w:r>
        <w:rPr>
          <w:rFonts w:ascii="Arial" w:cs="Arial" w:eastAsia="Arial" w:hAnsi="Arial"/>
          <w:sz w:val="18"/>
          <w:szCs w:val="18"/>
          <w:color w:val="auto"/>
        </w:rPr>
        <w:t>). Each Party may replace its respective Alliance Manager(s) at any time upon written notice to the other in accordance with this Agreement. Any Alliance Manager may designate a substitute to temporarily perform the functions of that Alliance Manager. The Alliance Managers will facilitate interactions between the Parties and will serve as a designated point of contact for communication, raising issues or disputes, and planning and coordinating Party interactions, such as JSC meetings.</w:t>
      </w:r>
    </w:p>
    <w:p>
      <w:pPr>
        <w:spacing w:after="0" w:line="165"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3.</w:t>
      </w:r>
      <w:r>
        <w:rPr>
          <w:sz w:val="20"/>
          <w:szCs w:val="20"/>
          <w:color w:val="auto"/>
        </w:rPr>
        <w:tab/>
      </w:r>
      <w:r>
        <w:rPr>
          <w:rFonts w:ascii="Arial" w:cs="Arial" w:eastAsia="Arial" w:hAnsi="Arial"/>
          <w:sz w:val="18"/>
          <w:szCs w:val="18"/>
          <w:b w:val="1"/>
          <w:bCs w:val="1"/>
          <w:color w:val="auto"/>
        </w:rPr>
        <w:t>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icense</w:t>
      </w:r>
    </w:p>
    <w:p>
      <w:pPr>
        <w:spacing w:after="0" w:line="172"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7"/>
          <w:szCs w:val="17"/>
          <w:u w:val="single" w:color="auto"/>
          <w:color w:val="auto"/>
        </w:rPr>
        <w:t>License to Rani</w:t>
      </w:r>
      <w:r>
        <w:rPr>
          <w:rFonts w:ascii="Arial" w:cs="Arial" w:eastAsia="Arial" w:hAnsi="Arial"/>
          <w:sz w:val="17"/>
          <w:szCs w:val="17"/>
          <w:color w:val="auto"/>
        </w:rPr>
        <w:t>. Celltrion hereby grants to Rani, during the Term, effective as of the Effective Date, an exclusive (even as to Celltrion and its</w:t>
      </w:r>
      <w:r>
        <w:rPr>
          <w:rFonts w:ascii="Arial" w:cs="Arial" w:eastAsia="Arial" w:hAnsi="Arial"/>
          <w:sz w:val="17"/>
          <w:szCs w:val="17"/>
          <w:u w:val="single" w:color="auto"/>
          <w:color w:val="auto"/>
        </w:rPr>
        <w:t xml:space="preserve"> </w:t>
      </w:r>
      <w:r>
        <w:rPr>
          <w:rFonts w:ascii="Arial" w:cs="Arial" w:eastAsia="Arial" w:hAnsi="Arial"/>
          <w:sz w:val="17"/>
          <w:szCs w:val="17"/>
          <w:color w:val="auto"/>
        </w:rPr>
        <w:t>Affiliates), worldwide, royalty-free license under Licensed IP solely (a) to make, have made, use, sell, offer for sale, import and otherwise exploit Product, and (b) to reference and use Licensed Information to support the manufacture, development and commercialization of Product, including use in Regulatory Filings for Product. Rani shall require Celltrion’s prior written consent to</w:t>
      </w:r>
    </w:p>
    <w:p>
      <w:pPr>
        <w:spacing w:after="0" w:line="246"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5" w:name="page166"/>
    <w:bookmarkEnd w:id="165"/>
    <w:p>
      <w:pPr>
        <w:jc w:val="both"/>
        <w:ind w:left="760"/>
        <w:spacing w:after="0" w:line="259" w:lineRule="auto"/>
        <w:rPr>
          <w:sz w:val="20"/>
          <w:szCs w:val="20"/>
          <w:color w:val="auto"/>
        </w:rPr>
      </w:pPr>
      <w:r>
        <w:rPr>
          <w:rFonts w:ascii="Arial" w:cs="Arial" w:eastAsia="Arial" w:hAnsi="Arial"/>
          <w:sz w:val="18"/>
          <w:szCs w:val="18"/>
          <w:color w:val="auto"/>
        </w:rPr>
        <w:t>sublicense the rights granted in this Section 3.1 (License to Rani) to Third Parties prior to the end of the ROFN Exercise Period or, if the ROFN is validly exercised, prior to the end of the ROFN Negotiation Period; except that Rani may sublicense through multiple tiers without consent (i) to subcontractors or vendors to perform work for Rani’s development of the Product, and (ii) after the end of the ROFN Exercise Period or, if the ROFN is validly exercised, after the end of the ROFN Negotiation Period, to Third Parties.</w:t>
      </w:r>
    </w:p>
    <w:p>
      <w:pPr>
        <w:spacing w:after="0" w:line="71"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8"/>
          <w:szCs w:val="18"/>
          <w:u w:val="single" w:color="auto"/>
          <w:color w:val="auto"/>
        </w:rPr>
        <w:t>Licensed Information</w:t>
      </w:r>
      <w:r>
        <w:rPr>
          <w:rFonts w:ascii="Arial" w:cs="Arial" w:eastAsia="Arial" w:hAnsi="Arial"/>
          <w:sz w:val="18"/>
          <w:szCs w:val="18"/>
          <w:color w:val="auto"/>
        </w:rPr>
        <w:t>. Upon request of Rani, Celltrion will promptly cooperate to provide to Rani all Licensed Information reasonably requested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will provide Rani with letters of authorization (i.e., a right of reference) to any requested Regulatory Filings or Regulatory Approvals related to Drug (e.g., IND, biologics license application or new drug application) that are reasonably necessary for Rani’s development, manufacture or commercialization of Product.</w:t>
      </w:r>
    </w:p>
    <w:p>
      <w:pPr>
        <w:spacing w:after="0" w:line="106" w:lineRule="exact"/>
        <w:rPr>
          <w:sz w:val="20"/>
          <w:szCs w:val="20"/>
          <w:color w:val="auto"/>
        </w:rPr>
      </w:pPr>
    </w:p>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7"/>
          <w:szCs w:val="17"/>
          <w:u w:val="single" w:color="auto"/>
          <w:color w:val="auto"/>
        </w:rPr>
        <w:t>Retained Rights and Limitations</w:t>
      </w:r>
      <w:r>
        <w:rPr>
          <w:rFonts w:ascii="Arial" w:cs="Arial" w:eastAsia="Arial" w:hAnsi="Arial"/>
          <w:sz w:val="17"/>
          <w:szCs w:val="17"/>
          <w:color w:val="auto"/>
        </w:rPr>
        <w:t>. No rights to either Party’s Patents or other proprietary rights are granted pursuant to this Agreement except as</w:t>
      </w:r>
      <w:r>
        <w:rPr>
          <w:rFonts w:ascii="Arial" w:cs="Arial" w:eastAsia="Arial" w:hAnsi="Arial"/>
          <w:sz w:val="17"/>
          <w:szCs w:val="17"/>
          <w:u w:val="single" w:color="auto"/>
          <w:color w:val="auto"/>
        </w:rPr>
        <w:t xml:space="preserve"> </w:t>
      </w:r>
      <w:r>
        <w:rPr>
          <w:rFonts w:ascii="Arial" w:cs="Arial" w:eastAsia="Arial" w:hAnsi="Arial"/>
          <w:sz w:val="17"/>
          <w:szCs w:val="17"/>
          <w:color w:val="auto"/>
        </w:rPr>
        <w:t>expressly set forth herein, and all other rights are reserved. For the avoidance of doubt, the license granted in Section 3.1 (License to Rani) does not restrict Celltrion from supplying and commercializing Drug for any product that is not Product.</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4.</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oles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esponsibilities</w:t>
      </w:r>
    </w:p>
    <w:p>
      <w:pPr>
        <w:spacing w:after="0" w:line="172"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8"/>
          <w:szCs w:val="18"/>
          <w:u w:val="single" w:color="auto"/>
          <w:color w:val="auto"/>
        </w:rPr>
        <w:t>Development, Manufacture and Commercialization of Product</w:t>
      </w:r>
      <w:r>
        <w:rPr>
          <w:rFonts w:ascii="Arial" w:cs="Arial" w:eastAsia="Arial" w:hAnsi="Arial"/>
          <w:sz w:val="18"/>
          <w:szCs w:val="18"/>
          <w:color w:val="auto"/>
        </w:rPr>
        <w:t>. Rani has sole right to manufacture, develop and commercialize Product</w:t>
      </w:r>
      <w:r>
        <w:rPr>
          <w:rFonts w:ascii="Arial" w:cs="Arial" w:eastAsia="Arial" w:hAnsi="Arial"/>
          <w:sz w:val="18"/>
          <w:szCs w:val="18"/>
          <w:u w:val="single" w:color="auto"/>
          <w:color w:val="auto"/>
        </w:rPr>
        <w:t xml:space="preserve"> </w:t>
      </w:r>
      <w:r>
        <w:rPr>
          <w:rFonts w:ascii="Arial" w:cs="Arial" w:eastAsia="Arial" w:hAnsi="Arial"/>
          <w:sz w:val="18"/>
          <w:szCs w:val="18"/>
          <w:color w:val="auto"/>
        </w:rPr>
        <w:t>(excluding DP and/or DS on its own) worldwide, subject to the ROFN and Celltrion’s rights and responsibilities that may result from exercise thereof. Subject to the ROFN, Rani has the right to partner or sublicense its rights hereunder to Third Parties or to engage Third-Party contractors to perform its responsibilities, including without limitation contract research organizations, contract manufacturing organizations and contract sales organizations.</w:t>
      </w:r>
    </w:p>
    <w:p>
      <w:pPr>
        <w:spacing w:after="0" w:line="10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6"/>
          <w:szCs w:val="16"/>
          <w:u w:val="single" w:color="auto"/>
          <w:color w:val="auto"/>
        </w:rPr>
        <w:t>Supply of DP</w:t>
      </w:r>
      <w:r>
        <w:rPr>
          <w:rFonts w:ascii="Arial" w:cs="Arial" w:eastAsia="Arial" w:hAnsi="Arial"/>
          <w:sz w:val="16"/>
          <w:szCs w:val="16"/>
          <w:color w:val="auto"/>
        </w:rPr>
        <w:t>. Celltrion will supply DP and/or DS for Product as set forth in Article 6 (Manufacture and Supply).</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98" w:lineRule="exact"/>
        <w:rPr>
          <w:sz w:val="20"/>
          <w:szCs w:val="20"/>
          <w:color w:val="auto"/>
        </w:rPr>
      </w:pPr>
    </w:p>
    <w:p>
      <w:pPr>
        <w:jc w:val="both"/>
        <w:ind w:left="1500" w:hanging="748"/>
        <w:spacing w:after="0" w:line="255" w:lineRule="auto"/>
        <w:tabs>
          <w:tab w:leader="none" w:pos="1480" w:val="left"/>
        </w:tabs>
        <w:rPr>
          <w:sz w:val="20"/>
          <w:szCs w:val="20"/>
          <w:color w:val="auto"/>
        </w:rPr>
      </w:pPr>
      <w:r>
        <w:rPr>
          <w:rFonts w:ascii="Arial" w:cs="Arial" w:eastAsia="Arial" w:hAnsi="Arial"/>
          <w:sz w:val="22"/>
          <w:szCs w:val="22"/>
          <w:color w:val="auto"/>
        </w:rPr>
        <w:t>4.3.1.</w:t>
      </w:r>
      <w:r>
        <w:rPr>
          <w:sz w:val="20"/>
          <w:szCs w:val="20"/>
          <w:color w:val="auto"/>
        </w:rPr>
        <w:tab/>
      </w:r>
      <w:r>
        <w:rPr>
          <w:rFonts w:ascii="Arial" w:cs="Arial" w:eastAsia="Arial" w:hAnsi="Arial"/>
          <w:sz w:val="18"/>
          <w:szCs w:val="18"/>
          <w:i w:val="1"/>
          <w:iCs w:val="1"/>
          <w:color w:val="auto"/>
        </w:rPr>
        <w:t>Regulatory Responsibilities</w:t>
      </w:r>
      <w:r>
        <w:rPr>
          <w:rFonts w:ascii="Arial" w:cs="Arial" w:eastAsia="Arial" w:hAnsi="Arial"/>
          <w:sz w:val="18"/>
          <w:szCs w:val="18"/>
          <w:color w:val="auto"/>
        </w:rPr>
        <w:t>. Rani will be responsible for all regulatory activities related to Product, including preparing, submitting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maintaining all Regulatory Filings and Regulatory Approvals for Product and interacting with Governmental Authorities with respect to Product (“</w:t>
      </w:r>
      <w:r>
        <w:rPr>
          <w:rFonts w:ascii="Arial" w:cs="Arial" w:eastAsia="Arial" w:hAnsi="Arial"/>
          <w:sz w:val="18"/>
          <w:szCs w:val="18"/>
          <w:i w:val="1"/>
          <w:iCs w:val="1"/>
          <w:color w:val="auto"/>
        </w:rPr>
        <w:t>Regulatory Activities</w:t>
      </w:r>
      <w:r>
        <w:rPr>
          <w:rFonts w:ascii="Arial" w:cs="Arial" w:eastAsia="Arial" w:hAnsi="Arial"/>
          <w:sz w:val="18"/>
          <w:szCs w:val="18"/>
          <w:color w:val="auto"/>
        </w:rPr>
        <w:t>”). Upon reasonable request of Rani, Celltrion will provide to Rani Licensed Information in support of the Regulatory Activities, and cooperation reasonably requested by Rani in responding to Governmental Authorities regarding matters related to or involving Drug, or DP and/or DS, including without limitation responding to regulatory questions, and facilitating regulatory inspections as set forth in Section 4.3.3 (Inspections).</w:t>
      </w:r>
    </w:p>
    <w:p>
      <w:pPr>
        <w:spacing w:after="0" w:line="267"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6" w:name="page167"/>
    <w:bookmarkEnd w:id="166"/>
    <w:p>
      <w:pPr>
        <w:jc w:val="both"/>
        <w:ind w:left="1500" w:hanging="748"/>
        <w:spacing w:after="0" w:line="272" w:lineRule="auto"/>
        <w:tabs>
          <w:tab w:leader="none" w:pos="1480" w:val="left"/>
        </w:tabs>
        <w:rPr>
          <w:sz w:val="20"/>
          <w:szCs w:val="20"/>
          <w:color w:val="auto"/>
        </w:rPr>
      </w:pPr>
      <w:r>
        <w:rPr>
          <w:rFonts w:ascii="Arial" w:cs="Arial" w:eastAsia="Arial" w:hAnsi="Arial"/>
          <w:sz w:val="22"/>
          <w:szCs w:val="22"/>
          <w:color w:val="auto"/>
        </w:rPr>
        <w:t>4.3.2.</w:t>
      </w:r>
      <w:r>
        <w:rPr>
          <w:sz w:val="20"/>
          <w:szCs w:val="20"/>
          <w:color w:val="auto"/>
        </w:rPr>
        <w:tab/>
      </w:r>
      <w:r>
        <w:rPr>
          <w:rFonts w:ascii="Arial" w:cs="Arial" w:eastAsia="Arial" w:hAnsi="Arial"/>
          <w:sz w:val="17"/>
          <w:szCs w:val="17"/>
          <w:i w:val="1"/>
          <w:iCs w:val="1"/>
          <w:color w:val="auto"/>
        </w:rPr>
        <w:t xml:space="preserve">Regulatory Meetings. </w:t>
      </w:r>
      <w:r>
        <w:rPr>
          <w:rFonts w:ascii="Arial" w:cs="Arial" w:eastAsia="Arial" w:hAnsi="Arial"/>
          <w:sz w:val="17"/>
          <w:szCs w:val="17"/>
          <w:color w:val="auto"/>
        </w:rPr>
        <w:t>Rani will be responsible for meetings and communications with Governmental Authorities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Celltrion will not contact or interact with Governmental Authorities with respect to Product unless requested by a Governmental Authority or Rani. If Celltrion is contacted by a Governmental Authority with respect to Product, Celltrion will promptly notify Rani thereof and coordinate with Rani with respect to any response. Rani will have the right to participate in and/or attend scheduled meetings between Celltrion and the applicable Governmental Authority with respect to Product, to the extent not prohibited by such Governmental Authority. Celltrion will inform Rani of any unscheduled teleconferences and meetings with Governmental Authorities with respect to the Product reasonably promptly after they occur.</w:t>
      </w:r>
    </w:p>
    <w:p>
      <w:pPr>
        <w:spacing w:after="0" w:line="96" w:lineRule="exact"/>
        <w:rPr>
          <w:sz w:val="20"/>
          <w:szCs w:val="20"/>
          <w:color w:val="auto"/>
        </w:rPr>
      </w:pPr>
    </w:p>
    <w:p>
      <w:pPr>
        <w:jc w:val="both"/>
        <w:ind w:left="1500" w:hanging="748"/>
        <w:spacing w:after="0" w:line="254" w:lineRule="auto"/>
        <w:tabs>
          <w:tab w:leader="none" w:pos="1480" w:val="left"/>
        </w:tabs>
        <w:rPr>
          <w:sz w:val="20"/>
          <w:szCs w:val="20"/>
          <w:color w:val="auto"/>
        </w:rPr>
      </w:pPr>
      <w:r>
        <w:rPr>
          <w:rFonts w:ascii="Arial" w:cs="Arial" w:eastAsia="Arial" w:hAnsi="Arial"/>
          <w:sz w:val="22"/>
          <w:szCs w:val="22"/>
          <w:color w:val="auto"/>
        </w:rPr>
        <w:t>4.3.3.</w:t>
      </w:r>
      <w:r>
        <w:rPr>
          <w:sz w:val="20"/>
          <w:szCs w:val="20"/>
          <w:color w:val="auto"/>
        </w:rPr>
        <w:tab/>
      </w:r>
      <w:r>
        <w:rPr>
          <w:rFonts w:ascii="Arial" w:cs="Arial" w:eastAsia="Arial" w:hAnsi="Arial"/>
          <w:sz w:val="18"/>
          <w:szCs w:val="18"/>
          <w:i w:val="1"/>
          <w:iCs w:val="1"/>
          <w:color w:val="auto"/>
        </w:rPr>
        <w:t xml:space="preserve">Inspections. </w:t>
      </w:r>
      <w:r>
        <w:rPr>
          <w:rFonts w:ascii="Arial" w:cs="Arial" w:eastAsia="Arial" w:hAnsi="Arial"/>
          <w:sz w:val="18"/>
          <w:szCs w:val="18"/>
          <w:color w:val="auto"/>
        </w:rPr>
        <w:t>Each Party will promptly notify the other Party if it receives notice from a Governmental Authority that it requests or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to conduct an inspection of Celltrion’s manufacturing facilities or a review of Celltrion’s batch records or other records with respect to Drug Product and/or Drug Substance in connection with Product. In such event, Celltrion agrees to reasonably cooperate with Rani and to allow such Governmental Authority to inspect such manufacturing facilities and/or review such records to the extent reasonably requested or required. The Parties will keep each other informed as to the date(s) and other relevant information related to such inspection. [*] For clarity, this provision relates solely to inspections specifically related to Product, and not general inspections by Governmental Authorities.</w:t>
      </w:r>
    </w:p>
    <w:p>
      <w:pPr>
        <w:spacing w:after="0" w:line="114"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8"/>
          <w:szCs w:val="18"/>
          <w:u w:val="single" w:color="auto"/>
          <w:color w:val="auto"/>
        </w:rPr>
        <w:t>Safety Reporting</w:t>
      </w:r>
      <w:r>
        <w:rPr>
          <w:rFonts w:ascii="Arial" w:cs="Arial" w:eastAsia="Arial" w:hAnsi="Arial"/>
          <w:sz w:val="18"/>
          <w:szCs w:val="18"/>
          <w:color w:val="auto"/>
        </w:rPr>
        <w:t>. Both Parties will reasonably cooperate with each other regarding pharmacovigilance matters to the extent reasonably required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enable the other Party to comply with applicable Law. From and after the Effective Date, Rani will be responsible for reporting to the relevant Governmental Authorities all adverse events with respect to the Product, to the extent required by and in accordance with Law; and Celltrion will be responsible for reporting to the relevant Governmental Authorities all adverse events with respect to Drug, to the extent required by and in accordance with Law.</w:t>
      </w:r>
    </w:p>
    <w:p>
      <w:pPr>
        <w:spacing w:after="0" w:line="107" w:lineRule="exact"/>
        <w:rPr>
          <w:sz w:val="20"/>
          <w:szCs w:val="20"/>
          <w:color w:val="auto"/>
        </w:rPr>
      </w:pPr>
    </w:p>
    <w:p>
      <w:pPr>
        <w:jc w:val="both"/>
        <w:ind w:left="760" w:hanging="748"/>
        <w:spacing w:after="0" w:line="342" w:lineRule="auto"/>
        <w:tabs>
          <w:tab w:leader="none" w:pos="74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6"/>
          <w:szCs w:val="16"/>
          <w:u w:val="single" w:color="auto"/>
          <w:color w:val="auto"/>
        </w:rPr>
        <w:t>Cooperation Generally</w:t>
      </w:r>
      <w:r>
        <w:rPr>
          <w:rFonts w:ascii="Arial" w:cs="Arial" w:eastAsia="Arial" w:hAnsi="Arial"/>
          <w:sz w:val="16"/>
          <w:szCs w:val="16"/>
          <w:color w:val="auto"/>
        </w:rPr>
        <w:t>. The Parties will provide each other with any cooperation reasonably requested by the other to carry out the purpose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intent of this Agreement, including without limitation with respect to development, manufacturing, and regulatory matters related to Product.</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5.</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egotiation</w:t>
      </w:r>
    </w:p>
    <w:p>
      <w:pPr>
        <w:spacing w:after="0" w:line="172" w:lineRule="exact"/>
        <w:rPr>
          <w:sz w:val="20"/>
          <w:szCs w:val="20"/>
          <w:color w:val="auto"/>
        </w:rPr>
      </w:pPr>
    </w:p>
    <w:p>
      <w:pPr>
        <w:jc w:val="both"/>
        <w:ind w:left="760" w:hanging="748"/>
        <w:spacing w:after="0" w:line="290" w:lineRule="auto"/>
        <w:tabs>
          <w:tab w:leader="none" w:pos="7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Rani grants to Celltrion an exclusive right of first negotiation (“</w:t>
      </w:r>
      <w:r>
        <w:rPr>
          <w:rFonts w:ascii="Arial" w:cs="Arial" w:eastAsia="Arial" w:hAnsi="Arial"/>
          <w:sz w:val="16"/>
          <w:szCs w:val="16"/>
          <w:i w:val="1"/>
          <w:iCs w:val="1"/>
          <w:color w:val="auto"/>
        </w:rPr>
        <w:t>ROFN</w:t>
      </w:r>
      <w:r>
        <w:rPr>
          <w:rFonts w:ascii="Arial" w:cs="Arial" w:eastAsia="Arial" w:hAnsi="Arial"/>
          <w:sz w:val="16"/>
          <w:szCs w:val="16"/>
          <w:color w:val="auto"/>
        </w:rPr>
        <w:t>”) for the clinical development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commercialization of Product worldwide. Following completion of the first Phase 1 Trial of Product that meets its primary endpoint(s), Rani will provide to Celltrion a data package consisting of topline safety information, pharmacokinetic results and device performance, and the raw data (e.g., excel, SAS file, etc.) related to topline results, from such Phase 1 Trial (the “</w:t>
      </w:r>
      <w:r>
        <w:rPr>
          <w:rFonts w:ascii="Arial" w:cs="Arial" w:eastAsia="Arial" w:hAnsi="Arial"/>
          <w:sz w:val="16"/>
          <w:szCs w:val="16"/>
          <w:i w:val="1"/>
          <w:iCs w:val="1"/>
          <w:color w:val="auto"/>
        </w:rPr>
        <w:t>Phase 1 Data</w:t>
      </w:r>
      <w:r>
        <w:rPr>
          <w:rFonts w:ascii="Arial" w:cs="Arial" w:eastAsia="Arial" w:hAnsi="Arial"/>
          <w:sz w:val="16"/>
          <w:szCs w:val="16"/>
          <w:color w:val="auto"/>
        </w:rPr>
        <w:t>”). Celltrion will have thirty (30) days from delivery of the Phase 1 Data (the “</w:t>
      </w:r>
      <w:r>
        <w:rPr>
          <w:rFonts w:ascii="Arial" w:cs="Arial" w:eastAsia="Arial" w:hAnsi="Arial"/>
          <w:sz w:val="16"/>
          <w:szCs w:val="16"/>
          <w:i w:val="1"/>
          <w:iCs w:val="1"/>
          <w:color w:val="auto"/>
        </w:rPr>
        <w:t>ROFN Exercise Period</w:t>
      </w:r>
      <w:r>
        <w:rPr>
          <w:rFonts w:ascii="Arial" w:cs="Arial" w:eastAsia="Arial" w:hAnsi="Arial"/>
          <w:sz w:val="16"/>
          <w:szCs w:val="16"/>
          <w:color w:val="auto"/>
        </w:rPr>
        <w:t>”) to exercise its ROFN by giving Rani written notice thereof (a “</w:t>
      </w:r>
      <w:r>
        <w:rPr>
          <w:rFonts w:ascii="Arial" w:cs="Arial" w:eastAsia="Arial" w:hAnsi="Arial"/>
          <w:sz w:val="16"/>
          <w:szCs w:val="16"/>
          <w:i w:val="1"/>
          <w:iCs w:val="1"/>
          <w:color w:val="auto"/>
        </w:rPr>
        <w:t>ROFN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color w:val="auto"/>
        </w:rPr>
        <w:t>”), which will specify the country(ies) with respect to which the ROFN is being exercised (the “</w:t>
      </w:r>
      <w:r>
        <w:rPr>
          <w:rFonts w:ascii="Arial" w:cs="Arial" w:eastAsia="Arial" w:hAnsi="Arial"/>
          <w:sz w:val="16"/>
          <w:szCs w:val="16"/>
          <w:i w:val="1"/>
          <w:iCs w:val="1"/>
          <w:color w:val="auto"/>
        </w:rPr>
        <w:t>ROFN Territory</w:t>
      </w:r>
      <w:r>
        <w:rPr>
          <w:rFonts w:ascii="Arial" w:cs="Arial" w:eastAsia="Arial" w:hAnsi="Arial"/>
          <w:sz w:val="16"/>
          <w:szCs w:val="16"/>
          <w:color w:val="auto"/>
        </w:rPr>
        <w:t>”). Prior to and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ROFN Exercise Period and, if the ROFN is validly exercised, during the ROFN Negotiation Period, Rani will not negotiate with Third Parties with respect to a license to commercialize Product and will not provide to Third Parties confidential information about Product for such purpose.</w:t>
      </w:r>
    </w:p>
    <w:p>
      <w:pPr>
        <w:spacing w:after="0" w:line="84"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8"/>
          <w:szCs w:val="18"/>
          <w:u w:val="single" w:color="auto"/>
          <w:color w:val="auto"/>
        </w:rPr>
        <w:t>Exercise of ROFN</w:t>
      </w:r>
      <w:r>
        <w:rPr>
          <w:rFonts w:ascii="Arial" w:cs="Arial" w:eastAsia="Arial" w:hAnsi="Arial"/>
          <w:sz w:val="18"/>
          <w:szCs w:val="18"/>
          <w:color w:val="auto"/>
        </w:rPr>
        <w:t>. During the ROFN Exercise Period, Rani will use best reasonable efforts to promptly provide to Celltrion any additional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regarding the Product, the Rani Oral Delivery Technology, and/or the Phase 1 Trial of the Product, which is reasonably requested by Celltrion and relevant to a decision whether to exercise the ROFN; provided that, Rani will not have any obligation to provide information not related or specific to Product development and commercialization, or to perform any additional studies or analysis in order to generate such information.</w:t>
      </w:r>
    </w:p>
    <w:p>
      <w:pPr>
        <w:spacing w:after="0" w:line="107" w:lineRule="exact"/>
        <w:rPr>
          <w:sz w:val="20"/>
          <w:szCs w:val="20"/>
          <w:color w:val="auto"/>
        </w:rPr>
      </w:pPr>
    </w:p>
    <w:p>
      <w:pPr>
        <w:jc w:val="both"/>
        <w:ind w:left="760" w:right="20" w:hanging="748"/>
        <w:spacing w:after="0" w:line="277" w:lineRule="auto"/>
        <w:tabs>
          <w:tab w:leader="none" w:pos="7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u w:val="single" w:color="auto"/>
          <w:color w:val="auto"/>
        </w:rPr>
        <w:t>Negotiation Period</w:t>
      </w:r>
      <w:r>
        <w:rPr>
          <w:rFonts w:ascii="Arial" w:cs="Arial" w:eastAsia="Arial" w:hAnsi="Arial"/>
          <w:sz w:val="18"/>
          <w:szCs w:val="18"/>
          <w:color w:val="auto"/>
        </w:rPr>
        <w:t>. If Celltrion delivers to Rani a ROFN Exercise Notice within the ROFN Exercise Period, then Celltrion will have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exclusive period of ninety (90) days from delivery of the ROFN Exercise Notice</w:t>
      </w:r>
    </w:p>
    <w:p>
      <w:pPr>
        <w:spacing w:after="0" w:line="245"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7" w:name="page168"/>
    <w:bookmarkEnd w:id="167"/>
    <w:p>
      <w:pPr>
        <w:jc w:val="both"/>
        <w:ind w:left="760"/>
        <w:spacing w:after="0" w:line="27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ROFN Negotiation Period</w:t>
      </w:r>
      <w:r>
        <w:rPr>
          <w:rFonts w:ascii="Arial" w:cs="Arial" w:eastAsia="Arial" w:hAnsi="Arial"/>
          <w:sz w:val="17"/>
          <w:szCs w:val="17"/>
          <w:color w:val="auto"/>
        </w:rPr>
        <w:t>”) to negotiate in good faith a definitive agreement with Rani for rights to clinically develop and commercialize Product in the ROFN Territory. Such definitive agreement would include (but not necessarily limited to) (a) supply terms for Rani to exclusively supply Product (in finished form) for Celltrion to conduct clinical development and commercialization of Product in the ROFN Territory (including without limitation forecast and order procedures, shipment and delivery, stability testing, lot size and provisions for continuity of future supply), (b) establishment of a joint committee to oversee development plans for the ROFN Territory, to ensure consistency and coordination of clinical trials across the Rani Territory and the ROFN Territory, and (c) grant of rights and license by Rani to Celltrion (and/or its Affiliate) to clinically develop and commercialize Product for exclusive commercialization in the ROFN Territory. Rani will have the right to continue to advance development of Product during the ROFN Exercise Period and ROFN Negotiation Period. Rani will have no obligation to enter into a definitive agreement without a Commercial Supply Agreement being agreed at the same time.</w:t>
      </w:r>
    </w:p>
    <w:p>
      <w:pPr>
        <w:spacing w:after="0" w:line="66" w:lineRule="exact"/>
        <w:rPr>
          <w:sz w:val="20"/>
          <w:szCs w:val="20"/>
          <w:color w:val="auto"/>
        </w:rPr>
      </w:pPr>
    </w:p>
    <w:p>
      <w:pPr>
        <w:jc w:val="both"/>
        <w:ind w:left="760" w:hanging="748"/>
        <w:spacing w:after="0" w:line="288" w:lineRule="auto"/>
        <w:tabs>
          <w:tab w:leader="none" w:pos="7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6"/>
          <w:szCs w:val="16"/>
          <w:u w:val="single" w:color="auto"/>
          <w:color w:val="auto"/>
        </w:rPr>
        <w:t>Definitive Agreement</w:t>
      </w:r>
      <w:r>
        <w:rPr>
          <w:rFonts w:ascii="Arial" w:cs="Arial" w:eastAsia="Arial" w:hAnsi="Arial"/>
          <w:sz w:val="16"/>
          <w:szCs w:val="16"/>
          <w:color w:val="auto"/>
        </w:rPr>
        <w:t>. If the Parties enter into a definitive agreement for the clinical development and exclusive commercialization of Product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ROFN Territory following exercise of the ROFN, such agreement will set forth the respective roles and responsibilities of the Parties for such arrangement. Rani would continue to have final decision-making authority over development and commercialization of Product in the Rani Territory; however, global development plans for Product (including studies that impact countries in both the Rani Territory and ROFN Territory) would be discussed and decided through a joint committee. It is also expected that Celltrion would be solely responsible to conduct, and bear the costs of, all clinical development and commercialization of Product for the ROFN Territory, including seeking and obtaining regulatory approvals, and Rani would provide cooperation reasonably requested therefor, including responding to Governmental Authorities regarding matters related to or involving Rani’s Oral Delivery Technology or the manufacture, development or commercialization of Product outside the ROFN Territory. It is expected that any definitive agreement for the clinical development and commercialization of Product in the ROFN Territory would include an upfront payment, milestones and royalties to Rani in exchange for such rights.</w:t>
      </w:r>
    </w:p>
    <w:p>
      <w:pPr>
        <w:spacing w:after="0" w:line="87"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8"/>
          <w:szCs w:val="18"/>
          <w:u w:val="single" w:color="auto"/>
          <w:color w:val="auto"/>
        </w:rPr>
        <w:t>End of ROFN</w:t>
      </w:r>
      <w:r>
        <w:rPr>
          <w:rFonts w:ascii="Arial" w:cs="Arial" w:eastAsia="Arial" w:hAnsi="Arial"/>
          <w:sz w:val="18"/>
          <w:szCs w:val="18"/>
          <w:color w:val="auto"/>
        </w:rPr>
        <w:t>. In the event Celltrion does not deliver a ROFN Exercise Notice within the ROFN Exercise Period, or Celltrion notifies Rani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it does not intend to exercise the ROFN or, after timely exercising the ROFN, notifies Rani that Celltrion withdraws its exercise of the ROFN, or the Parties fail to enter into a definitive agreement for the development and commercialization of Product in the ROFN Territory within the ROFN Negotiation Period, then the ROFN will terminate and Rani will have no further obligations under this Agreement related to a ROFN or the negotiation of rights related to Product. Neither the exercise nor the termination of the ROFN will affect the Parties’ other rights and obligations under this Agreement or any other then-existing definitive agreement(s), including without limitation any existing obligations with respect to the supply of DP and/or DS by Celltrion.</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6.</w:t>
      </w:r>
      <w:r>
        <w:rPr>
          <w:sz w:val="20"/>
          <w:szCs w:val="20"/>
          <w:color w:val="auto"/>
        </w:rPr>
        <w:tab/>
      </w:r>
      <w:r>
        <w:rPr>
          <w:rFonts w:ascii="Arial" w:cs="Arial" w:eastAsia="Arial" w:hAnsi="Arial"/>
          <w:sz w:val="18"/>
          <w:szCs w:val="18"/>
          <w:b w:val="1"/>
          <w:bCs w:val="1"/>
          <w:color w:val="auto"/>
        </w:rPr>
        <w:t>M</w:t>
      </w:r>
      <w:r>
        <w:rPr>
          <w:rFonts w:ascii="Arial" w:cs="Arial" w:eastAsia="Arial" w:hAnsi="Arial"/>
          <w:sz w:val="12"/>
          <w:szCs w:val="12"/>
          <w:b w:val="1"/>
          <w:bCs w:val="1"/>
          <w:color w:val="auto"/>
        </w:rPr>
        <w:t>anufacture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p>
    <w:p>
      <w:pPr>
        <w:spacing w:after="0" w:line="172"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8"/>
          <w:szCs w:val="18"/>
          <w:u w:val="single" w:color="auto"/>
          <w:color w:val="auto"/>
        </w:rPr>
        <w:t>Supply</w:t>
      </w:r>
      <w:r>
        <w:rPr>
          <w:rFonts w:ascii="Arial" w:cs="Arial" w:eastAsia="Arial" w:hAnsi="Arial"/>
          <w:sz w:val="18"/>
          <w:szCs w:val="18"/>
          <w:color w:val="auto"/>
        </w:rPr>
        <w:t>. Rani will obtain supply of Drug Product and/or Drug Substance exclusively from Celltrion (or its Affiliate) for the clinical development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commercialization of Product, subject to the other provisions of this Agreement including without limitation Section 6.9 (Supply Continuity). Rani will use Drug Product and/or Drug Substance solely for the manufacture, development and commercialization of Product, as permitted under this Agreement. For clarity, unless otherwise agreed by the Parties, Stage 2 Supply will be in the form of Drug Product and Stage 2 Supply and Stage 3 Supply will be in the form of Drug Substance.</w:t>
      </w:r>
    </w:p>
    <w:p>
      <w:pPr>
        <w:spacing w:after="0" w:line="107"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u w:val="single" w:color="auto"/>
          <w:color w:val="auto"/>
        </w:rPr>
        <w:t>Initial Supply</w:t>
      </w:r>
      <w:r>
        <w:rPr>
          <w:rFonts w:ascii="Arial" w:cs="Arial" w:eastAsia="Arial" w:hAnsi="Arial"/>
          <w:sz w:val="18"/>
          <w:szCs w:val="18"/>
          <w:color w:val="auto"/>
        </w:rPr>
        <w:t>. As promptly as practicable, but in any event within [*] days after the Effective Date, Celltrion will deliver to Rani the amount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initial supply set forth on Appendix B: Supply Price Schedule (the “</w:t>
      </w:r>
      <w:r>
        <w:rPr>
          <w:rFonts w:ascii="Arial" w:cs="Arial" w:eastAsia="Arial" w:hAnsi="Arial"/>
          <w:sz w:val="18"/>
          <w:szCs w:val="18"/>
          <w:i w:val="1"/>
          <w:iCs w:val="1"/>
          <w:color w:val="auto"/>
        </w:rPr>
        <w:t>Initial Supply</w:t>
      </w:r>
      <w:r>
        <w:rPr>
          <w:rFonts w:ascii="Arial" w:cs="Arial" w:eastAsia="Arial" w:hAnsi="Arial"/>
          <w:sz w:val="18"/>
          <w:szCs w:val="18"/>
          <w:color w:val="auto"/>
        </w:rPr>
        <w:t>”). If needed, Rani may order additional quantities of Stage 1 Supply by placing Orders therefor with Celltrion as set forth in Section 6.3.2 below (Orders).</w:t>
      </w:r>
    </w:p>
    <w:p>
      <w:pPr>
        <w:spacing w:after="0" w:line="258"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8" w:name="page169"/>
    <w:bookmarkEnd w:id="168"/>
    <w:p>
      <w:pPr>
        <w:spacing w:after="0"/>
        <w:tabs>
          <w:tab w:leader="none" w:pos="7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7"/>
          <w:szCs w:val="17"/>
          <w:u w:val="single" w:color="auto"/>
          <w:color w:val="auto"/>
        </w:rPr>
        <w:t>Additional Clinical Supply</w:t>
      </w:r>
      <w:r>
        <w:rPr>
          <w:rFonts w:ascii="Arial" w:cs="Arial" w:eastAsia="Arial" w:hAnsi="Arial"/>
          <w:sz w:val="17"/>
          <w:szCs w:val="17"/>
          <w:color w:val="auto"/>
        </w:rPr>
        <w:t>.</w:t>
      </w:r>
    </w:p>
    <w:p>
      <w:pPr>
        <w:spacing w:after="0" w:line="98" w:lineRule="exact"/>
        <w:rPr>
          <w:sz w:val="20"/>
          <w:szCs w:val="20"/>
          <w:color w:val="auto"/>
        </w:rPr>
      </w:pPr>
    </w:p>
    <w:p>
      <w:pPr>
        <w:jc w:val="both"/>
        <w:ind w:left="1500" w:hanging="748"/>
        <w:spacing w:after="0" w:line="255" w:lineRule="auto"/>
        <w:tabs>
          <w:tab w:leader="none" w:pos="1480" w:val="left"/>
        </w:tabs>
        <w:rPr>
          <w:sz w:val="20"/>
          <w:szCs w:val="20"/>
          <w:color w:val="auto"/>
        </w:rPr>
      </w:pPr>
      <w:r>
        <w:rPr>
          <w:rFonts w:ascii="Arial" w:cs="Arial" w:eastAsia="Arial" w:hAnsi="Arial"/>
          <w:sz w:val="22"/>
          <w:szCs w:val="22"/>
          <w:color w:val="auto"/>
        </w:rPr>
        <w:t>6.3.1.</w:t>
      </w:r>
      <w:r>
        <w:rPr>
          <w:sz w:val="20"/>
          <w:szCs w:val="20"/>
          <w:color w:val="auto"/>
        </w:rPr>
        <w:tab/>
      </w:r>
      <w:r>
        <w:rPr>
          <w:rFonts w:ascii="Arial" w:cs="Arial" w:eastAsia="Arial" w:hAnsi="Arial"/>
          <w:sz w:val="18"/>
          <w:szCs w:val="18"/>
          <w:i w:val="1"/>
          <w:iCs w:val="1"/>
          <w:color w:val="auto"/>
        </w:rPr>
        <w:t>Forecasts</w:t>
      </w:r>
      <w:r>
        <w:rPr>
          <w:rFonts w:ascii="Arial" w:cs="Arial" w:eastAsia="Arial" w:hAnsi="Arial"/>
          <w:sz w:val="18"/>
          <w:szCs w:val="18"/>
          <w:color w:val="auto"/>
        </w:rPr>
        <w:t>. Unless otherwise mutually agreed by the Parties, Rani will provide to Celltrion on or before [*] of each calendar year a</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nonbinding forecast of its clinical requirements for Drug Product and/or Drug Substance for the subsequent calendar year. During each calendar year, Rani will promptly notify Celltrion in the event there is a material change to Rani’s forecast of clinical requirements for Drug Product and/or Drug Substance. Upon receipt of each forecast or changed forecast, Celltrion will promptly notify Rani in the event Celltrion foresees any difficulty supplying Rani the forecasted amount of DP and/or DS for the applicable calendar year.</w:t>
      </w:r>
    </w:p>
    <w:p>
      <w:pPr>
        <w:spacing w:after="0" w:line="111" w:lineRule="exact"/>
        <w:rPr>
          <w:sz w:val="20"/>
          <w:szCs w:val="20"/>
          <w:color w:val="auto"/>
        </w:rPr>
      </w:pPr>
    </w:p>
    <w:p>
      <w:pPr>
        <w:jc w:val="both"/>
        <w:ind w:left="1500" w:hanging="748"/>
        <w:spacing w:after="0" w:line="271" w:lineRule="auto"/>
        <w:tabs>
          <w:tab w:leader="none" w:pos="1480" w:val="left"/>
        </w:tabs>
        <w:rPr>
          <w:sz w:val="20"/>
          <w:szCs w:val="20"/>
          <w:color w:val="auto"/>
        </w:rPr>
      </w:pPr>
      <w:r>
        <w:rPr>
          <w:rFonts w:ascii="Arial" w:cs="Arial" w:eastAsia="Arial" w:hAnsi="Arial"/>
          <w:sz w:val="22"/>
          <w:szCs w:val="22"/>
          <w:color w:val="auto"/>
        </w:rPr>
        <w:t>6.3.2.</w:t>
      </w:r>
      <w:r>
        <w:rPr>
          <w:sz w:val="20"/>
          <w:szCs w:val="20"/>
          <w:color w:val="auto"/>
        </w:rPr>
        <w:tab/>
      </w:r>
      <w:r>
        <w:rPr>
          <w:rFonts w:ascii="Arial" w:cs="Arial" w:eastAsia="Arial" w:hAnsi="Arial"/>
          <w:sz w:val="17"/>
          <w:szCs w:val="17"/>
          <w:i w:val="1"/>
          <w:iCs w:val="1"/>
          <w:color w:val="auto"/>
        </w:rPr>
        <w:t>Orders</w:t>
      </w:r>
      <w:r>
        <w:rPr>
          <w:rFonts w:ascii="Arial" w:cs="Arial" w:eastAsia="Arial" w:hAnsi="Arial"/>
          <w:sz w:val="17"/>
          <w:szCs w:val="17"/>
          <w:color w:val="auto"/>
        </w:rPr>
        <w:t>. For clinical supply of Drug Product and/or Drug Substance beyond the Initial Supply, Rani will place orders for Drug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and/or Drug Substance with Celltrion by providing binding written purchase orders of its requirements of Drug Product and/or Drug Substance at least [*] days in advance (“</w:t>
      </w:r>
      <w:r>
        <w:rPr>
          <w:rFonts w:ascii="Arial" w:cs="Arial" w:eastAsia="Arial" w:hAnsi="Arial"/>
          <w:sz w:val="17"/>
          <w:szCs w:val="17"/>
          <w:i w:val="1"/>
          <w:iCs w:val="1"/>
          <w:color w:val="auto"/>
        </w:rPr>
        <w:t>Orders</w:t>
      </w:r>
      <w:r>
        <w:rPr>
          <w:rFonts w:ascii="Arial" w:cs="Arial" w:eastAsia="Arial" w:hAnsi="Arial"/>
          <w:sz w:val="17"/>
          <w:szCs w:val="17"/>
          <w:color w:val="auto"/>
        </w:rPr>
        <w:t>”), unless otherwise mutually agreed by the Parties. Each Order will specify the quantity of Drug Product and/or Drug Substance and the proposed delivery date. The minimum order quantity for Drug Substance shall be [*]. Celltrion will use commercially reasonable efforts to supply Drug Product and/or Drug Substance to Rani in accordance with each Order. If Celltrion reasonably believes that it will not be able to meet an Order as provided, it will promptly notify Rani in writing within [*] days of receiving such Order. In such event, the Parties will discuss in good faith how best to meet Rani’s requirements of Drug Product and/or Drug Substance set forth in the Order.</w:t>
      </w:r>
    </w:p>
    <w:p>
      <w:pPr>
        <w:spacing w:after="0" w:line="9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6"/>
          <w:szCs w:val="16"/>
          <w:u w:val="single" w:color="auto"/>
          <w:color w:val="auto"/>
        </w:rPr>
        <w:t>Manufacturing and Delivery</w:t>
      </w:r>
      <w:r>
        <w:rPr>
          <w:rFonts w:ascii="Arial" w:cs="Arial" w:eastAsia="Arial" w:hAnsi="Arial"/>
          <w:sz w:val="16"/>
          <w:szCs w:val="16"/>
          <w:color w:val="auto"/>
        </w:rPr>
        <w:t>.</w:t>
      </w:r>
    </w:p>
    <w:p>
      <w:pPr>
        <w:spacing w:after="0" w:line="98" w:lineRule="exact"/>
        <w:rPr>
          <w:sz w:val="20"/>
          <w:szCs w:val="20"/>
          <w:color w:val="auto"/>
        </w:rPr>
      </w:pPr>
    </w:p>
    <w:p>
      <w:pPr>
        <w:jc w:val="both"/>
        <w:ind w:left="1500" w:hanging="748"/>
        <w:spacing w:after="0" w:line="257" w:lineRule="auto"/>
        <w:tabs>
          <w:tab w:leader="none" w:pos="1480" w:val="left"/>
        </w:tabs>
        <w:rPr>
          <w:sz w:val="20"/>
          <w:szCs w:val="20"/>
          <w:color w:val="auto"/>
        </w:rPr>
      </w:pPr>
      <w:r>
        <w:rPr>
          <w:rFonts w:ascii="Arial" w:cs="Arial" w:eastAsia="Arial" w:hAnsi="Arial"/>
          <w:sz w:val="22"/>
          <w:szCs w:val="22"/>
          <w:color w:val="auto"/>
        </w:rPr>
        <w:t>6.4.1.</w:t>
      </w:r>
      <w:r>
        <w:rPr>
          <w:sz w:val="20"/>
          <w:szCs w:val="20"/>
          <w:color w:val="auto"/>
        </w:rPr>
        <w:tab/>
      </w:r>
      <w:r>
        <w:rPr>
          <w:rFonts w:ascii="Arial" w:cs="Arial" w:eastAsia="Arial" w:hAnsi="Arial"/>
          <w:sz w:val="18"/>
          <w:szCs w:val="18"/>
          <w:i w:val="1"/>
          <w:iCs w:val="1"/>
          <w:color w:val="auto"/>
        </w:rPr>
        <w:t>Specifications</w:t>
      </w:r>
      <w:r>
        <w:rPr>
          <w:rFonts w:ascii="Arial" w:cs="Arial" w:eastAsia="Arial" w:hAnsi="Arial"/>
          <w:sz w:val="18"/>
          <w:szCs w:val="18"/>
          <w:color w:val="auto"/>
        </w:rPr>
        <w:t>. Drug Product and/or Drug Substance supplied by Celltrion hereunder will be manufactured in accordance with cGMP,</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Quality Agreement, the Specifications and applicable Law. Celltrion will be responsible for keeping its manufacturing facility and manufacturing processes for Drug Product and/or Drug Substance in compliance with cGMP, and applicable Law and regulatory requirements. Unless otherwise mutually agreed, Celltrion will deliver Drug Product and/or Drug Substance in liquid form in containers that are in accordance with Celltrion’s specifications.</w:t>
      </w:r>
    </w:p>
    <w:p>
      <w:pPr>
        <w:spacing w:after="0" w:line="107" w:lineRule="exact"/>
        <w:rPr>
          <w:sz w:val="20"/>
          <w:szCs w:val="20"/>
          <w:color w:val="auto"/>
        </w:rPr>
      </w:pPr>
    </w:p>
    <w:p>
      <w:pPr>
        <w:jc w:val="both"/>
        <w:ind w:left="1500" w:hanging="748"/>
        <w:spacing w:after="0" w:line="291" w:lineRule="auto"/>
        <w:tabs>
          <w:tab w:leader="none" w:pos="1480" w:val="left"/>
        </w:tabs>
        <w:rPr>
          <w:sz w:val="20"/>
          <w:szCs w:val="20"/>
          <w:color w:val="auto"/>
        </w:rPr>
      </w:pPr>
      <w:r>
        <w:rPr>
          <w:rFonts w:ascii="Arial" w:cs="Arial" w:eastAsia="Arial" w:hAnsi="Arial"/>
          <w:sz w:val="22"/>
          <w:szCs w:val="22"/>
          <w:color w:val="auto"/>
        </w:rPr>
        <w:t>6.4.2.</w:t>
      </w:r>
      <w:r>
        <w:rPr>
          <w:sz w:val="20"/>
          <w:szCs w:val="20"/>
          <w:color w:val="auto"/>
        </w:rPr>
        <w:tab/>
      </w:r>
      <w:r>
        <w:rPr>
          <w:rFonts w:ascii="Arial" w:cs="Arial" w:eastAsia="Arial" w:hAnsi="Arial"/>
          <w:sz w:val="16"/>
          <w:szCs w:val="16"/>
          <w:i w:val="1"/>
          <w:iCs w:val="1"/>
          <w:color w:val="auto"/>
        </w:rPr>
        <w:t>Delivery</w:t>
      </w:r>
      <w:r>
        <w:rPr>
          <w:rFonts w:ascii="Arial" w:cs="Arial" w:eastAsia="Arial" w:hAnsi="Arial"/>
          <w:sz w:val="16"/>
          <w:szCs w:val="16"/>
          <w:color w:val="auto"/>
        </w:rPr>
        <w:t>. Celltrion will deliver Drug Product and/or Drug Substance to Rani FCA (port/airport terminal) (Incoterms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Notwithstanding such Incoterms, Celltrion will be responsible for handling customs clearance with respect to DP and/or DS. Celltrion will be responsible for the manufacturer’s release of Drug Product and/or Drug Substance. Celltrion will provide to Rani upon release of each lot of Drug Product and/or Drug Substance complete and accurate certificates of analysis, certificates of compliance, executed batch records, and deviations and related documentation (the “</w:t>
      </w:r>
      <w:r>
        <w:rPr>
          <w:rFonts w:ascii="Arial" w:cs="Arial" w:eastAsia="Arial" w:hAnsi="Arial"/>
          <w:sz w:val="16"/>
          <w:szCs w:val="16"/>
          <w:i w:val="1"/>
          <w:iCs w:val="1"/>
          <w:color w:val="auto"/>
        </w:rPr>
        <w:t>Disposition Package</w:t>
      </w:r>
      <w:r>
        <w:rPr>
          <w:rFonts w:ascii="Arial" w:cs="Arial" w:eastAsia="Arial" w:hAnsi="Arial"/>
          <w:sz w:val="16"/>
          <w:szCs w:val="16"/>
          <w:color w:val="auto"/>
        </w:rPr>
        <w:t>”). As Rani may request from time to time, Celltrion will make analytical methods used for testing and release of Drug Product and/or Drug Substance and test results, and such other documentation reasonably requested, available for Rani’s inspection, which records will be complete and accurate.</w:t>
      </w:r>
    </w:p>
    <w:p>
      <w:pPr>
        <w:spacing w:after="0" w:line="85" w:lineRule="exact"/>
        <w:rPr>
          <w:sz w:val="20"/>
          <w:szCs w:val="20"/>
          <w:color w:val="auto"/>
        </w:rPr>
      </w:pPr>
    </w:p>
    <w:p>
      <w:pPr>
        <w:jc w:val="both"/>
        <w:ind w:left="1500" w:hanging="748"/>
        <w:spacing w:after="0" w:line="257" w:lineRule="auto"/>
        <w:tabs>
          <w:tab w:leader="none" w:pos="1480" w:val="left"/>
        </w:tabs>
        <w:rPr>
          <w:sz w:val="20"/>
          <w:szCs w:val="20"/>
          <w:color w:val="auto"/>
        </w:rPr>
      </w:pPr>
      <w:r>
        <w:rPr>
          <w:rFonts w:ascii="Arial" w:cs="Arial" w:eastAsia="Arial" w:hAnsi="Arial"/>
          <w:sz w:val="22"/>
          <w:szCs w:val="22"/>
          <w:color w:val="auto"/>
        </w:rPr>
        <w:t>6.4.3.</w:t>
      </w:r>
      <w:r>
        <w:rPr>
          <w:sz w:val="20"/>
          <w:szCs w:val="20"/>
          <w:color w:val="auto"/>
        </w:rPr>
        <w:tab/>
      </w:r>
      <w:r>
        <w:rPr>
          <w:rFonts w:ascii="Arial" w:cs="Arial" w:eastAsia="Arial" w:hAnsi="Arial"/>
          <w:sz w:val="18"/>
          <w:szCs w:val="18"/>
          <w:i w:val="1"/>
          <w:iCs w:val="1"/>
          <w:color w:val="auto"/>
        </w:rPr>
        <w:t>Minimum Shelf Life</w:t>
      </w:r>
      <w:r>
        <w:rPr>
          <w:rFonts w:ascii="Arial" w:cs="Arial" w:eastAsia="Arial" w:hAnsi="Arial"/>
          <w:sz w:val="18"/>
          <w:szCs w:val="18"/>
          <w:color w:val="auto"/>
        </w:rPr>
        <w:t>. Upon delivery hereunder, Drug Product and/or Drug Substance supplied by Celltrion will have a minimum</w:t>
      </w:r>
      <w:r>
        <w:rPr>
          <w:rFonts w:ascii="Arial" w:cs="Arial" w:eastAsia="Arial" w:hAnsi="Arial"/>
          <w:sz w:val="18"/>
          <w:szCs w:val="18"/>
          <w:i w:val="1"/>
          <w:iCs w:val="1"/>
          <w:color w:val="auto"/>
        </w:rPr>
        <w:t xml:space="preserve"> </w:t>
      </w:r>
      <w:r>
        <w:rPr>
          <w:rFonts w:ascii="Arial" w:cs="Arial" w:eastAsia="Arial" w:hAnsi="Arial"/>
          <w:sz w:val="18"/>
          <w:szCs w:val="18"/>
          <w:color w:val="auto"/>
        </w:rPr>
        <w:t>residual shelf life of not less than [*] of its approved shelf life (and, in any event, no less than [*] months of minimum residual shelf life), prior to any re-testing that may be available to extend the retest date. Upon reasonable request by Rani and mutual agreement by Celltrion, which will not be unreasonably withheld, Celltrion will perform retesting of DP and/or DS and provide retest results and an updated certificate of analysis to Rani.</w:t>
      </w:r>
    </w:p>
    <w:p>
      <w:pPr>
        <w:spacing w:after="0" w:line="262" w:lineRule="exact"/>
        <w:rPr>
          <w:sz w:val="20"/>
          <w:szCs w:val="20"/>
          <w:color w:val="auto"/>
        </w:rPr>
      </w:pPr>
    </w:p>
    <w:p>
      <w:pPr>
        <w:ind w:left="60"/>
        <w:spacing w:after="0"/>
        <w:tabs>
          <w:tab w:leader="none" w:pos="106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9</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9" w:name="page170"/>
    <w:bookmarkEnd w:id="169"/>
    <w:p>
      <w:pPr>
        <w:jc w:val="both"/>
        <w:ind w:left="1500" w:hanging="748"/>
        <w:spacing w:after="0" w:line="268" w:lineRule="auto"/>
        <w:tabs>
          <w:tab w:leader="none" w:pos="1480" w:val="left"/>
        </w:tabs>
        <w:rPr>
          <w:sz w:val="20"/>
          <w:szCs w:val="20"/>
          <w:color w:val="auto"/>
        </w:rPr>
      </w:pPr>
      <w:r>
        <w:rPr>
          <w:rFonts w:ascii="Arial" w:cs="Arial" w:eastAsia="Arial" w:hAnsi="Arial"/>
          <w:sz w:val="22"/>
          <w:szCs w:val="22"/>
          <w:color w:val="auto"/>
        </w:rPr>
        <w:t>6.4.4.</w:t>
      </w:r>
      <w:r>
        <w:rPr>
          <w:sz w:val="20"/>
          <w:szCs w:val="20"/>
          <w:color w:val="auto"/>
        </w:rPr>
        <w:tab/>
      </w:r>
      <w:r>
        <w:rPr>
          <w:rFonts w:ascii="Arial" w:cs="Arial" w:eastAsia="Arial" w:hAnsi="Arial"/>
          <w:sz w:val="17"/>
          <w:szCs w:val="17"/>
          <w:i w:val="1"/>
          <w:iCs w:val="1"/>
          <w:color w:val="auto"/>
        </w:rPr>
        <w:t>Non-Conforming DP/DS</w:t>
      </w:r>
      <w:r>
        <w:rPr>
          <w:rFonts w:ascii="Arial" w:cs="Arial" w:eastAsia="Arial" w:hAnsi="Arial"/>
          <w:sz w:val="17"/>
          <w:szCs w:val="17"/>
          <w:color w:val="auto"/>
        </w:rPr>
        <w:t>. In the event that any DP and/or DS released by Celltrion and delivered hereunder fails to conform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Specifications at the time such DP and/or DS is delivered to Rani, Rani may reject the same by giving written notice thereof to Celltrion (a “</w:t>
      </w:r>
      <w:r>
        <w:rPr>
          <w:rFonts w:ascii="Arial" w:cs="Arial" w:eastAsia="Arial" w:hAnsi="Arial"/>
          <w:sz w:val="17"/>
          <w:szCs w:val="17"/>
          <w:i w:val="1"/>
          <w:iCs w:val="1"/>
          <w:color w:val="auto"/>
        </w:rPr>
        <w:t>Notice</w:t>
      </w:r>
      <w:r>
        <w:rPr>
          <w:rFonts w:ascii="Arial" w:cs="Arial" w:eastAsia="Arial" w:hAnsi="Arial"/>
          <w:sz w:val="17"/>
          <w:szCs w:val="17"/>
          <w:color w:val="auto"/>
        </w:rPr>
        <w:t>”), within [*] days after receipt of the DP and/or DS at Rani’s facility, and for latent defects, within [*] days after discovery of such latent defect, which Notice will specify the manner in which the DP and/or DS fails to conform to the Specifications. If Rani reasonably suspects that any DP and/or DS hereunder fails to conform to the Specifications, Rani may provide Notice to Celltrion, during the time periods described above, and the period for Rani to accept or reject such DP and/or DS will be extended by the period reasonably required to complete an inspection of such DP and/or DS and subsequent investigation, if any; provided that, Rani will target conclusion of any such inspection and investigation within [*] days of commencement of such inspection. If Celltrion disagrees with Rani’s conclusion with respect to the non-conformance of such DP and/or DS, Celltrion will have the right to request that Rani submit its investigation report to an independent Third-Party expert mutually agreed upon by the Parties for review. Such independent Third-Party expert will review and make a determination as to non-conformance, and such expert’s report will be shared with both Parties and its conclusion will determine conformance or non-conformance with the Specifications. The cost of such expert review will be borne by the Party whose position was contrary to the expert’s determination (i.e., Rani if the expert determines the DP and/or DS conformed to Specifications at the time of delivery, or Celltrion if the expert determines the DP and/or DS did not so conform at the time of delivery).</w:t>
      </w:r>
    </w:p>
    <w:p>
      <w:pPr>
        <w:spacing w:after="0" w:line="101" w:lineRule="exact"/>
        <w:rPr>
          <w:sz w:val="20"/>
          <w:szCs w:val="20"/>
          <w:color w:val="auto"/>
        </w:rPr>
      </w:pPr>
    </w:p>
    <w:p>
      <w:pPr>
        <w:jc w:val="both"/>
        <w:ind w:left="1500" w:hanging="748"/>
        <w:spacing w:after="0" w:line="254" w:lineRule="auto"/>
        <w:tabs>
          <w:tab w:leader="none" w:pos="1480" w:val="left"/>
        </w:tabs>
        <w:rPr>
          <w:sz w:val="20"/>
          <w:szCs w:val="20"/>
          <w:color w:val="auto"/>
        </w:rPr>
      </w:pPr>
      <w:r>
        <w:rPr>
          <w:rFonts w:ascii="Arial" w:cs="Arial" w:eastAsia="Arial" w:hAnsi="Arial"/>
          <w:sz w:val="22"/>
          <w:szCs w:val="22"/>
          <w:color w:val="auto"/>
        </w:rPr>
        <w:t>6.4.5.</w:t>
      </w:r>
      <w:r>
        <w:rPr>
          <w:sz w:val="20"/>
          <w:szCs w:val="20"/>
          <w:color w:val="auto"/>
        </w:rPr>
        <w:tab/>
      </w:r>
      <w:r>
        <w:rPr>
          <w:rFonts w:ascii="Arial" w:cs="Arial" w:eastAsia="Arial" w:hAnsi="Arial"/>
          <w:sz w:val="18"/>
          <w:szCs w:val="18"/>
          <w:i w:val="1"/>
          <w:iCs w:val="1"/>
          <w:color w:val="auto"/>
        </w:rPr>
        <w:t>Changes to Manufacturing</w:t>
      </w:r>
      <w:r>
        <w:rPr>
          <w:rFonts w:ascii="Arial" w:cs="Arial" w:eastAsia="Arial" w:hAnsi="Arial"/>
          <w:sz w:val="18"/>
          <w:szCs w:val="18"/>
          <w:color w:val="auto"/>
        </w:rPr>
        <w:t>. If changes to the Specifications of DP and/or DS are required, Celltrion will provide prior notification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Rani. Following the change of control process, where required, necessary regulatory applications may be submitted to regulatory authorities. All other updates, including regulatory authorities’ approval, will be implemented in accordance with change of control process, and be notified to Rani. Any reasonable and documented additional costs incurred by Rani as a result of any changes to the Specifications of the DP and/or DS shall be borne by Celltrion. Celltrion will notify Rani in writing of any changes in or to the Specifications, Celltrion’s manufacturing facilities or procedures, vendors, raw materials or capital equipment that will or may require Rani to amend its Regulatory Filings related to Product or otherwise as reasonably necessary to enable Rani to fulfill its regulatory obligations with respect to Product.</w:t>
      </w:r>
    </w:p>
    <w:p>
      <w:pPr>
        <w:spacing w:after="0" w:line="111"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8"/>
          <w:szCs w:val="18"/>
          <w:u w:val="single" w:color="auto"/>
          <w:color w:val="auto"/>
        </w:rPr>
        <w:t>Commercial Supply</w:t>
      </w:r>
      <w:r>
        <w:rPr>
          <w:rFonts w:ascii="Arial" w:cs="Arial" w:eastAsia="Arial" w:hAnsi="Arial"/>
          <w:sz w:val="18"/>
          <w:szCs w:val="18"/>
          <w:color w:val="auto"/>
        </w:rPr>
        <w:t>. Promptly following the Effective Date, Celltrion will use its reasonable efforts to facilitate discussions among Celltrion,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Rani and [*] with respect to a commercial supply agreement for Stage 3 Supply of Drug Substance (“</w:t>
      </w:r>
      <w:r>
        <w:rPr>
          <w:rFonts w:ascii="Arial" w:cs="Arial" w:eastAsia="Arial" w:hAnsi="Arial"/>
          <w:sz w:val="18"/>
          <w:szCs w:val="18"/>
          <w:i w:val="1"/>
          <w:iCs w:val="1"/>
          <w:color w:val="auto"/>
        </w:rPr>
        <w:t>Commercial Supply Agreement</w:t>
      </w:r>
      <w:r>
        <w:rPr>
          <w:rFonts w:ascii="Arial" w:cs="Arial" w:eastAsia="Arial" w:hAnsi="Arial"/>
          <w:sz w:val="18"/>
          <w:szCs w:val="18"/>
          <w:color w:val="auto"/>
        </w:rPr>
        <w:t>”) and a corresponding quality agreement. Celltrion and Rani will cooperate in good faith with an aim toward working out with [*] basic commercial supply terms within [*] after the Effective Date. It is acknowledged and understood that Rani may choose to stop or pause its preclinical and/or clinical activities with respect to Product at any time if it believes the parties are not making sufficient progress toward agreeing upon commercial supply terms and/or executing a commercial supply agreement.</w:t>
      </w:r>
    </w:p>
    <w:p>
      <w:pPr>
        <w:spacing w:after="0" w:line="111"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8"/>
          <w:szCs w:val="18"/>
          <w:u w:val="single" w:color="auto"/>
          <w:color w:val="auto"/>
        </w:rPr>
        <w:t>Quality Agreement</w:t>
      </w:r>
      <w:r>
        <w:rPr>
          <w:rFonts w:ascii="Arial" w:cs="Arial" w:eastAsia="Arial" w:hAnsi="Arial"/>
          <w:sz w:val="18"/>
          <w:szCs w:val="18"/>
          <w:color w:val="auto"/>
        </w:rPr>
        <w:t>. Within thirty (30) days after the Effective Date, the Parties will enter into a quality agreement governing the quality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specifications of clinical Drug Product and/or Drug Substance to be supplied hereunder. Such quality agreement is documented in writing, and will be regularly updated as needed by mutual written agreement of the Parties.</w:t>
      </w:r>
    </w:p>
    <w:p>
      <w:pPr>
        <w:spacing w:after="0" w:line="103"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8"/>
          <w:szCs w:val="18"/>
          <w:u w:val="single" w:color="auto"/>
          <w:color w:val="auto"/>
        </w:rPr>
        <w:t>Rani Inspections</w:t>
      </w:r>
      <w:r>
        <w:rPr>
          <w:rFonts w:ascii="Arial" w:cs="Arial" w:eastAsia="Arial" w:hAnsi="Arial"/>
          <w:sz w:val="18"/>
          <w:szCs w:val="18"/>
          <w:color w:val="auto"/>
        </w:rPr>
        <w:t>. Subject to the terms and conditions of this Agreement, Rani may visit and inspect, no more than [*], at its own expense,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Celltrion’s (a) manufacturing facilities for Drug Product and/or Drug Substance, (b) quality control and analytical laboratories for the testing of Drug Product and/or Drug Substance, and (c) documents and records relating to (a) and (b) above or as otherwise reasonably requested, in each case to the extent such facilities or records relate to the Drug Product and/or Drug Substance supplied to Rani pursuant to this Agreement. </w:t>
      </w:r>
      <w:r>
        <w:rPr>
          <w:rFonts w:ascii="Arial" w:cs="Arial" w:eastAsia="Arial" w:hAnsi="Arial"/>
          <w:sz w:val="18"/>
          <w:szCs w:val="18"/>
          <w:color w:val="242424"/>
        </w:rPr>
        <w:t>In</w:t>
      </w:r>
      <w:r>
        <w:rPr>
          <w:rFonts w:ascii="Arial" w:cs="Arial" w:eastAsia="Arial" w:hAnsi="Arial"/>
          <w:sz w:val="18"/>
          <w:szCs w:val="18"/>
          <w:color w:val="auto"/>
        </w:rPr>
        <w:t xml:space="preserve"> </w:t>
      </w:r>
      <w:r>
        <w:rPr>
          <w:rFonts w:ascii="Arial" w:cs="Arial" w:eastAsia="Arial" w:hAnsi="Arial"/>
          <w:sz w:val="18"/>
          <w:szCs w:val="18"/>
          <w:color w:val="242424"/>
        </w:rPr>
        <w:t xml:space="preserve">case of a significant quality issue that affects the Drug Product and/or Drug Substance, the Parties may discuss to allow a for cause audit. </w:t>
      </w:r>
      <w:r>
        <w:rPr>
          <w:rFonts w:ascii="Arial" w:cs="Arial" w:eastAsia="Arial" w:hAnsi="Arial"/>
          <w:sz w:val="18"/>
          <w:szCs w:val="18"/>
          <w:color w:val="000000"/>
        </w:rPr>
        <w:t>Rani’s</w:t>
      </w:r>
      <w:r>
        <w:rPr>
          <w:rFonts w:ascii="Arial" w:cs="Arial" w:eastAsia="Arial" w:hAnsi="Arial"/>
          <w:sz w:val="18"/>
          <w:szCs w:val="18"/>
          <w:color w:val="242424"/>
        </w:rPr>
        <w:t xml:space="preserve"> </w:t>
      </w:r>
      <w:r>
        <w:rPr>
          <w:rFonts w:ascii="Arial" w:cs="Arial" w:eastAsia="Arial" w:hAnsi="Arial"/>
          <w:sz w:val="18"/>
          <w:szCs w:val="18"/>
          <w:color w:val="000000"/>
        </w:rPr>
        <w:t>inspections will be limited in scope to what is reasonably necessary to confirm that Celltrion complies, or has complied, with cGMP, this Agreement and</w:t>
      </w:r>
    </w:p>
    <w:p>
      <w:pPr>
        <w:spacing w:after="0" w:line="269"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70" w:name="page171"/>
    <w:bookmarkEnd w:id="170"/>
    <w:p>
      <w:pPr>
        <w:jc w:val="both"/>
        <w:ind w:left="760"/>
        <w:spacing w:after="0" w:line="255" w:lineRule="auto"/>
        <w:rPr>
          <w:sz w:val="20"/>
          <w:szCs w:val="20"/>
          <w:color w:val="auto"/>
        </w:rPr>
      </w:pPr>
      <w:r>
        <w:rPr>
          <w:rFonts w:ascii="Arial" w:cs="Arial" w:eastAsia="Arial" w:hAnsi="Arial"/>
          <w:sz w:val="18"/>
          <w:szCs w:val="18"/>
          <w:color w:val="auto"/>
        </w:rPr>
        <w:t>the Quality Agreement in manufacturing the Drug Product and/or Drug Substance. Rani will coordinate all inspections with Celltrion and provide Celltrion with no less than [*] days prior written notice of any proposed routine inspection. The Parties will agree on timing for any for cause audits, based on the exigency of the matter at issue. In addition, Celltrion will reasonably consider any specific requests from Rani for quality-related documentation outside of an in-person inspection. Inspections will be conducted in accordance with Celltrion’s reasonable procedures during normal hours of operation. Any information obtained by Rani in the course of such inspections will be treated as Celltrion Confidential Information. [*]</w:t>
      </w:r>
    </w:p>
    <w:p>
      <w:pPr>
        <w:spacing w:after="0" w:line="77"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8"/>
          <w:szCs w:val="18"/>
          <w:u w:val="single" w:color="auto"/>
          <w:color w:val="auto"/>
        </w:rPr>
        <w:t>Shortage Allocation</w:t>
      </w:r>
      <w:r>
        <w:rPr>
          <w:rFonts w:ascii="Arial" w:cs="Arial" w:eastAsia="Arial" w:hAnsi="Arial"/>
          <w:sz w:val="18"/>
          <w:szCs w:val="18"/>
          <w:color w:val="auto"/>
        </w:rPr>
        <w:t>. In the event of a shortage of Drug Product and/or Drug Substance such that Celltrion reasonably believes that it will not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able to supply Rani’s requirements, Celltrion will promptly provide written notice to Rani thereof. If Celltrion actually cannot supply (a) Rani’s Orders in full in accordance with the Agreement and (b) Celltrion’s requirements for Drug Product and/or Drug Substance (including its obligations to licensees or distributors of Celltrion), then Celltrion will reasonably allocate Drug Product and/or Drug Substance such that each of Rani and Celltrion (together with its licensees or distributors) will suffer a pro rata shortage, determined by reference to the Drug Product and/or Drug Substance requirements of Rani as forecast by Rani and the requirements of Celltrion (together with its licensees and distributors) forecast by Celltrion.</w:t>
      </w:r>
    </w:p>
    <w:p>
      <w:pPr>
        <w:spacing w:after="0" w:line="114" w:lineRule="exact"/>
        <w:rPr>
          <w:sz w:val="20"/>
          <w:szCs w:val="20"/>
          <w:color w:val="auto"/>
        </w:rPr>
      </w:pPr>
    </w:p>
    <w:p>
      <w:pPr>
        <w:jc w:val="both"/>
        <w:ind w:left="760" w:hanging="748"/>
        <w:spacing w:after="0" w:line="268" w:lineRule="auto"/>
        <w:tabs>
          <w:tab w:leader="none" w:pos="7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7"/>
          <w:szCs w:val="17"/>
          <w:u w:val="single" w:color="auto"/>
          <w:color w:val="auto"/>
        </w:rPr>
        <w:t>Supply Continuity</w:t>
      </w:r>
      <w:r>
        <w:rPr>
          <w:rFonts w:ascii="Arial" w:cs="Arial" w:eastAsia="Arial" w:hAnsi="Arial"/>
          <w:sz w:val="17"/>
          <w:szCs w:val="17"/>
          <w:color w:val="auto"/>
        </w:rPr>
        <w:t>. In case Celltrion is unable to, or reasonably believes that it will not be able to, supply Rani’s requirements of Drug Product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and/or Drug Substance under this Agreement, Celltrion will promptly notify Rani of any actual or potential disruption to its ability to supply Drug Product and/or Drug Substance to Rani in full in accordance with the terms of this Agreement (a “</w:t>
      </w:r>
      <w:r>
        <w:rPr>
          <w:rFonts w:ascii="Arial" w:cs="Arial" w:eastAsia="Arial" w:hAnsi="Arial"/>
          <w:sz w:val="17"/>
          <w:szCs w:val="17"/>
          <w:i w:val="1"/>
          <w:iCs w:val="1"/>
          <w:color w:val="auto"/>
        </w:rPr>
        <w:t>Supply Disruption</w:t>
      </w:r>
      <w:r>
        <w:rPr>
          <w:rFonts w:ascii="Arial" w:cs="Arial" w:eastAsia="Arial" w:hAnsi="Arial"/>
          <w:sz w:val="17"/>
          <w:szCs w:val="17"/>
          <w:color w:val="auto"/>
        </w:rPr>
        <w:t>”). In such event, the Parties will promptly meet to discuss such situation and to seek a mutually agreeable mitigation or resolution to the Supply Disruption (which could include, without limitation, build-up of inventory, or other solutions). During any Supply Disruption, Rani, subject to [*] days’ prior written notice to Celltrion, will have the right to obtain supply of Drug Product and/or Drug Substance or other ustekinumab biosimilar for use in Product from Third Parties (“</w:t>
      </w:r>
      <w:r>
        <w:rPr>
          <w:rFonts w:ascii="Arial" w:cs="Arial" w:eastAsia="Arial" w:hAnsi="Arial"/>
          <w:sz w:val="17"/>
          <w:szCs w:val="17"/>
          <w:i w:val="1"/>
          <w:iCs w:val="1"/>
          <w:color w:val="auto"/>
        </w:rPr>
        <w:t>Alternate Supply</w:t>
      </w:r>
      <w:r>
        <w:rPr>
          <w:rFonts w:ascii="Arial" w:cs="Arial" w:eastAsia="Arial" w:hAnsi="Arial"/>
          <w:sz w:val="17"/>
          <w:szCs w:val="17"/>
          <w:color w:val="auto"/>
        </w:rPr>
        <w:t>”) as it determines to be reasonably necessary or appropriate to avoid or remedy a Supply Disruption (including, without limitation, such period(s) or quantities of supply to which Rani has to reasonably commit in order to obtain supply from such Third Parties with respect to a Supply Disruption). If, as of the time Celltrion has remedied a Supply Disruption (and no further Supply Disruption is foreseeable), Rani will use reasonable efforts to transition back to use of Celltrion supply of DP and/or DS hereunder if and when reasonably practicable, provided that it would not unduly interfere with Rani’s continued development, manufacture or commercialization of Product as determined by Rani in its reasonable judgment. Celltrion will reimburse Rani for the difference between the costs of obtaining Alternate Supply and the cost of obtaining such supply from Celltrion, as well as costs associated with mitigation activities with respect to a Supply Disruption hereunder (and Rani may offset such costs against any amounts owed to Celltrion hereunder), in addition to any other remedies available at law or in equity.</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7.</w:t>
      </w:r>
      <w:r>
        <w:rPr>
          <w:sz w:val="20"/>
          <w:szCs w:val="20"/>
          <w:color w:val="auto"/>
        </w:rPr>
        <w:tab/>
      </w:r>
      <w:r>
        <w:rPr>
          <w:rFonts w:ascii="Arial" w:cs="Arial" w:eastAsia="Arial" w:hAnsi="Arial"/>
          <w:sz w:val="18"/>
          <w:szCs w:val="18"/>
          <w:b w:val="1"/>
          <w:bCs w:val="1"/>
          <w:color w:val="auto"/>
        </w:rPr>
        <w:t>P</w:t>
      </w:r>
      <w:r>
        <w:rPr>
          <w:rFonts w:ascii="Arial" w:cs="Arial" w:eastAsia="Arial" w:hAnsi="Arial"/>
          <w:sz w:val="12"/>
          <w:szCs w:val="12"/>
          <w:b w:val="1"/>
          <w:bCs w:val="1"/>
          <w:color w:val="auto"/>
        </w:rPr>
        <w:t>ayment</w:t>
      </w:r>
    </w:p>
    <w:p>
      <w:pPr>
        <w:spacing w:after="0" w:line="172"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u w:val="single" w:color="auto"/>
          <w:color w:val="auto"/>
        </w:rPr>
        <w:t>Supply Price</w:t>
      </w:r>
      <w:r>
        <w:rPr>
          <w:rFonts w:ascii="Arial" w:cs="Arial" w:eastAsia="Arial" w:hAnsi="Arial"/>
          <w:sz w:val="18"/>
          <w:szCs w:val="18"/>
          <w:color w:val="auto"/>
        </w:rPr>
        <w:t>. Rani will pay Celltrion for the supply of Drug Product and/or Drug Substance as set forth in the Supply Price Schedule attached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as Appendix B.</w:t>
      </w:r>
    </w:p>
    <w:p>
      <w:pPr>
        <w:spacing w:after="0" w:line="89" w:lineRule="exact"/>
        <w:rPr>
          <w:sz w:val="20"/>
          <w:szCs w:val="20"/>
          <w:color w:val="auto"/>
        </w:rPr>
      </w:pPr>
    </w:p>
    <w:p>
      <w:pPr>
        <w:jc w:val="both"/>
        <w:ind w:left="760" w:right="40" w:hanging="745"/>
        <w:spacing w:after="0" w:line="259" w:lineRule="auto"/>
        <w:tabs>
          <w:tab w:leader="none" w:pos="7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8"/>
          <w:szCs w:val="18"/>
          <w:u w:val="single" w:color="auto"/>
          <w:color w:val="auto"/>
        </w:rPr>
        <w:t>Reimbursement</w:t>
      </w:r>
      <w:r>
        <w:rPr>
          <w:rFonts w:ascii="Arial" w:cs="Arial" w:eastAsia="Arial" w:hAnsi="Arial"/>
          <w:sz w:val="18"/>
          <w:szCs w:val="18"/>
          <w:color w:val="auto"/>
        </w:rPr>
        <w:t>. Any reimbursement for FTE time expressly contemplated under this Agreement will be billed on an hourly basis, multiplying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number of reimbursable hours worked times the FTE Rate. Any reimbursement of out-of-pocket costs expressly contemplated under this Agreement will be billed at cost, with no mark-up. The Party to be reimbursed will include appropriate documentation for reimbursable costs, in such detail reasonably agreed by the Parties, with any invoice submitted therefor.</w:t>
      </w:r>
    </w:p>
    <w:p>
      <w:pPr>
        <w:spacing w:after="0" w:line="106" w:lineRule="exact"/>
        <w:rPr>
          <w:sz w:val="20"/>
          <w:szCs w:val="20"/>
          <w:color w:val="auto"/>
        </w:rPr>
      </w:pPr>
    </w:p>
    <w:p>
      <w:pPr>
        <w:jc w:val="both"/>
        <w:ind w:left="760" w:right="40" w:hanging="745"/>
        <w:spacing w:after="0" w:line="279" w:lineRule="auto"/>
        <w:tabs>
          <w:tab w:leader="none" w:pos="7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7"/>
          <w:szCs w:val="17"/>
          <w:u w:val="single" w:color="auto"/>
          <w:color w:val="auto"/>
        </w:rPr>
        <w:t>Invoices</w:t>
      </w:r>
      <w:r>
        <w:rPr>
          <w:rFonts w:ascii="Arial" w:cs="Arial" w:eastAsia="Arial" w:hAnsi="Arial"/>
          <w:sz w:val="17"/>
          <w:szCs w:val="17"/>
          <w:color w:val="auto"/>
        </w:rPr>
        <w:t>. Upon delivery of supply of Drug Product and/or Drug Substance in accordance with the terms of this Agreement, Celltrion will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invoice Rani the applicable supply price for Drug Product and/or Drug Substance delivered. For any other amounts that are payable or reimbursable hereunder, the applicable Party will invoice the other Party for the amount of such payment or reimbursement. The invoicing Party will itemize in the invoice, and include with the invoice, copies of appropriate documentation for any</w:t>
      </w:r>
    </w:p>
    <w:p>
      <w:pPr>
        <w:spacing w:after="0" w:line="246" w:lineRule="exact"/>
        <w:rPr>
          <w:sz w:val="20"/>
          <w:szCs w:val="20"/>
          <w:color w:val="auto"/>
        </w:rPr>
      </w:pPr>
    </w:p>
    <w:p>
      <w:pPr>
        <w:ind w:left="60"/>
        <w:spacing w:after="0"/>
        <w:tabs>
          <w:tab w:leader="none" w:pos="105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11</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1" w:name="page172"/>
    <w:bookmarkEnd w:id="171"/>
    <w:p>
      <w:pPr>
        <w:jc w:val="both"/>
        <w:ind w:left="760" w:right="40"/>
        <w:spacing w:after="0" w:line="263" w:lineRule="auto"/>
        <w:rPr>
          <w:sz w:val="20"/>
          <w:szCs w:val="20"/>
          <w:color w:val="auto"/>
        </w:rPr>
      </w:pPr>
      <w:r>
        <w:rPr>
          <w:rFonts w:ascii="Arial" w:cs="Arial" w:eastAsia="Arial" w:hAnsi="Arial"/>
          <w:sz w:val="18"/>
          <w:szCs w:val="18"/>
          <w:color w:val="auto"/>
        </w:rPr>
        <w:t>reimbursable costs incurred. All undisputed invoices will be payable within [*] days of receipt. All invoices will be in U.S. Dollars. Each Party will provide the other Party promptly upon request with any reasonably requested information related to withholding taxes or otherwise reasonably required to process payment.</w:t>
      </w:r>
    </w:p>
    <w:p>
      <w:pPr>
        <w:spacing w:after="0" w:line="68"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made hereunder between the Parties will be made in U.S. Dollars. Each Party will pay all sums due hereunder</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check, wire transfer, or electronic funds transfer (EFT) in immediately available funds. Each Party will promptly notify the other Party of the appropriate account information to facilitate any such payments. All amounts payable under this Agreement will be paid in full (subject to Section 7.8 (Withholding)).</w:t>
      </w:r>
    </w:p>
    <w:p>
      <w:pPr>
        <w:spacing w:after="0" w:line="106"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8"/>
          <w:szCs w:val="18"/>
          <w:u w:val="single" w:color="auto"/>
          <w:color w:val="auto"/>
        </w:rPr>
        <w:t>Currency Conversion</w:t>
      </w:r>
      <w:r>
        <w:rPr>
          <w:rFonts w:ascii="Arial" w:cs="Arial" w:eastAsia="Arial" w:hAnsi="Arial"/>
          <w:sz w:val="18"/>
          <w:szCs w:val="18"/>
          <w:color w:val="auto"/>
        </w:rPr>
        <w:t>. With respect to each calendar quarter, for countries other than the United States, whenever conversion of payments from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any foreign currency is required, such conversion will be made at the average rate of exchange for the currency of the applicable country during the calendar quarter to which such payments relate, as reported in </w:t>
      </w:r>
      <w:r>
        <w:rPr>
          <w:rFonts w:ascii="Arial" w:cs="Arial" w:eastAsia="Arial" w:hAnsi="Arial"/>
          <w:sz w:val="18"/>
          <w:szCs w:val="18"/>
          <w:i w:val="1"/>
          <w:iCs w:val="1"/>
          <w:color w:val="auto"/>
        </w:rPr>
        <w:t>Bloomberg Professional</w:t>
      </w:r>
      <w:r>
        <w:rPr>
          <w:rFonts w:ascii="Arial" w:cs="Arial" w:eastAsia="Arial" w:hAnsi="Arial"/>
          <w:sz w:val="18"/>
          <w:szCs w:val="18"/>
          <w:color w:val="auto"/>
        </w:rPr>
        <w:t xml:space="preserve">, a service of Bloomberg L.P., or in the event </w:t>
      </w:r>
      <w:r>
        <w:rPr>
          <w:rFonts w:ascii="Arial" w:cs="Arial" w:eastAsia="Arial" w:hAnsi="Arial"/>
          <w:sz w:val="18"/>
          <w:szCs w:val="18"/>
          <w:i w:val="1"/>
          <w:iCs w:val="1"/>
          <w:color w:val="auto"/>
        </w:rPr>
        <w:t xml:space="preserve">Bloomberg Professional </w:t>
      </w:r>
      <w:r>
        <w:rPr>
          <w:rFonts w:ascii="Arial" w:cs="Arial" w:eastAsia="Arial" w:hAnsi="Arial"/>
          <w:sz w:val="18"/>
          <w:szCs w:val="18"/>
          <w:color w:val="auto"/>
        </w:rPr>
        <w:t>is not available then</w:t>
      </w:r>
      <w:r>
        <w:rPr>
          <w:rFonts w:ascii="Arial" w:cs="Arial" w:eastAsia="Arial" w:hAnsi="Arial"/>
          <w:sz w:val="18"/>
          <w:szCs w:val="18"/>
          <w:i w:val="1"/>
          <w:iCs w:val="1"/>
          <w:color w:val="auto"/>
        </w:rPr>
        <w:t xml:space="preserve"> The Wall Street Journal</w:t>
      </w:r>
      <w:r>
        <w:rPr>
          <w:rFonts w:ascii="Arial" w:cs="Arial" w:eastAsia="Arial" w:hAnsi="Arial"/>
          <w:sz w:val="18"/>
          <w:szCs w:val="18"/>
          <w:color w:val="auto"/>
        </w:rPr>
        <w:t>.</w:t>
      </w:r>
    </w:p>
    <w:p>
      <w:pPr>
        <w:spacing w:after="0" w:line="106" w:lineRule="exact"/>
        <w:rPr>
          <w:sz w:val="20"/>
          <w:szCs w:val="20"/>
          <w:color w:val="auto"/>
        </w:rPr>
      </w:pPr>
    </w:p>
    <w:p>
      <w:pPr>
        <w:jc w:val="both"/>
        <w:ind w:left="760" w:hanging="748"/>
        <w:spacing w:after="0" w:line="268" w:lineRule="auto"/>
        <w:tabs>
          <w:tab w:leader="none" w:pos="74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7"/>
          <w:szCs w:val="17"/>
          <w:u w:val="single" w:color="auto"/>
          <w:color w:val="auto"/>
        </w:rPr>
        <w:t>Audits</w:t>
      </w:r>
      <w:r>
        <w:rPr>
          <w:rFonts w:ascii="Arial" w:cs="Arial" w:eastAsia="Arial" w:hAnsi="Arial"/>
          <w:sz w:val="17"/>
          <w:szCs w:val="17"/>
          <w:color w:val="auto"/>
        </w:rPr>
        <w:t>. Each Party will keep complete and accurate records pertaining to its activities hereunder for which the other Party is obligated to pay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reimburse such Party, in sufficient detail to permit the paying Party to reasonably confirm the accuracy of all payments due hereunder and such records will be open (in such form as may be available or reasonably requested by a certified public accountant in accordance with this Section 7.6 (Audits)) to inspection for [*] following the end of the period to which they pertain. Each Party will have the right, at its own expense, to have an independent, certified public accountant, selected by it review such records of the other Party upon reasonable notice and during regular business hours and under reasonable obligations of confidentiality. The report of such accountant will be made available to both Parties simultaneously, promptly upon its completion;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Party being audited will have the right to review and comment on the final draft version of the report prior to it being finalized. Each Party’s audit rights with respect to any calendar year shall expire [*] after the end of such year and the books and records for any particular calendar year will only be subject to [*] audit. If the inspection leads to the discovery of a discrepancy to the auditing Party’s detriment, then the other Party will pay to the auditing Party the amount of the discrepancy. If the inspection leads to the discovery of a discrepancy to the detriment of the Party being audited, then the auditing Party will pay to the Party being audited the amount of the discrepancy. The auditing Party will pay the full cost of the inspection unless the discrepancy is to the detriment of the auditing Party and is greater than [*] of the amount actually paid for the audited period, in which case the Party being audited will pay the cost of such inspection.</w:t>
      </w:r>
    </w:p>
    <w:p>
      <w:pPr>
        <w:spacing w:after="0" w:line="103"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 All Taxes levied on account of a payment made by one Party to the other Party pursuant to this Agreement may be subject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withholding and remittance provisions of Section 7.8 (Withholding).</w:t>
      </w:r>
    </w:p>
    <w:p>
      <w:pPr>
        <w:spacing w:after="0" w:line="89"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7"/>
          <w:szCs w:val="17"/>
          <w:u w:val="single" w:color="auto"/>
          <w:color w:val="auto"/>
        </w:rPr>
        <w:t>Withholding</w:t>
      </w:r>
      <w:r>
        <w:rPr>
          <w:rFonts w:ascii="Arial" w:cs="Arial" w:eastAsia="Arial" w:hAnsi="Arial"/>
          <w:sz w:val="17"/>
          <w:szCs w:val="17"/>
          <w:color w:val="auto"/>
        </w:rPr>
        <w:t>. In the event that Law requires one Party to pay or withhold Taxes with respect to any payment to be made by the Party pursuant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this Agreement, the Party will notify the other Party in writing of such payment or withholding requirements prior to making the payment to the other Party and provide such assistance to the other Party, including the provision of such documentation as may be required by a tax authority, as may be reasonably necessary in the other Party’s efforts to claim an exemption from or reduction of such Taxes. The paying Party will, in accordance with Law, withhold Taxes from the amount due, remit such Taxes to the appropriate tax authority, and furnish the other Party with proof of payment of such Taxes promptly following obtaining the relevant payment certificate. If Taxes are paid to a tax authority, the paying Party will provide such assistance to the other Party as is reasonably required to obtain a refund of Taxes withheld, or obtain a credit with respect to Taxes paid.</w:t>
      </w:r>
    </w:p>
    <w:p>
      <w:pPr>
        <w:spacing w:after="0" w:line="97"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8"/>
          <w:szCs w:val="18"/>
          <w:u w:val="single" w:color="auto"/>
          <w:color w:val="auto"/>
        </w:rPr>
        <w:t>Late Payment</w:t>
      </w:r>
      <w:r>
        <w:rPr>
          <w:rFonts w:ascii="Arial" w:cs="Arial" w:eastAsia="Arial" w:hAnsi="Arial"/>
          <w:sz w:val="18"/>
          <w:szCs w:val="18"/>
          <w:color w:val="auto"/>
        </w:rPr>
        <w:t>. Any payments or portions thereof due hereunder which are not paid when due will bear interest at the Contract Interest Rate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calculated on the number of days such payment is delinquent. This Section 7.9 (Late Payment) will in no way limit any other remedies available to either Party.</w:t>
      </w:r>
    </w:p>
    <w:p>
      <w:pPr>
        <w:spacing w:after="0" w:line="103" w:lineRule="exact"/>
        <w:rPr>
          <w:sz w:val="20"/>
          <w:szCs w:val="20"/>
          <w:color w:val="auto"/>
        </w:rPr>
      </w:pPr>
    </w:p>
    <w:p>
      <w:pPr>
        <w:ind w:left="760" w:right="60" w:hanging="745"/>
        <w:spacing w:after="0" w:line="277" w:lineRule="auto"/>
        <w:tabs>
          <w:tab w:leader="none" w:pos="74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8"/>
          <w:szCs w:val="18"/>
          <w:u w:val="single" w:color="auto"/>
          <w:color w:val="auto"/>
        </w:rPr>
        <w:t>Appropriate Compensation</w:t>
      </w:r>
      <w:r>
        <w:rPr>
          <w:rFonts w:ascii="Arial" w:cs="Arial" w:eastAsia="Arial" w:hAnsi="Arial"/>
          <w:sz w:val="18"/>
          <w:szCs w:val="18"/>
          <w:i w:val="1"/>
          <w:i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addition to the ROFN and other non-financial consideration granted by Rani to Celltrion under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Parties agree that the payments for supply of Drug Product and/or</w:t>
      </w:r>
    </w:p>
    <w:p>
      <w:pPr>
        <w:spacing w:after="0" w:line="245"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12</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2" w:name="page173"/>
    <w:bookmarkEnd w:id="172"/>
    <w:p>
      <w:pPr>
        <w:ind w:left="760" w:right="40"/>
        <w:spacing w:after="0" w:line="277" w:lineRule="auto"/>
        <w:rPr>
          <w:sz w:val="20"/>
          <w:szCs w:val="20"/>
          <w:color w:val="auto"/>
        </w:rPr>
      </w:pPr>
      <w:r>
        <w:rPr>
          <w:rFonts w:ascii="Arial" w:cs="Arial" w:eastAsia="Arial" w:hAnsi="Arial"/>
          <w:sz w:val="18"/>
          <w:szCs w:val="18"/>
          <w:color w:val="auto"/>
        </w:rPr>
        <w:t>Drug Substance represent the mechanism and overall monetary value agreed by the Parties for compensating Celltrion for the rights and license granted hereunder and the supply of Drug Product and/or Drug Substance.</w:t>
      </w:r>
    </w:p>
    <w:p>
      <w:pPr>
        <w:spacing w:after="0" w:line="55" w:lineRule="exact"/>
        <w:rPr>
          <w:sz w:val="20"/>
          <w:szCs w:val="20"/>
          <w:color w:val="auto"/>
        </w:rPr>
      </w:pPr>
    </w:p>
    <w:p>
      <w:pPr>
        <w:jc w:val="both"/>
        <w:ind w:left="760" w:right="40" w:hanging="745"/>
        <w:spacing w:after="0" w:line="259" w:lineRule="auto"/>
        <w:tabs>
          <w:tab w:leader="none" w:pos="74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8"/>
          <w:szCs w:val="18"/>
          <w:u w:val="single" w:color="auto"/>
          <w:color w:val="auto"/>
        </w:rPr>
        <w:t>Sublicense Payments</w:t>
      </w:r>
      <w:r>
        <w:rPr>
          <w:rFonts w:ascii="Arial" w:cs="Arial" w:eastAsia="Arial" w:hAnsi="Arial"/>
          <w:sz w:val="18"/>
          <w:szCs w:val="18"/>
          <w:color w:val="auto"/>
        </w:rPr>
        <w:t>. Celltrion will be responsible for any Third-Party license payments, milestones and royalties owed with respect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manufacture, use, supply, or sale of Drug Product and/or Drug Substance under this Agreement in connection with Product, with respect to intellectual property that: (a) is licensed by Celltrion prior to or as of the Effective Date or (b) is licensed or acquired by Celltrion after the Effective Date without Rani’s prior written agreement.</w:t>
      </w:r>
    </w:p>
    <w:p>
      <w:pPr>
        <w:spacing w:after="0" w:line="106"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8"/>
          <w:szCs w:val="18"/>
          <w:u w:val="single" w:color="auto"/>
          <w:color w:val="auto"/>
        </w:rPr>
        <w:t>No Additions or Deductions</w:t>
      </w:r>
      <w:r>
        <w:rPr>
          <w:rFonts w:ascii="Arial" w:cs="Arial" w:eastAsia="Arial" w:hAnsi="Arial"/>
          <w:sz w:val="18"/>
          <w:szCs w:val="18"/>
          <w:color w:val="auto"/>
        </w:rPr>
        <w:t>. Except as expressly set forth in this Agreement, neither Party will have the right to add any additional charges to,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make any deductions from, amounts otherwise payable pursuant to this Agreement on account of any royalty or other amount payable by such Party to any Third Party.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8.</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roperty</w:t>
      </w:r>
    </w:p>
    <w:p>
      <w:pPr>
        <w:spacing w:after="0" w:line="17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6"/>
          <w:szCs w:val="16"/>
          <w:u w:val="single" w:color="auto"/>
          <w:color w:val="auto"/>
        </w:rPr>
        <w:t>Program Inventions</w:t>
      </w:r>
      <w:r>
        <w:rPr>
          <w:rFonts w:ascii="Arial" w:cs="Arial" w:eastAsia="Arial" w:hAnsi="Arial"/>
          <w:sz w:val="16"/>
          <w:szCs w:val="16"/>
          <w:color w:val="auto"/>
        </w:rPr>
        <w:t>.</w:t>
      </w:r>
    </w:p>
    <w:p>
      <w:pPr>
        <w:spacing w:after="0" w:line="98" w:lineRule="exact"/>
        <w:rPr>
          <w:sz w:val="20"/>
          <w:szCs w:val="20"/>
          <w:color w:val="auto"/>
        </w:rPr>
      </w:pPr>
    </w:p>
    <w:p>
      <w:pPr>
        <w:jc w:val="both"/>
        <w:ind w:left="1500" w:hanging="748"/>
        <w:spacing w:after="0" w:line="257" w:lineRule="auto"/>
        <w:tabs>
          <w:tab w:leader="none" w:pos="14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8"/>
          <w:szCs w:val="18"/>
          <w:i w:val="1"/>
          <w:iCs w:val="1"/>
          <w:color w:val="auto"/>
        </w:rPr>
        <w:t>Ownership</w:t>
      </w:r>
      <w:r>
        <w:rPr>
          <w:rFonts w:ascii="Arial" w:cs="Arial" w:eastAsia="Arial" w:hAnsi="Arial"/>
          <w:sz w:val="18"/>
          <w:szCs w:val="18"/>
          <w:color w:val="auto"/>
        </w:rPr>
        <w:t>. Celltrion will own Program Inventions solely related and limited to the Drug (but no other composition or subject matter</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ustekinumab or biosimilars thereto or other IL-12/IL-23 molecules, other than Drug), including without limitation the composition, formulation (except as noted below), manufacture or use of Drug. Rani will own all other Program Inventions, including Program Inventions that relate to the formulation of molecules for use in Rani Oral Delivery Technology, including without limitation microtablet formulations of Drug, and oral dosing regimens.</w:t>
      </w:r>
    </w:p>
    <w:p>
      <w:pPr>
        <w:spacing w:after="0" w:line="107" w:lineRule="exact"/>
        <w:rPr>
          <w:sz w:val="20"/>
          <w:szCs w:val="20"/>
          <w:color w:val="auto"/>
        </w:rPr>
      </w:pPr>
    </w:p>
    <w:p>
      <w:pPr>
        <w:jc w:val="both"/>
        <w:ind w:left="1500" w:hanging="748"/>
        <w:spacing w:after="0" w:line="277" w:lineRule="auto"/>
        <w:tabs>
          <w:tab w:leader="none" w:pos="14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8"/>
          <w:szCs w:val="18"/>
          <w:i w:val="1"/>
          <w:iCs w:val="1"/>
          <w:color w:val="auto"/>
        </w:rPr>
        <w:t>License</w:t>
      </w:r>
      <w:r>
        <w:rPr>
          <w:rFonts w:ascii="Arial" w:cs="Arial" w:eastAsia="Arial" w:hAnsi="Arial"/>
          <w:sz w:val="18"/>
          <w:szCs w:val="18"/>
          <w:color w:val="auto"/>
        </w:rPr>
        <w:t>. Rani grants to Celltrion a perpetual, exclusive, royalty-free, worldwide right and license, with the right to sublicense, under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Inventions solely to [*]</w:t>
      </w:r>
    </w:p>
    <w:p>
      <w:pPr>
        <w:spacing w:after="0" w:line="89"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8"/>
          <w:szCs w:val="18"/>
          <w:u w:val="single" w:color="auto"/>
          <w:color w:val="auto"/>
        </w:rPr>
        <w:t>Cooperation</w:t>
      </w:r>
      <w:r>
        <w:rPr>
          <w:rFonts w:ascii="Arial" w:cs="Arial" w:eastAsia="Arial" w:hAnsi="Arial"/>
          <w:sz w:val="18"/>
          <w:szCs w:val="18"/>
          <w:color w:val="auto"/>
        </w:rPr>
        <w:t>. Each Party will promptly notify the other upon becoming aware (a) of any suspected or threatened material infringement of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IP, or (b) of any claim that Rani’s, or its Affiliates’ or sublicensees’, exercise of the rights granted under the Licensed IP hereunder infringes any rights or Patents of a Third Party.</w:t>
      </w:r>
    </w:p>
    <w:p>
      <w:pPr>
        <w:spacing w:after="0" w:line="103"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8"/>
          <w:szCs w:val="18"/>
          <w:u w:val="single" w:color="auto"/>
          <w:color w:val="auto"/>
        </w:rPr>
        <w:t>Patent and IP Handling</w:t>
      </w:r>
      <w:r>
        <w:rPr>
          <w:rFonts w:ascii="Arial" w:cs="Arial" w:eastAsia="Arial" w:hAnsi="Arial"/>
          <w:sz w:val="18"/>
          <w:szCs w:val="18"/>
          <w:color w:val="auto"/>
        </w:rPr>
        <w:t>. Each Party, at its sole cost, will have the sole right, but not the obligation, to (a) handle preparation, filing, prosecution,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maintenance and defense (including responses to patent office communications, any office actions, oppositions, interferences and challenges (whether before a patent authority or judicial body) of its Patent rights and other intellectual property rights, (b) enforce its patent rights and other intellectual property rights against any actual, alleged or threatened infringement or misappropriation by Third Parties (including without limitation the handling of oppositions, and (c) settle any such matters in its sole discretion, subject to its obligations, and the licenses and rights granted, under this Agreement.</w:t>
      </w:r>
    </w:p>
    <w:p>
      <w:pPr>
        <w:spacing w:after="0" w:line="111"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8"/>
          <w:szCs w:val="18"/>
          <w:u w:val="single" w:color="auto"/>
          <w:color w:val="auto"/>
        </w:rPr>
        <w:t>Defense and Settlement of Third-Party Claims</w:t>
      </w:r>
      <w:r>
        <w:rPr>
          <w:rFonts w:ascii="Arial" w:cs="Arial" w:eastAsia="Arial" w:hAnsi="Arial"/>
          <w:sz w:val="18"/>
          <w:szCs w:val="18"/>
          <w:color w:val="auto"/>
        </w:rPr>
        <w:t>. If a Third Party asserts against a Party (or its Affiliates) that a Patent right or other right owned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Third Party is infringed by the manufacture, use, sale, offer for sale, importation or exploitation of Product in the course of a Party or its Affiliate performing its rights and obligations under this Agreement, such Party will promptly notify the other Party and will have the sole right to defend itself against such claims. Upon request of the named Party, the other Party will reasonably cooperate with the named Party with respect to the defense of such claims, and the named Party will reimburse the other Party any reasonable, documented, out-of-pocket costs incurred in connection therewith.</w:t>
      </w:r>
    </w:p>
    <w:p>
      <w:pPr>
        <w:spacing w:after="0" w:line="111" w:lineRule="exact"/>
        <w:rPr>
          <w:sz w:val="20"/>
          <w:szCs w:val="20"/>
          <w:color w:val="auto"/>
        </w:rPr>
      </w:pPr>
    </w:p>
    <w:p>
      <w:pPr>
        <w:jc w:val="both"/>
        <w:ind w:left="760" w:hanging="748"/>
        <w:spacing w:after="0" w:line="308" w:lineRule="auto"/>
        <w:tabs>
          <w:tab w:leader="none" w:pos="7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7"/>
          <w:szCs w:val="17"/>
          <w:u w:val="single" w:color="auto"/>
          <w:color w:val="auto"/>
        </w:rPr>
        <w:t>Program Data</w:t>
      </w:r>
      <w:r>
        <w:rPr>
          <w:rFonts w:ascii="Arial" w:cs="Arial" w:eastAsia="Arial" w:hAnsi="Arial"/>
          <w:sz w:val="17"/>
          <w:szCs w:val="17"/>
          <w:color w:val="auto"/>
        </w:rPr>
        <w:t>. Rani will own all data and know-how generated in the performance of the Agreement (“</w:t>
      </w:r>
      <w:r>
        <w:rPr>
          <w:rFonts w:ascii="Arial" w:cs="Arial" w:eastAsia="Arial" w:hAnsi="Arial"/>
          <w:sz w:val="17"/>
          <w:szCs w:val="17"/>
          <w:i w:val="1"/>
          <w:iCs w:val="1"/>
          <w:color w:val="auto"/>
        </w:rPr>
        <w:t>Program Data</w:t>
      </w:r>
      <w:r>
        <w:rPr>
          <w:rFonts w:ascii="Arial" w:cs="Arial" w:eastAsia="Arial" w:hAnsi="Arial"/>
          <w:sz w:val="17"/>
          <w:szCs w:val="17"/>
          <w:color w:val="auto"/>
        </w:rPr>
        <w:t>”). Rani will provide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Celltrion, and grants to Celltrion a right to use, Program Data applicable to Drug as set forth in Section 4.4 (Safety Matters).</w:t>
      </w:r>
    </w:p>
    <w:p>
      <w:pPr>
        <w:spacing w:after="0" w:line="221"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13</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3" w:name="page174"/>
    <w:bookmarkEnd w:id="173"/>
    <w:p>
      <w:pPr>
        <w:spacing w:after="0"/>
        <w:tabs>
          <w:tab w:leader="none" w:pos="740" w:val="left"/>
        </w:tabs>
        <w:rPr>
          <w:sz w:val="20"/>
          <w:szCs w:val="20"/>
          <w:color w:val="auto"/>
        </w:rPr>
      </w:pPr>
      <w:r>
        <w:rPr>
          <w:rFonts w:ascii="Arial" w:cs="Arial" w:eastAsia="Arial" w:hAnsi="Arial"/>
          <w:sz w:val="25"/>
          <w:szCs w:val="25"/>
          <w:b w:val="1"/>
          <w:bCs w:val="1"/>
          <w:color w:val="auto"/>
        </w:rPr>
        <w:t>9.</w:t>
      </w:r>
      <w:r>
        <w:rPr>
          <w:sz w:val="20"/>
          <w:szCs w:val="20"/>
          <w:color w:val="auto"/>
        </w:rPr>
        <w:tab/>
      </w:r>
      <w:r>
        <w:rPr>
          <w:rFonts w:ascii="Arial" w:cs="Arial" w:eastAsia="Arial" w:hAnsi="Arial"/>
          <w:sz w:val="18"/>
          <w:szCs w:val="18"/>
          <w:b w:val="1"/>
          <w:bCs w:val="1"/>
          <w:color w:val="auto"/>
        </w:rPr>
        <w:t>C</w:t>
      </w:r>
      <w:r>
        <w:rPr>
          <w:rFonts w:ascii="Arial" w:cs="Arial" w:eastAsia="Arial" w:hAnsi="Arial"/>
          <w:sz w:val="12"/>
          <w:szCs w:val="12"/>
          <w:b w:val="1"/>
          <w:bCs w:val="1"/>
          <w:color w:val="auto"/>
        </w:rPr>
        <w:t>onfidentiality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ublications</w:t>
      </w:r>
    </w:p>
    <w:p>
      <w:pPr>
        <w:spacing w:after="0" w:line="172"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7"/>
          <w:szCs w:val="17"/>
          <w:u w:val="single" w:color="auto"/>
          <w:color w:val="auto"/>
        </w:rPr>
        <w:t>Confidentiality; Exceptions</w:t>
      </w:r>
      <w:r>
        <w:rPr>
          <w:rFonts w:ascii="Arial" w:cs="Arial" w:eastAsia="Arial" w:hAnsi="Arial"/>
          <w:sz w:val="17"/>
          <w:szCs w:val="17"/>
          <w:color w:val="auto"/>
        </w:rPr>
        <w:t>. Except to the extent expressly authorized by this Agreement or otherwise agreed in writing, the Parties agree that,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during the Term and for [*] years thereafter, the receiving Party will keep confidential and will not publish or otherwise disclose or use for any purpose other than as provided for in this Agreement any confidential and proprietary information and materials furnished to it by the other Party pursuant to this Agreement (collectively,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For clarity, Confidential Information of a Party will include all information and materials disclosed by such Party or its designee that (a) is marked as “Confidential,” “Proprietary” or with similar designation at the time of disclosure or (b) by its nature can reasonably be expected to be considered Confidential Information. Information disclosed orally shall not be required to be identified as Confidential Information to be considered Confidential Information. Notwithstanding the foregoing, Confidential Information will not include any information to the extent that it can be established by written documentation by the receiving Party that such information:</w:t>
      </w:r>
    </w:p>
    <w:p>
      <w:pPr>
        <w:spacing w:after="0" w:line="100" w:lineRule="exact"/>
        <w:rPr>
          <w:sz w:val="20"/>
          <w:szCs w:val="20"/>
          <w:color w:val="auto"/>
        </w:rPr>
      </w:pPr>
    </w:p>
    <w:p>
      <w:pPr>
        <w:jc w:val="both"/>
        <w:ind w:left="1500" w:hanging="748"/>
        <w:spacing w:after="0" w:line="263" w:lineRule="auto"/>
        <w:tabs>
          <w:tab w:leader="none" w:pos="14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8"/>
          <w:szCs w:val="18"/>
          <w:color w:val="auto"/>
        </w:rPr>
        <w:t>was already known to the receiving Party, other than under an obligation of confidentiality (except to the extent such obligation has expired or an exception is applicable under the relevant agreement pursuant to which such obligation was established), at the time of disclosure;</w:t>
      </w:r>
    </w:p>
    <w:p>
      <w:pPr>
        <w:spacing w:after="0" w:line="103"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6"/>
          <w:szCs w:val="16"/>
          <w:color w:val="auto"/>
        </w:rPr>
        <w:t>was generally available to the public or otherwise part of the public domain at the time of its disclosure to the receiving Party;</w:t>
      </w:r>
    </w:p>
    <w:p>
      <w:pPr>
        <w:spacing w:after="0" w:line="98" w:lineRule="exact"/>
        <w:rPr>
          <w:sz w:val="20"/>
          <w:szCs w:val="20"/>
          <w:color w:val="auto"/>
        </w:rPr>
      </w:pPr>
    </w:p>
    <w:p>
      <w:pPr>
        <w:jc w:val="both"/>
        <w:ind w:left="1500" w:hanging="748"/>
        <w:spacing w:after="0" w:line="277" w:lineRule="auto"/>
        <w:tabs>
          <w:tab w:leader="none" w:pos="14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89" w:lineRule="exact"/>
        <w:rPr>
          <w:sz w:val="20"/>
          <w:szCs w:val="20"/>
          <w:color w:val="auto"/>
        </w:rPr>
      </w:pPr>
    </w:p>
    <w:p>
      <w:pPr>
        <w:jc w:val="both"/>
        <w:ind w:left="1500" w:hanging="748"/>
        <w:spacing w:after="0" w:line="277" w:lineRule="auto"/>
        <w:tabs>
          <w:tab w:leader="none" w:pos="148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18"/>
          <w:szCs w:val="18"/>
          <w:color w:val="auto"/>
        </w:rPr>
        <w:t>was independently developed by the receiving Party (without reference to or use of Confidential Information of the other Party) as demonstrated by documented evidence prepared contemporaneously with such independent development; or</w:t>
      </w:r>
    </w:p>
    <w:p>
      <w:pPr>
        <w:spacing w:after="0" w:line="89" w:lineRule="exact"/>
        <w:rPr>
          <w:sz w:val="20"/>
          <w:szCs w:val="20"/>
          <w:color w:val="auto"/>
        </w:rPr>
      </w:pPr>
    </w:p>
    <w:p>
      <w:pPr>
        <w:jc w:val="both"/>
        <w:ind w:left="1500" w:hanging="748"/>
        <w:spacing w:after="0" w:line="263" w:lineRule="auto"/>
        <w:tabs>
          <w:tab w:leader="none" w:pos="148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18"/>
          <w:szCs w:val="18"/>
          <w:color w:val="auto"/>
        </w:rPr>
        <w:t>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to the disclosing Party not to disclose such information to others.</w:t>
      </w:r>
    </w:p>
    <w:p>
      <w:pPr>
        <w:spacing w:after="0" w:line="103" w:lineRule="exact"/>
        <w:rPr>
          <w:sz w:val="20"/>
          <w:szCs w:val="20"/>
          <w:color w:val="auto"/>
        </w:rPr>
      </w:pPr>
    </w:p>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6"/>
          <w:szCs w:val="16"/>
          <w:u w:val="single" w:color="auto"/>
          <w:color w:val="auto"/>
        </w:rPr>
        <w:t>Authorized Disclosure</w:t>
      </w:r>
      <w:r>
        <w:rPr>
          <w:rFonts w:ascii="Arial" w:cs="Arial" w:eastAsia="Arial" w:hAnsi="Arial"/>
          <w:sz w:val="16"/>
          <w:szCs w:val="16"/>
          <w:color w:val="auto"/>
        </w:rPr>
        <w:t>. Except as expressly provided otherwise in this Agreement, each Party may use and disclose Confidential Information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the other Party solely as follows: (a) under appropriate confidentiality provisions substantially equivalent to those in this Agreement: (i) in connection with the performance of its obligations or as reasonably necessary or useful in the exercise of its rights under this Agreement, including without limitation the right to sublicense, and (ii) to the extent such disclosure is reasonably necessary or useful in conducting development, manufacturing, regulatory activities or commercialization under this Agreement; (b) to the extent such disclosure is to a Governmental Authority as reasonably necessary in filing or prosecuting patent, copyright and trademark applications in accordance with such Party’s rights under this Agreement, prosecuting or defending litigation in accordance with this Agreement, complying with applicable governmental regulations with respect to performance under this Agreement, filing Regulatory Filings, obtaining Regulatory Approval or fulfilling post-approval regulatory obligations for the Product, or otherwise required by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Party is required by Law or the rules of any securities exchange or automated quotation system to make any such disclosure of the other Party’s Confidential Information it will, except where impracticable for necessary disclosures (for example, in the event of medical emergency), give reasonable advance notice to the other Party of such disclosure requirement and, in the case of each of the foregoing, will use its reasonable efforts to secure confidential treatment of such Confidential Information required to be disclosed; (c) to advisors (including lawyers and accountants), potential investors, lenders and acquirors, on a need to know basis, in each case under appropriate confidentiality provisions or professional standards of confidentiality substantially equivalent to those of this Agreement; or (d) to the extent mutually agreed to by the Parties.</w:t>
      </w:r>
    </w:p>
    <w:p>
      <w:pPr>
        <w:spacing w:after="0" w:line="242"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14</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4" w:name="page175"/>
    <w:bookmarkEnd w:id="174"/>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6"/>
          <w:szCs w:val="16"/>
          <w:u w:val="single" w:color="auto"/>
          <w:color w:val="auto"/>
        </w:rPr>
        <w:t>Terms and Conditions Confidential</w:t>
      </w:r>
      <w:r>
        <w:rPr>
          <w:rFonts w:ascii="Arial" w:cs="Arial" w:eastAsia="Arial" w:hAnsi="Arial"/>
          <w:sz w:val="16"/>
          <w:szCs w:val="16"/>
          <w:color w:val="auto"/>
        </w:rPr>
        <w:t>. Neither Party will disclose the terms and conditions of this Agreement except as may be required by Law.</w:t>
      </w:r>
      <w:r>
        <w:rPr>
          <w:rFonts w:ascii="Arial" w:cs="Arial" w:eastAsia="Arial" w:hAnsi="Arial"/>
          <w:sz w:val="16"/>
          <w:szCs w:val="16"/>
          <w:u w:val="single" w:color="auto"/>
          <w:color w:val="auto"/>
        </w:rPr>
        <w:t xml:space="preserve"> </w:t>
      </w:r>
      <w:r>
        <w:rPr>
          <w:rFonts w:ascii="Arial" w:cs="Arial" w:eastAsia="Arial" w:hAnsi="Arial"/>
          <w:sz w:val="16"/>
          <w:szCs w:val="16"/>
          <w:color w:val="auto"/>
        </w:rPr>
        <w:t>Notwithstanding the foregoing, if a Party is required by Law or the rules of any securities exchange or automated quotation system to make any such disclosure of this Agreement, it will, except where impracticable for necessary disclosures, give reasonable advance notice to the other Party of such disclosure requirement and the Parties will consult with one another concerning which terms of this Agreement will be requested to be redacted in any public disclosure of the Agreement, and in any event each Party will seek reasonable confidential treatment for any public disclosure by any such Governmental Authority. Each Party will have the right to disclose this Agreement to potenial acquirors, investors or lenders of such Party, as a part of their due diligence investigations, provided that such potential acquirors, investors or lenders have agreed in writing to keep the terms of this Agreement confidential and to use such confidential information solely for the purpose permitted pursuant to this Section 9.3 (Terms and Conditions Confidential). Each Party will have the right to issue press releases in regards to this Agreement with the prior written agreement of the other Party or as required to comply with any Law or by the rules of any stock exchange or automated quotation system (in the case of such required disclosure, by providing reasonable advance notice to the other Party and reasonably considering comments provided by such other Party). Notwithstanding the foregoing, the Parties will agree upon an initial press release to announce the execution of this Agreement in the form attached hereto as Appendix A: Press Release Schedule; thereafter, each Party may each disclose to Third Parties the information contained in such press release without the need for further approval by the other Party.</w:t>
      </w:r>
    </w:p>
    <w:p>
      <w:pPr>
        <w:spacing w:after="0" w:line="90"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8"/>
          <w:szCs w:val="18"/>
          <w:u w:val="single" w:color="auto"/>
          <w:color w:val="auto"/>
        </w:rPr>
        <w:t>Prior Agreement</w:t>
      </w:r>
      <w:r>
        <w:rPr>
          <w:rFonts w:ascii="Arial" w:cs="Arial" w:eastAsia="Arial" w:hAnsi="Arial"/>
          <w:sz w:val="18"/>
          <w:szCs w:val="18"/>
          <w:color w:val="auto"/>
        </w:rPr>
        <w:t>. This Agreement supersedes the Confidential Disclosure Agreement between the Parties dated [*] (the</w:t>
      </w:r>
      <w:r>
        <w:rPr>
          <w:rFonts w:ascii="Arial" w:cs="Arial" w:eastAsia="Arial" w:hAnsi="Arial"/>
          <w:sz w:val="18"/>
          <w:szCs w:val="18"/>
          <w:u w:val="single" w:color="auto"/>
          <w:color w:val="auto"/>
        </w:rPr>
        <w:t xml:space="preserve"> </w:t>
      </w:r>
      <w:r>
        <w:rPr>
          <w:rFonts w:ascii="Arial" w:cs="Arial" w:eastAsia="Arial" w:hAnsi="Arial"/>
          <w:sz w:val="18"/>
          <w:szCs w:val="18"/>
          <w:i w:val="1"/>
          <w:iCs w:val="1"/>
          <w:color w:val="auto"/>
        </w:rPr>
        <w:t>“Prior Agreement”</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respect to information disclosed thereunder relating to Product or a potential business transaction related thereto. All such confidential information exchanged between the Parties under the Prior Agreement will be deemed Confidential Information of the disclosing Party and will be subject to the terms of this Agreement.</w:t>
      </w:r>
    </w:p>
    <w:p>
      <w:pPr>
        <w:spacing w:after="0" w:line="106"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8"/>
          <w:szCs w:val="18"/>
          <w:u w:val="single" w:color="auto"/>
          <w:color w:val="auto"/>
        </w:rPr>
        <w:t>Data; Publications and Presentations</w:t>
      </w:r>
      <w:r>
        <w:rPr>
          <w:rFonts w:ascii="Arial" w:cs="Arial" w:eastAsia="Arial" w:hAnsi="Arial"/>
          <w:sz w:val="18"/>
          <w:szCs w:val="18"/>
          <w:color w:val="auto"/>
        </w:rPr>
        <w:t>. Rani will own all data related to the research, development, manufacture, regulatory activities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commercialization of Product conducted by Rani hereunder (“</w:t>
      </w:r>
      <w:r>
        <w:rPr>
          <w:rFonts w:ascii="Arial" w:cs="Arial" w:eastAsia="Arial" w:hAnsi="Arial"/>
          <w:sz w:val="18"/>
          <w:szCs w:val="18"/>
          <w:i w:val="1"/>
          <w:iCs w:val="1"/>
          <w:color w:val="auto"/>
        </w:rPr>
        <w:t>Rani Data</w:t>
      </w:r>
      <w:r>
        <w:rPr>
          <w:rFonts w:ascii="Arial" w:cs="Arial" w:eastAsia="Arial" w:hAnsi="Arial"/>
          <w:sz w:val="18"/>
          <w:szCs w:val="18"/>
          <w:color w:val="auto"/>
        </w:rPr>
        <w:t>”). Rani will have the right to publish and present publicly (e.g., at meetings of healthcare professionals, conferences, symposia) Rani Data, provided however, that Rani will not disclose any Confidential Information of Celltrion, including Celltrion Confidential Information related to Drug, without Celltrion’s prior written approval, which it shall not unreasonably withhold. If Celltrion reasonably requests to publish and present publicly (e.g., at meetings of healthcare professionals, conferences, symposia) Rani Data, Rani will consider such request in good faith (it being understood that Rani will have priority in publishing data related to Product, and that it is reasonable for Rani to withhold consent in order to preserve an opportunity to seek protection for intellectual property, to protect business-sensitive information, or to preserve Rani’s publication strategy). Rani will have a right to review in advance and prior to granting its consent, any publication of Rani Data proposed by Celltrion, and may require removal of Rani Confidential Information from any such publication.</w:t>
      </w:r>
    </w:p>
    <w:p>
      <w:pPr>
        <w:spacing w:after="0" w:line="113"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7"/>
          <w:szCs w:val="17"/>
          <w:u w:val="single" w:color="auto"/>
          <w:color w:val="auto"/>
        </w:rPr>
        <w:t>Attorney-Client Privilege</w:t>
      </w:r>
      <w:r>
        <w:rPr>
          <w:rFonts w:ascii="Arial" w:cs="Arial" w:eastAsia="Arial" w:hAnsi="Arial"/>
          <w:sz w:val="17"/>
          <w:szCs w:val="17"/>
          <w:color w:val="auto"/>
        </w:rPr>
        <w:t>. Neither Party is waiving, nor shall be deemed to have waived or diminished, any of its attorney work product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protections, attorney-client privileges or similar protections and privileges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w:t>
      </w:r>
    </w:p>
    <w:p>
      <w:pPr>
        <w:spacing w:after="0" w:line="143"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10.</w:t>
      </w:r>
      <w:r>
        <w:rPr>
          <w:sz w:val="20"/>
          <w:szCs w:val="20"/>
          <w:color w:val="auto"/>
        </w:rPr>
        <w:tab/>
      </w: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epresentations</w:t>
      </w:r>
      <w:r>
        <w:rPr>
          <w:rFonts w:ascii="Arial" w:cs="Arial" w:eastAsia="Arial" w:hAnsi="Arial"/>
          <w:sz w:val="18"/>
          <w:szCs w:val="18"/>
          <w:b w:val="1"/>
          <w:bCs w:val="1"/>
          <w:color w:val="auto"/>
        </w:rPr>
        <w:t>, W</w:t>
      </w:r>
      <w:r>
        <w:rPr>
          <w:rFonts w:ascii="Arial" w:cs="Arial" w:eastAsia="Arial" w:hAnsi="Arial"/>
          <w:sz w:val="12"/>
          <w:szCs w:val="12"/>
          <w:b w:val="1"/>
          <w:bCs w:val="1"/>
          <w:color w:val="auto"/>
        </w:rPr>
        <w:t>arranties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p>
    <w:p>
      <w:pPr>
        <w:spacing w:after="0" w:line="17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Each of the Parties hereby represents and warrants as of the Effective Date as follows:</w:t>
      </w:r>
    </w:p>
    <w:p>
      <w:pPr>
        <w:spacing w:after="0" w:line="98" w:lineRule="exact"/>
        <w:rPr>
          <w:sz w:val="20"/>
          <w:szCs w:val="20"/>
          <w:color w:val="auto"/>
        </w:rPr>
      </w:pPr>
    </w:p>
    <w:p>
      <w:pPr>
        <w:ind w:left="1500" w:right="20" w:hanging="748"/>
        <w:spacing w:after="0" w:line="227"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17"/>
          <w:szCs w:val="17"/>
          <w:color w:val="auto"/>
        </w:rPr>
        <w:t>It is duly organized and validly existing under the Laws of its jurisdiction of organization and it has full corporate power and authority</w:t>
      </w:r>
      <w:r>
        <w:rPr>
          <w:rFonts w:ascii="Arial" w:cs="Arial" w:eastAsia="Arial" w:hAnsi="Arial"/>
          <w:sz w:val="22"/>
          <w:szCs w:val="22"/>
          <w:color w:val="auto"/>
        </w:rPr>
        <w:t xml:space="preserve"> </w:t>
      </w:r>
      <w:r>
        <w:rPr>
          <w:rFonts w:ascii="Arial" w:cs="Arial" w:eastAsia="Arial" w:hAnsi="Arial"/>
          <w:sz w:val="17"/>
          <w:szCs w:val="17"/>
          <w:color w:val="auto"/>
        </w:rPr>
        <w:t>and has taken all corporate action necessary to enter into and perform this Agreement;</w:t>
      </w:r>
    </w:p>
    <w:p>
      <w:pPr>
        <w:spacing w:after="0" w:line="244"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15</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75" w:name="page176"/>
    <w:bookmarkEnd w:id="175"/>
    <w:p>
      <w:pPr>
        <w:jc w:val="both"/>
        <w:ind w:left="1500" w:hanging="748"/>
        <w:spacing w:after="0" w:line="238"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17"/>
          <w:szCs w:val="17"/>
          <w:color w:val="auto"/>
        </w:rPr>
        <w:t>This Agreement is a legal and valid obligation binding upon such Party and enforceable in accordance with its terms; the execution,</w:t>
      </w:r>
      <w:r>
        <w:rPr>
          <w:rFonts w:ascii="Arial" w:cs="Arial" w:eastAsia="Arial" w:hAnsi="Arial"/>
          <w:sz w:val="22"/>
          <w:szCs w:val="22"/>
          <w:color w:val="auto"/>
        </w:rPr>
        <w:t xml:space="preserve"> </w:t>
      </w:r>
      <w:r>
        <w:rPr>
          <w:rFonts w:ascii="Arial" w:cs="Arial" w:eastAsia="Arial" w:hAnsi="Arial"/>
          <w:sz w:val="17"/>
          <w:szCs w:val="17"/>
          <w:color w:val="auto"/>
        </w:rPr>
        <w:t>delivery and performance of the Agreement by such Party does not conflict with any agreement, instrument or understanding, oral or written, by which it is bound, nor violate any Law;</w:t>
      </w:r>
    </w:p>
    <w:p>
      <w:pPr>
        <w:spacing w:after="0" w:line="87" w:lineRule="exact"/>
        <w:rPr>
          <w:sz w:val="20"/>
          <w:szCs w:val="20"/>
          <w:color w:val="auto"/>
        </w:rPr>
      </w:pPr>
    </w:p>
    <w:p>
      <w:pPr>
        <w:jc w:val="both"/>
        <w:ind w:left="1500" w:hanging="748"/>
        <w:spacing w:after="0" w:line="249"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17"/>
          <w:szCs w:val="17"/>
          <w:color w:val="auto"/>
        </w:rPr>
        <w:t>To its knowledge, no government authorization, consent, approval, license, exemption of or filing or registration with any court or</w:t>
      </w:r>
      <w:r>
        <w:rPr>
          <w:rFonts w:ascii="Arial" w:cs="Arial" w:eastAsia="Arial" w:hAnsi="Arial"/>
          <w:sz w:val="22"/>
          <w:szCs w:val="22"/>
          <w:color w:val="auto"/>
        </w:rPr>
        <w:t xml:space="preserve"> </w:t>
      </w:r>
      <w:r>
        <w:rPr>
          <w:rFonts w:ascii="Arial" w:cs="Arial" w:eastAsia="Arial" w:hAnsi="Arial"/>
          <w:sz w:val="17"/>
          <w:szCs w:val="17"/>
          <w:color w:val="auto"/>
        </w:rPr>
        <w:t>Governmental Authority, under Law, is or will be necessary for, or in connection with, the entering into of this Agreement or the transaction contemplated by this Agreement, or (except for regulatory approvals, licenses, clearances and the like necessary for the research, development, manufacture, sales or marketing of pharmaceutical products and except for any required filing with the U.S. Securities and Exchange Commission) for the performance by it of its obligations under this Agreement; and</w:t>
      </w:r>
    </w:p>
    <w:p>
      <w:pPr>
        <w:spacing w:after="0" w:line="82" w:lineRule="exact"/>
        <w:rPr>
          <w:sz w:val="20"/>
          <w:szCs w:val="20"/>
          <w:color w:val="auto"/>
        </w:rPr>
      </w:pPr>
    </w:p>
    <w:p>
      <w:pPr>
        <w:jc w:val="both"/>
        <w:ind w:left="1500" w:hanging="748"/>
        <w:spacing w:after="0" w:line="227"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17"/>
          <w:szCs w:val="17"/>
          <w:color w:val="auto"/>
        </w:rPr>
        <w:t>It has not granted any right to any Third Party relating to its respective intellectual property, Drug Product, Drug Substance or Product</w:t>
      </w:r>
      <w:r>
        <w:rPr>
          <w:rFonts w:ascii="Arial" w:cs="Arial" w:eastAsia="Arial" w:hAnsi="Arial"/>
          <w:sz w:val="22"/>
          <w:szCs w:val="22"/>
          <w:color w:val="auto"/>
        </w:rPr>
        <w:t xml:space="preserve"> </w:t>
      </w:r>
      <w:r>
        <w:rPr>
          <w:rFonts w:ascii="Arial" w:cs="Arial" w:eastAsia="Arial" w:hAnsi="Arial"/>
          <w:sz w:val="17"/>
          <w:szCs w:val="17"/>
          <w:color w:val="auto"/>
        </w:rPr>
        <w:t>which conflicts with the rights granted to the other Party hereunder.</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6"/>
          <w:szCs w:val="16"/>
          <w:u w:val="single" w:color="auto"/>
          <w:color w:val="auto"/>
        </w:rPr>
        <w:t>Celltrion Representations and Warranties</w:t>
      </w:r>
      <w:r>
        <w:rPr>
          <w:rFonts w:ascii="Arial" w:cs="Arial" w:eastAsia="Arial" w:hAnsi="Arial"/>
          <w:sz w:val="16"/>
          <w:szCs w:val="16"/>
          <w:color w:val="auto"/>
        </w:rPr>
        <w:t>. Celltrion hereby represents that, as of the Effective Date:</w:t>
      </w:r>
    </w:p>
    <w:p>
      <w:pPr>
        <w:spacing w:after="0" w:line="98" w:lineRule="exact"/>
        <w:rPr>
          <w:sz w:val="20"/>
          <w:szCs w:val="20"/>
          <w:color w:val="auto"/>
        </w:rPr>
      </w:pPr>
    </w:p>
    <w:p>
      <w:pPr>
        <w:jc w:val="both"/>
        <w:ind w:left="1500" w:right="20" w:hanging="748"/>
        <w:spacing w:after="0" w:line="227" w:lineRule="auto"/>
        <w:rPr>
          <w:sz w:val="20"/>
          <w:szCs w:val="20"/>
          <w:color w:val="auto"/>
        </w:rPr>
      </w:pPr>
      <w:r>
        <w:rPr>
          <w:rFonts w:ascii="Arial" w:cs="Arial" w:eastAsia="Arial" w:hAnsi="Arial"/>
          <w:sz w:val="22"/>
          <w:szCs w:val="22"/>
          <w:color w:val="auto"/>
        </w:rPr>
        <w:t xml:space="preserve">10.2.1. </w:t>
      </w:r>
      <w:r>
        <w:rPr>
          <w:rFonts w:ascii="Arial" w:cs="Arial" w:eastAsia="Arial" w:hAnsi="Arial"/>
          <w:sz w:val="17"/>
          <w:szCs w:val="17"/>
          <w:color w:val="auto"/>
        </w:rPr>
        <w:t>Celltrion owns or otherwise Controls all of the rights, title and interest in and to the Licensed IP and Licensed Information and has the</w:t>
      </w:r>
      <w:r>
        <w:rPr>
          <w:rFonts w:ascii="Arial" w:cs="Arial" w:eastAsia="Arial" w:hAnsi="Arial"/>
          <w:sz w:val="22"/>
          <w:szCs w:val="22"/>
          <w:color w:val="auto"/>
        </w:rPr>
        <w:t xml:space="preserve"> </w:t>
      </w:r>
      <w:r>
        <w:rPr>
          <w:rFonts w:ascii="Arial" w:cs="Arial" w:eastAsia="Arial" w:hAnsi="Arial"/>
          <w:sz w:val="17"/>
          <w:szCs w:val="17"/>
          <w:color w:val="auto"/>
        </w:rPr>
        <w:t>right to grant to Rani the rights therein purported to be granted to Rani under this Agreement;</w:t>
      </w:r>
    </w:p>
    <w:p>
      <w:pPr>
        <w:spacing w:after="0" w:line="88" w:lineRule="exact"/>
        <w:rPr>
          <w:sz w:val="20"/>
          <w:szCs w:val="20"/>
          <w:color w:val="auto"/>
        </w:rPr>
      </w:pPr>
    </w:p>
    <w:p>
      <w:pPr>
        <w:jc w:val="both"/>
        <w:ind w:left="1500" w:right="20" w:hanging="748"/>
        <w:spacing w:after="0" w:line="238" w:lineRule="auto"/>
        <w:rPr>
          <w:sz w:val="20"/>
          <w:szCs w:val="20"/>
          <w:color w:val="auto"/>
        </w:rPr>
      </w:pPr>
      <w:r>
        <w:rPr>
          <w:rFonts w:ascii="Arial" w:cs="Arial" w:eastAsia="Arial" w:hAnsi="Arial"/>
          <w:sz w:val="22"/>
          <w:szCs w:val="22"/>
          <w:color w:val="auto"/>
        </w:rPr>
        <w:t xml:space="preserve">10.2.2. </w:t>
      </w:r>
      <w:r>
        <w:rPr>
          <w:rFonts w:ascii="Arial" w:cs="Arial" w:eastAsia="Arial" w:hAnsi="Arial"/>
          <w:sz w:val="17"/>
          <w:szCs w:val="17"/>
          <w:color w:val="auto"/>
        </w:rPr>
        <w:t>Celltrion has developed the cell line and manufacturing process for Drug Product and Drug Substance in compliance with all</w:t>
      </w:r>
      <w:r>
        <w:rPr>
          <w:rFonts w:ascii="Arial" w:cs="Arial" w:eastAsia="Arial" w:hAnsi="Arial"/>
          <w:sz w:val="22"/>
          <w:szCs w:val="22"/>
          <w:color w:val="auto"/>
        </w:rPr>
        <w:t xml:space="preserve"> </w:t>
      </w:r>
      <w:r>
        <w:rPr>
          <w:rFonts w:ascii="Arial" w:cs="Arial" w:eastAsia="Arial" w:hAnsi="Arial"/>
          <w:sz w:val="17"/>
          <w:szCs w:val="17"/>
          <w:color w:val="auto"/>
        </w:rPr>
        <w:t>applicable Laws and owns or Controls the right to use such cell line and manufacturing process for Drug Product and Drug Substance and to supply and sell such Drug Product and Drug Substance to Rani as contemplated by this Agreement;</w:t>
      </w:r>
    </w:p>
    <w:p>
      <w:pPr>
        <w:spacing w:after="0" w:line="87" w:lineRule="exact"/>
        <w:rPr>
          <w:sz w:val="20"/>
          <w:szCs w:val="20"/>
          <w:color w:val="auto"/>
        </w:rPr>
      </w:pPr>
    </w:p>
    <w:p>
      <w:pPr>
        <w:jc w:val="both"/>
        <w:ind w:left="1500" w:hanging="748"/>
        <w:spacing w:after="0" w:line="252" w:lineRule="auto"/>
        <w:rPr>
          <w:sz w:val="20"/>
          <w:szCs w:val="20"/>
          <w:color w:val="auto"/>
        </w:rPr>
      </w:pPr>
      <w:r>
        <w:rPr>
          <w:rFonts w:ascii="Arial" w:cs="Arial" w:eastAsia="Arial" w:hAnsi="Arial"/>
          <w:sz w:val="22"/>
          <w:szCs w:val="22"/>
          <w:color w:val="auto"/>
        </w:rPr>
        <w:t xml:space="preserve">10.2.3. </w:t>
      </w:r>
      <w:r>
        <w:rPr>
          <w:rFonts w:ascii="Arial" w:cs="Arial" w:eastAsia="Arial" w:hAnsi="Arial"/>
          <w:sz w:val="17"/>
          <w:szCs w:val="17"/>
          <w:color w:val="auto"/>
        </w:rPr>
        <w:t>In developing the cell line and manufacturing process for Drug Product and Drug Substance and in generating the Licensed</w:t>
      </w:r>
      <w:r>
        <w:rPr>
          <w:rFonts w:ascii="Arial" w:cs="Arial" w:eastAsia="Arial" w:hAnsi="Arial"/>
          <w:sz w:val="22"/>
          <w:szCs w:val="22"/>
          <w:color w:val="auto"/>
        </w:rPr>
        <w:t xml:space="preserve"> </w:t>
      </w:r>
      <w:r>
        <w:rPr>
          <w:rFonts w:ascii="Arial" w:cs="Arial" w:eastAsia="Arial" w:hAnsi="Arial"/>
          <w:sz w:val="17"/>
          <w:szCs w:val="17"/>
          <w:color w:val="auto"/>
        </w:rPr>
        <w:t>Information, Celltrion has not used any employee or permitted subcontractor who is or has been debarred 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w:t>
      </w:r>
      <w:r>
        <w:rPr>
          <w:rFonts w:ascii="Arial" w:cs="Arial" w:eastAsia="Arial" w:hAnsi="Arial"/>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5831205</wp:posOffset>
            </wp:positionH>
            <wp:positionV relativeFrom="paragraph">
              <wp:posOffset>-29845</wp:posOffset>
            </wp:positionV>
            <wp:extent cx="28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59" w:lineRule="exact"/>
        <w:rPr>
          <w:sz w:val="20"/>
          <w:szCs w:val="20"/>
          <w:color w:val="auto"/>
        </w:rPr>
      </w:pPr>
    </w:p>
    <w:p>
      <w:pPr>
        <w:jc w:val="both"/>
        <w:ind w:left="1500" w:hanging="748"/>
        <w:spacing w:after="0" w:line="245" w:lineRule="auto"/>
        <w:rPr>
          <w:sz w:val="20"/>
          <w:szCs w:val="20"/>
          <w:color w:val="auto"/>
        </w:rPr>
      </w:pPr>
      <w:r>
        <w:rPr>
          <w:rFonts w:ascii="Arial" w:cs="Arial" w:eastAsia="Arial" w:hAnsi="Arial"/>
          <w:sz w:val="22"/>
          <w:szCs w:val="22"/>
          <w:color w:val="auto"/>
        </w:rPr>
        <w:t xml:space="preserve">10.2.4. </w:t>
      </w:r>
      <w:r>
        <w:rPr>
          <w:rFonts w:ascii="Arial" w:cs="Arial" w:eastAsia="Arial" w:hAnsi="Arial"/>
          <w:sz w:val="17"/>
          <w:szCs w:val="17"/>
          <w:color w:val="auto"/>
        </w:rPr>
        <w:t>Celltrion warrants that Drug Product and Drug Substance supplied to Rani hereunder will be manufactured in accordance with</w:t>
      </w:r>
      <w:r>
        <w:rPr>
          <w:rFonts w:ascii="Arial" w:cs="Arial" w:eastAsia="Arial" w:hAnsi="Arial"/>
          <w:sz w:val="22"/>
          <w:szCs w:val="22"/>
          <w:color w:val="auto"/>
        </w:rPr>
        <w:t xml:space="preserve"> </w:t>
      </w:r>
      <w:r>
        <w:rPr>
          <w:rFonts w:ascii="Arial" w:cs="Arial" w:eastAsia="Arial" w:hAnsi="Arial"/>
          <w:sz w:val="17"/>
          <w:szCs w:val="17"/>
          <w:color w:val="auto"/>
        </w:rPr>
        <w:t>applicable U.S. Laws (including cGMP) and the Quality Agreement and will, upon delivery, conform to the applicable Specifications for Drug Product or Drug Substance, as applicable, in effect at the time the Drug Product or Drug Substance is delivered to Rani hereunder;</w:t>
      </w:r>
    </w:p>
    <w:p>
      <w:pPr>
        <w:spacing w:after="0" w:line="83" w:lineRule="exact"/>
        <w:rPr>
          <w:sz w:val="20"/>
          <w:szCs w:val="20"/>
          <w:color w:val="auto"/>
        </w:rPr>
      </w:pPr>
    </w:p>
    <w:p>
      <w:pPr>
        <w:jc w:val="both"/>
        <w:ind w:left="1500" w:hanging="748"/>
        <w:spacing w:after="0" w:line="227" w:lineRule="auto"/>
        <w:rPr>
          <w:sz w:val="20"/>
          <w:szCs w:val="20"/>
          <w:color w:val="auto"/>
        </w:rPr>
      </w:pPr>
      <w:r>
        <w:rPr>
          <w:rFonts w:ascii="Arial" w:cs="Arial" w:eastAsia="Arial" w:hAnsi="Arial"/>
          <w:sz w:val="22"/>
          <w:szCs w:val="22"/>
          <w:color w:val="auto"/>
        </w:rPr>
        <w:t xml:space="preserve">10.2.5. </w:t>
      </w:r>
      <w:r>
        <w:rPr>
          <w:rFonts w:ascii="Arial" w:cs="Arial" w:eastAsia="Arial" w:hAnsi="Arial"/>
          <w:sz w:val="17"/>
          <w:szCs w:val="17"/>
          <w:color w:val="auto"/>
        </w:rPr>
        <w:t>Celltrion has not received any communication from any Third Party asserting or alleging that the development, manufacture, use or</w:t>
      </w:r>
      <w:r>
        <w:rPr>
          <w:rFonts w:ascii="Arial" w:cs="Arial" w:eastAsia="Arial" w:hAnsi="Arial"/>
          <w:sz w:val="22"/>
          <w:szCs w:val="22"/>
          <w:color w:val="auto"/>
        </w:rPr>
        <w:t xml:space="preserve"> </w:t>
      </w:r>
      <w:r>
        <w:rPr>
          <w:rFonts w:ascii="Arial" w:cs="Arial" w:eastAsia="Arial" w:hAnsi="Arial"/>
          <w:sz w:val="17"/>
          <w:szCs w:val="17"/>
          <w:color w:val="auto"/>
        </w:rPr>
        <w:t>sale of Drug Product, Drug Substance or Drug misappropriates or infringes the rights of such Third Party; and</w:t>
      </w:r>
    </w:p>
    <w:p>
      <w:pPr>
        <w:spacing w:after="0" w:line="88" w:lineRule="exact"/>
        <w:rPr>
          <w:sz w:val="20"/>
          <w:szCs w:val="20"/>
          <w:color w:val="auto"/>
        </w:rPr>
      </w:pPr>
    </w:p>
    <w:p>
      <w:pPr>
        <w:jc w:val="both"/>
        <w:ind w:left="1500" w:hanging="748"/>
        <w:spacing w:after="0" w:line="238" w:lineRule="auto"/>
        <w:rPr>
          <w:sz w:val="20"/>
          <w:szCs w:val="20"/>
          <w:color w:val="auto"/>
        </w:rPr>
      </w:pPr>
      <w:r>
        <w:rPr>
          <w:rFonts w:ascii="Arial" w:cs="Arial" w:eastAsia="Arial" w:hAnsi="Arial"/>
          <w:sz w:val="22"/>
          <w:szCs w:val="22"/>
          <w:color w:val="auto"/>
        </w:rPr>
        <w:t xml:space="preserve">10.2.6. </w:t>
      </w:r>
      <w:r>
        <w:rPr>
          <w:rFonts w:ascii="Arial" w:cs="Arial" w:eastAsia="Arial" w:hAnsi="Arial"/>
          <w:sz w:val="17"/>
          <w:szCs w:val="17"/>
          <w:color w:val="auto"/>
        </w:rPr>
        <w:t>Celltion has not received any communication that a Governmental Authority has initiated, or intends to initiate, any investigation or</w:t>
      </w:r>
      <w:r>
        <w:rPr>
          <w:rFonts w:ascii="Arial" w:cs="Arial" w:eastAsia="Arial" w:hAnsi="Arial"/>
          <w:sz w:val="22"/>
          <w:szCs w:val="22"/>
          <w:color w:val="auto"/>
        </w:rPr>
        <w:t xml:space="preserve"> </w:t>
      </w:r>
      <w:r>
        <w:rPr>
          <w:rFonts w:ascii="Arial" w:cs="Arial" w:eastAsia="Arial" w:hAnsi="Arial"/>
          <w:sz w:val="17"/>
          <w:szCs w:val="17"/>
          <w:color w:val="auto"/>
        </w:rPr>
        <w:t>action to withdraw any Regulatory Filing or Regulatory Approval with respect to the development, manufacture or commercialization of Drug Product, Drug Substance or Drug.</w:t>
      </w:r>
    </w:p>
    <w:p>
      <w:pPr>
        <w:spacing w:after="0" w:line="8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6"/>
          <w:szCs w:val="16"/>
          <w:u w:val="single" w:color="auto"/>
          <w:color w:val="auto"/>
        </w:rPr>
        <w:t>Rani Representations and Warranties</w:t>
      </w:r>
      <w:r>
        <w:rPr>
          <w:rFonts w:ascii="Arial" w:cs="Arial" w:eastAsia="Arial" w:hAnsi="Arial"/>
          <w:sz w:val="16"/>
          <w:szCs w:val="16"/>
          <w:color w:val="auto"/>
        </w:rPr>
        <w:t>. Rani hereby represents that, as of the Effective Date:</w:t>
      </w:r>
    </w:p>
    <w:p>
      <w:pPr>
        <w:spacing w:after="0" w:line="254"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16</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76" w:name="page177"/>
    <w:bookmarkEnd w:id="176"/>
    <w:p>
      <w:pPr>
        <w:jc w:val="both"/>
        <w:ind w:left="1500" w:hanging="748"/>
        <w:spacing w:after="0" w:line="227" w:lineRule="auto"/>
        <w:rPr>
          <w:sz w:val="20"/>
          <w:szCs w:val="20"/>
          <w:color w:val="auto"/>
        </w:rPr>
      </w:pPr>
      <w:r>
        <w:rPr>
          <w:rFonts w:ascii="Arial" w:cs="Arial" w:eastAsia="Arial" w:hAnsi="Arial"/>
          <w:sz w:val="22"/>
          <w:szCs w:val="22"/>
          <w:color w:val="auto"/>
        </w:rPr>
        <w:t xml:space="preserve">10.3.1. </w:t>
      </w:r>
      <w:r>
        <w:rPr>
          <w:rFonts w:ascii="Arial" w:cs="Arial" w:eastAsia="Arial" w:hAnsi="Arial"/>
          <w:sz w:val="17"/>
          <w:szCs w:val="17"/>
          <w:color w:val="auto"/>
        </w:rPr>
        <w:t>Rani owns or otherwise Controls all of the rights, title and interest in and to the Rani Oral Delivery Technology and has the right to</w:t>
      </w:r>
      <w:r>
        <w:rPr>
          <w:rFonts w:ascii="Arial" w:cs="Arial" w:eastAsia="Arial" w:hAnsi="Arial"/>
          <w:sz w:val="22"/>
          <w:szCs w:val="22"/>
          <w:color w:val="auto"/>
        </w:rPr>
        <w:t xml:space="preserve"> </w:t>
      </w:r>
      <w:r>
        <w:rPr>
          <w:rFonts w:ascii="Arial" w:cs="Arial" w:eastAsia="Arial" w:hAnsi="Arial"/>
          <w:sz w:val="17"/>
          <w:szCs w:val="17"/>
          <w:color w:val="auto"/>
        </w:rPr>
        <w:t>grant to Celltrion the rights therein purported to be granted to Celltrion under this Agreement;</w:t>
      </w:r>
    </w:p>
    <w:p>
      <w:pPr>
        <w:spacing w:after="0" w:line="88" w:lineRule="exact"/>
        <w:rPr>
          <w:sz w:val="20"/>
          <w:szCs w:val="20"/>
          <w:color w:val="auto"/>
        </w:rPr>
      </w:pPr>
    </w:p>
    <w:p>
      <w:pPr>
        <w:jc w:val="both"/>
        <w:ind w:left="1500" w:right="20" w:hanging="748"/>
        <w:spacing w:after="0" w:line="266" w:lineRule="auto"/>
        <w:rPr>
          <w:sz w:val="20"/>
          <w:szCs w:val="20"/>
          <w:color w:val="auto"/>
        </w:rPr>
      </w:pPr>
      <w:r>
        <w:rPr>
          <w:rFonts w:ascii="Arial" w:cs="Arial" w:eastAsia="Arial" w:hAnsi="Arial"/>
          <w:sz w:val="21"/>
          <w:szCs w:val="21"/>
          <w:color w:val="auto"/>
        </w:rPr>
        <w:t xml:space="preserve">10.3.2. </w:t>
      </w:r>
      <w:r>
        <w:rPr>
          <w:rFonts w:ascii="Arial" w:cs="Arial" w:eastAsia="Arial" w:hAnsi="Arial"/>
          <w:sz w:val="16"/>
          <w:szCs w:val="16"/>
          <w:color w:val="auto"/>
        </w:rPr>
        <w:t>In developing Rani Oral Delivery Technology, Rani has not used any employee or permitted subcontractor who is or has been debarred</w:t>
      </w:r>
      <w:r>
        <w:rPr>
          <w:rFonts w:ascii="Arial" w:cs="Arial" w:eastAsia="Arial" w:hAnsi="Arial"/>
          <w:sz w:val="21"/>
          <w:szCs w:val="21"/>
          <w:color w:val="auto"/>
        </w:rPr>
        <w:t xml:space="preserve"> </w:t>
      </w:r>
      <w:r>
        <w:rPr>
          <w:rFonts w:ascii="Arial" w:cs="Arial" w:eastAsia="Arial" w:hAnsi="Arial"/>
          <w:sz w:val="16"/>
          <w:szCs w:val="16"/>
          <w:color w:val="auto"/>
        </w:rPr>
        <w:t>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spacing w:after="0" w:line="68" w:lineRule="exact"/>
        <w:rPr>
          <w:sz w:val="20"/>
          <w:szCs w:val="20"/>
          <w:color w:val="auto"/>
        </w:rPr>
      </w:pPr>
    </w:p>
    <w:p>
      <w:pPr>
        <w:jc w:val="both"/>
        <w:ind w:left="1500" w:right="20" w:hanging="748"/>
        <w:spacing w:after="0" w:line="227" w:lineRule="auto"/>
        <w:rPr>
          <w:sz w:val="20"/>
          <w:szCs w:val="20"/>
          <w:color w:val="auto"/>
        </w:rPr>
      </w:pPr>
      <w:r>
        <w:rPr>
          <w:rFonts w:ascii="Arial" w:cs="Arial" w:eastAsia="Arial" w:hAnsi="Arial"/>
          <w:sz w:val="22"/>
          <w:szCs w:val="22"/>
          <w:color w:val="auto"/>
        </w:rPr>
        <w:t xml:space="preserve">10.3.3. </w:t>
      </w:r>
      <w:r>
        <w:rPr>
          <w:rFonts w:ascii="Arial" w:cs="Arial" w:eastAsia="Arial" w:hAnsi="Arial"/>
          <w:sz w:val="17"/>
          <w:szCs w:val="17"/>
          <w:color w:val="auto"/>
        </w:rPr>
        <w:t>Rani has not received any communication from any Third Party asserting or alleging that the development, manufacture, use or sale of</w:t>
      </w:r>
      <w:r>
        <w:rPr>
          <w:rFonts w:ascii="Arial" w:cs="Arial" w:eastAsia="Arial" w:hAnsi="Arial"/>
          <w:sz w:val="22"/>
          <w:szCs w:val="22"/>
          <w:color w:val="auto"/>
        </w:rPr>
        <w:t xml:space="preserve"> </w:t>
      </w:r>
      <w:r>
        <w:rPr>
          <w:rFonts w:ascii="Arial" w:cs="Arial" w:eastAsia="Arial" w:hAnsi="Arial"/>
          <w:sz w:val="17"/>
          <w:szCs w:val="17"/>
          <w:color w:val="auto"/>
        </w:rPr>
        <w:t>Product misappropriates or infringes the rights of such Third Party.</w:t>
      </w:r>
    </w:p>
    <w:p>
      <w:pPr>
        <w:spacing w:after="0" w:line="88"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 EXCEPT AS SET FORTH IN THIS ARTICLE 10 (REPRESENTATIONS, WARRANTIES AND COVENANTS),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RANI AND CELLTRION EXPRESSLY DISCLAIM ANY AND ALL REPRESENTATIONS AND WARRANTIES, EXPRESS, IMPLIED, STATUTORY OR OTHERWISE, WITH RESPECT TO THIS AGREEMENT, INCLUDING ANY WARRANTY OF MERCHANTABILITY OR FITNESS FOR A PARTICULAR PURPOSE, VALIDITY OR NONINFRINGEMENT OF INTELLECTUAL PROPERTY RIGHTS.</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6"/>
          <w:szCs w:val="16"/>
          <w:u w:val="single" w:color="auto"/>
          <w:color w:val="auto"/>
        </w:rPr>
        <w:t>Mutual Covenants</w:t>
      </w:r>
      <w:r>
        <w:rPr>
          <w:rFonts w:ascii="Arial" w:cs="Arial" w:eastAsia="Arial" w:hAnsi="Arial"/>
          <w:sz w:val="16"/>
          <w:szCs w:val="16"/>
          <w:color w:val="auto"/>
        </w:rPr>
        <w:t>. Each of the Parties hereby covenants to the other Party as follows: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10.5.1.  </w:t>
      </w:r>
      <w:r>
        <w:rPr>
          <w:rFonts w:ascii="Arial" w:cs="Arial" w:eastAsia="Arial" w:hAnsi="Arial"/>
          <w:sz w:val="17"/>
          <w:szCs w:val="17"/>
          <w:color w:val="auto"/>
        </w:rPr>
        <w:t>It will carry out its activities hereunder in compliance with Law; and</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10.5.2.  </w:t>
      </w:r>
      <w:r>
        <w:rPr>
          <w:rFonts w:ascii="Arial" w:cs="Arial" w:eastAsia="Arial" w:hAnsi="Arial"/>
          <w:sz w:val="17"/>
          <w:szCs w:val="17"/>
          <w:color w:val="auto"/>
        </w:rPr>
        <w:t>It will not grant to any Third Party any right that conflicts with the rights granted to the other Party hereunder.</w:t>
      </w:r>
    </w:p>
    <w:p>
      <w:pPr>
        <w:spacing w:after="0" w:line="98"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6"/>
          <w:szCs w:val="16"/>
          <w:u w:val="single" w:color="auto"/>
          <w:color w:val="auto"/>
        </w:rPr>
        <w:t>Celltrion Covenants</w:t>
      </w:r>
      <w:r>
        <w:rPr>
          <w:rFonts w:ascii="Arial" w:cs="Arial" w:eastAsia="Arial" w:hAnsi="Arial"/>
          <w:sz w:val="16"/>
          <w:szCs w:val="16"/>
          <w:color w:val="auto"/>
        </w:rPr>
        <w:t>. Celltrion hereby covenants to Rani as follows:</w:t>
      </w:r>
    </w:p>
    <w:p>
      <w:pPr>
        <w:spacing w:after="0" w:line="98" w:lineRule="exact"/>
        <w:rPr>
          <w:sz w:val="20"/>
          <w:szCs w:val="20"/>
          <w:color w:val="auto"/>
        </w:rPr>
      </w:pPr>
    </w:p>
    <w:p>
      <w:pPr>
        <w:jc w:val="both"/>
        <w:ind w:left="1500" w:right="20" w:hanging="748"/>
        <w:spacing w:after="0" w:line="311" w:lineRule="auto"/>
        <w:rPr>
          <w:sz w:val="20"/>
          <w:szCs w:val="20"/>
          <w:color w:val="auto"/>
        </w:rPr>
      </w:pPr>
      <w:r>
        <w:rPr>
          <w:rFonts w:ascii="Arial" w:cs="Arial" w:eastAsia="Arial" w:hAnsi="Arial"/>
          <w:sz w:val="21"/>
          <w:szCs w:val="21"/>
          <w:color w:val="auto"/>
        </w:rPr>
        <w:t xml:space="preserve">10.6.1. </w:t>
      </w:r>
      <w:r>
        <w:rPr>
          <w:rFonts w:ascii="Arial" w:cs="Arial" w:eastAsia="Arial" w:hAnsi="Arial"/>
          <w:sz w:val="16"/>
          <w:szCs w:val="16"/>
          <w:color w:val="auto"/>
        </w:rPr>
        <w:t>Celltrion has and will maintain all necessary government permits, including without limitation, health and safety and environmental</w:t>
      </w:r>
      <w:r>
        <w:rPr>
          <w:rFonts w:ascii="Arial" w:cs="Arial" w:eastAsia="Arial" w:hAnsi="Arial"/>
          <w:sz w:val="21"/>
          <w:szCs w:val="21"/>
          <w:color w:val="auto"/>
        </w:rPr>
        <w:t xml:space="preserve"> </w:t>
      </w:r>
      <w:r>
        <w:rPr>
          <w:rFonts w:ascii="Arial" w:cs="Arial" w:eastAsia="Arial" w:hAnsi="Arial"/>
          <w:sz w:val="16"/>
          <w:szCs w:val="16"/>
          <w:color w:val="auto"/>
        </w:rPr>
        <w:t>permits necessary for the conduct of the actions it undertakes pursuant to its manufacturing and supply obligations hereunder;</w:t>
      </w:r>
    </w:p>
    <w:p>
      <w:pPr>
        <w:spacing w:after="0" w:line="16" w:lineRule="exact"/>
        <w:rPr>
          <w:sz w:val="20"/>
          <w:szCs w:val="20"/>
          <w:color w:val="auto"/>
        </w:rPr>
      </w:pPr>
    </w:p>
    <w:p>
      <w:pPr>
        <w:jc w:val="both"/>
        <w:ind w:left="1500" w:hanging="748"/>
        <w:spacing w:after="0" w:line="238" w:lineRule="auto"/>
        <w:rPr>
          <w:sz w:val="20"/>
          <w:szCs w:val="20"/>
          <w:color w:val="auto"/>
        </w:rPr>
      </w:pPr>
      <w:r>
        <w:rPr>
          <w:rFonts w:ascii="Arial" w:cs="Arial" w:eastAsia="Arial" w:hAnsi="Arial"/>
          <w:sz w:val="22"/>
          <w:szCs w:val="22"/>
          <w:color w:val="auto"/>
        </w:rPr>
        <w:t xml:space="preserve">10.6.2. </w:t>
      </w:r>
      <w:r>
        <w:rPr>
          <w:rFonts w:ascii="Arial" w:cs="Arial" w:eastAsia="Arial" w:hAnsi="Arial"/>
          <w:sz w:val="17"/>
          <w:szCs w:val="17"/>
          <w:color w:val="auto"/>
        </w:rPr>
        <w:t>All data and information relating to Drug Product and/or Drug Substance to which Celltrion grants Rani a letter of authorization or</w:t>
      </w:r>
      <w:r>
        <w:rPr>
          <w:rFonts w:ascii="Arial" w:cs="Arial" w:eastAsia="Arial" w:hAnsi="Arial"/>
          <w:sz w:val="22"/>
          <w:szCs w:val="22"/>
          <w:color w:val="auto"/>
        </w:rPr>
        <w:t xml:space="preserve"> </w:t>
      </w:r>
      <w:r>
        <w:rPr>
          <w:rFonts w:ascii="Arial" w:cs="Arial" w:eastAsia="Arial" w:hAnsi="Arial"/>
          <w:sz w:val="17"/>
          <w:szCs w:val="17"/>
          <w:color w:val="auto"/>
        </w:rPr>
        <w:t>right of reference, and Licensed Information provided by Celltrion to Rani hereunder, will be accurate and complete in all material respects when granted or provided;</w:t>
      </w:r>
    </w:p>
    <w:p>
      <w:pPr>
        <w:spacing w:after="0" w:line="87" w:lineRule="exact"/>
        <w:rPr>
          <w:sz w:val="20"/>
          <w:szCs w:val="20"/>
          <w:color w:val="auto"/>
        </w:rPr>
      </w:pPr>
    </w:p>
    <w:p>
      <w:pPr>
        <w:jc w:val="both"/>
        <w:ind w:left="1500" w:right="20" w:hanging="748"/>
        <w:spacing w:after="0" w:line="227" w:lineRule="auto"/>
        <w:rPr>
          <w:sz w:val="20"/>
          <w:szCs w:val="20"/>
          <w:color w:val="auto"/>
        </w:rPr>
      </w:pPr>
      <w:r>
        <w:rPr>
          <w:rFonts w:ascii="Arial" w:cs="Arial" w:eastAsia="Arial" w:hAnsi="Arial"/>
          <w:sz w:val="22"/>
          <w:szCs w:val="22"/>
          <w:color w:val="auto"/>
        </w:rPr>
        <w:t xml:space="preserve">10.6.3. </w:t>
      </w:r>
      <w:r>
        <w:rPr>
          <w:rFonts w:ascii="Arial" w:cs="Arial" w:eastAsia="Arial" w:hAnsi="Arial"/>
          <w:sz w:val="17"/>
          <w:szCs w:val="17"/>
          <w:color w:val="auto"/>
        </w:rPr>
        <w:t>Celltrion will keep in effect and maintain all Regulatory Filings and Regulatory Approvals to which it grants Rani a letter of</w:t>
      </w:r>
      <w:r>
        <w:rPr>
          <w:rFonts w:ascii="Arial" w:cs="Arial" w:eastAsia="Arial" w:hAnsi="Arial"/>
          <w:sz w:val="22"/>
          <w:szCs w:val="22"/>
          <w:color w:val="auto"/>
        </w:rPr>
        <w:t xml:space="preserve"> </w:t>
      </w:r>
      <w:r>
        <w:rPr>
          <w:rFonts w:ascii="Arial" w:cs="Arial" w:eastAsia="Arial" w:hAnsi="Arial"/>
          <w:sz w:val="17"/>
          <w:szCs w:val="17"/>
          <w:color w:val="auto"/>
        </w:rPr>
        <w:t>authorization or right of reference hereunder;</w:t>
      </w:r>
    </w:p>
    <w:p>
      <w:pPr>
        <w:spacing w:after="0" w:line="88" w:lineRule="exact"/>
        <w:rPr>
          <w:sz w:val="20"/>
          <w:szCs w:val="20"/>
          <w:color w:val="auto"/>
        </w:rPr>
      </w:pPr>
    </w:p>
    <w:p>
      <w:pPr>
        <w:jc w:val="both"/>
        <w:ind w:left="1500" w:hanging="748"/>
        <w:spacing w:after="0" w:line="285" w:lineRule="auto"/>
        <w:rPr>
          <w:sz w:val="20"/>
          <w:szCs w:val="20"/>
          <w:color w:val="auto"/>
        </w:rPr>
      </w:pPr>
      <w:r>
        <w:rPr>
          <w:rFonts w:ascii="Arial" w:cs="Arial" w:eastAsia="Arial" w:hAnsi="Arial"/>
          <w:sz w:val="21"/>
          <w:szCs w:val="21"/>
          <w:color w:val="auto"/>
        </w:rPr>
        <w:t xml:space="preserve">10.6.4. </w:t>
      </w:r>
      <w:r>
        <w:rPr>
          <w:rFonts w:ascii="Arial" w:cs="Arial" w:eastAsia="Arial" w:hAnsi="Arial"/>
          <w:sz w:val="16"/>
          <w:szCs w:val="16"/>
          <w:color w:val="auto"/>
        </w:rPr>
        <w:t>Celltrion will not use in the performance of this Agreement any employee or permitted subcontractor who is or has been debarred by</w:t>
      </w:r>
      <w:r>
        <w:rPr>
          <w:rFonts w:ascii="Arial" w:cs="Arial" w:eastAsia="Arial" w:hAnsi="Arial"/>
          <w:sz w:val="21"/>
          <w:szCs w:val="21"/>
          <w:color w:val="auto"/>
        </w:rPr>
        <w:t xml:space="preserve"> </w:t>
      </w:r>
      <w:r>
        <w:rPr>
          <w:rFonts w:ascii="Arial" w:cs="Arial" w:eastAsia="Arial" w:hAnsi="Arial"/>
          <w:sz w:val="16"/>
          <w:szCs w:val="16"/>
          <w:color w:val="auto"/>
        </w:rPr>
        <w:t>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spacing w:after="0" w:line="54" w:lineRule="exact"/>
        <w:rPr>
          <w:sz w:val="20"/>
          <w:szCs w:val="20"/>
          <w:color w:val="auto"/>
        </w:rPr>
      </w:pPr>
    </w:p>
    <w:p>
      <w:pPr>
        <w:jc w:val="both"/>
        <w:ind w:left="1500" w:hanging="748"/>
        <w:spacing w:after="0" w:line="249" w:lineRule="auto"/>
        <w:rPr>
          <w:sz w:val="20"/>
          <w:szCs w:val="20"/>
          <w:color w:val="auto"/>
        </w:rPr>
      </w:pPr>
      <w:r>
        <w:rPr>
          <w:rFonts w:ascii="Arial" w:cs="Arial" w:eastAsia="Arial" w:hAnsi="Arial"/>
          <w:sz w:val="22"/>
          <w:szCs w:val="22"/>
          <w:color w:val="auto"/>
        </w:rPr>
        <w:t xml:space="preserve">10.6.5. </w:t>
      </w:r>
      <w:r>
        <w:rPr>
          <w:rFonts w:ascii="Arial" w:cs="Arial" w:eastAsia="Arial" w:hAnsi="Arial"/>
          <w:sz w:val="17"/>
          <w:szCs w:val="17"/>
          <w:color w:val="auto"/>
        </w:rPr>
        <w:t>Celltrion (and, if applicable, its owners, officers, directors, employees and agents) have not and will not pay, give, offer or promise to</w:t>
      </w:r>
      <w:r>
        <w:rPr>
          <w:rFonts w:ascii="Arial" w:cs="Arial" w:eastAsia="Arial" w:hAnsi="Arial"/>
          <w:sz w:val="22"/>
          <w:szCs w:val="22"/>
          <w:color w:val="auto"/>
        </w:rPr>
        <w:t xml:space="preserve"> </w:t>
      </w:r>
      <w:r>
        <w:rPr>
          <w:rFonts w:ascii="Arial" w:cs="Arial" w:eastAsia="Arial" w:hAnsi="Arial"/>
          <w:sz w:val="17"/>
          <w:szCs w:val="17"/>
          <w:color w:val="auto"/>
        </w:rPr>
        <w:t>pay or give, or authorize the payment, directly or indirectly, of any money or anything of value to any government official or employee (including employees of state-owned institutions), for the purpose of (a) influencing any act or decision of such official or of such government, (b) inducing that person to do or omit doing any act in violation of his or her lawful duty, (c) securing an improper advantage, or (d) influencing such official to use his influence with</w:t>
      </w:r>
    </w:p>
    <w:p>
      <w:pPr>
        <w:spacing w:after="0" w:line="237"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17</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77" w:name="page178"/>
    <w:bookmarkEnd w:id="177"/>
    <w:p>
      <w:pPr>
        <w:ind w:left="1500"/>
        <w:spacing w:after="0" w:line="277" w:lineRule="auto"/>
        <w:rPr>
          <w:sz w:val="20"/>
          <w:szCs w:val="20"/>
          <w:color w:val="auto"/>
        </w:rPr>
      </w:pPr>
      <w:r>
        <w:rPr>
          <w:rFonts w:ascii="Arial" w:cs="Arial" w:eastAsia="Arial" w:hAnsi="Arial"/>
          <w:sz w:val="18"/>
          <w:szCs w:val="18"/>
          <w:color w:val="auto"/>
        </w:rPr>
        <w:t>the government to effect or influence the decision of such government, in order to assist Celltrion and/or Rani in obtaining or retaining business for or with or directing business to any person.</w:t>
      </w:r>
    </w:p>
    <w:p>
      <w:pPr>
        <w:spacing w:after="0" w:line="55"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6"/>
          <w:szCs w:val="16"/>
          <w:u w:val="single" w:color="auto"/>
          <w:color w:val="auto"/>
        </w:rPr>
        <w:t>Rani Covenants</w:t>
      </w:r>
      <w:r>
        <w:rPr>
          <w:rFonts w:ascii="Arial" w:cs="Arial" w:eastAsia="Arial" w:hAnsi="Arial"/>
          <w:sz w:val="16"/>
          <w:szCs w:val="16"/>
          <w:color w:val="auto"/>
        </w:rPr>
        <w:t>. Rani hereby covenants to Celltrion as follows:</w:t>
      </w:r>
    </w:p>
    <w:p>
      <w:pPr>
        <w:spacing w:after="0" w:line="98" w:lineRule="exact"/>
        <w:rPr>
          <w:sz w:val="20"/>
          <w:szCs w:val="20"/>
          <w:color w:val="auto"/>
        </w:rPr>
      </w:pPr>
    </w:p>
    <w:p>
      <w:pPr>
        <w:jc w:val="both"/>
        <w:ind w:left="1500" w:hanging="748"/>
        <w:spacing w:after="0" w:line="227" w:lineRule="auto"/>
        <w:rPr>
          <w:sz w:val="20"/>
          <w:szCs w:val="20"/>
          <w:color w:val="auto"/>
        </w:rPr>
      </w:pPr>
      <w:r>
        <w:rPr>
          <w:rFonts w:ascii="Arial" w:cs="Arial" w:eastAsia="Arial" w:hAnsi="Arial"/>
          <w:sz w:val="22"/>
          <w:szCs w:val="22"/>
          <w:color w:val="auto"/>
        </w:rPr>
        <w:t xml:space="preserve">10.7.1. </w:t>
      </w:r>
      <w:r>
        <w:rPr>
          <w:rFonts w:ascii="Arial" w:cs="Arial" w:eastAsia="Arial" w:hAnsi="Arial"/>
          <w:sz w:val="17"/>
          <w:szCs w:val="17"/>
          <w:color w:val="auto"/>
        </w:rPr>
        <w:t>Rani has and will maintain all necessary government permits, including without limitation, health and safety and environmental</w:t>
      </w:r>
      <w:r>
        <w:rPr>
          <w:rFonts w:ascii="Arial" w:cs="Arial" w:eastAsia="Arial" w:hAnsi="Arial"/>
          <w:sz w:val="22"/>
          <w:szCs w:val="22"/>
          <w:color w:val="auto"/>
        </w:rPr>
        <w:t xml:space="preserve"> </w:t>
      </w:r>
      <w:r>
        <w:rPr>
          <w:rFonts w:ascii="Arial" w:cs="Arial" w:eastAsia="Arial" w:hAnsi="Arial"/>
          <w:sz w:val="17"/>
          <w:szCs w:val="17"/>
          <w:color w:val="auto"/>
        </w:rPr>
        <w:t>permits necessary for the conduct of the actions it undertakes pursuant to its rights obligations hereunder;</w:t>
      </w:r>
    </w:p>
    <w:p>
      <w:pPr>
        <w:spacing w:after="0" w:line="88" w:lineRule="exact"/>
        <w:rPr>
          <w:sz w:val="20"/>
          <w:szCs w:val="20"/>
          <w:color w:val="auto"/>
        </w:rPr>
      </w:pPr>
    </w:p>
    <w:p>
      <w:pPr>
        <w:jc w:val="both"/>
        <w:ind w:left="1500" w:hanging="748"/>
        <w:spacing w:after="0" w:line="227" w:lineRule="auto"/>
        <w:rPr>
          <w:sz w:val="20"/>
          <w:szCs w:val="20"/>
          <w:color w:val="auto"/>
        </w:rPr>
      </w:pPr>
      <w:r>
        <w:rPr>
          <w:rFonts w:ascii="Arial" w:cs="Arial" w:eastAsia="Arial" w:hAnsi="Arial"/>
          <w:sz w:val="22"/>
          <w:szCs w:val="22"/>
          <w:color w:val="auto"/>
        </w:rPr>
        <w:t xml:space="preserve">10.7.2. </w:t>
      </w:r>
      <w:r>
        <w:rPr>
          <w:rFonts w:ascii="Arial" w:cs="Arial" w:eastAsia="Arial" w:hAnsi="Arial"/>
          <w:sz w:val="17"/>
          <w:szCs w:val="17"/>
          <w:color w:val="auto"/>
        </w:rPr>
        <w:t>All data and information relating to Product provided by Rani to Celltrion hereunder will be accurate and complete in all material</w:t>
      </w:r>
      <w:r>
        <w:rPr>
          <w:rFonts w:ascii="Arial" w:cs="Arial" w:eastAsia="Arial" w:hAnsi="Arial"/>
          <w:sz w:val="22"/>
          <w:szCs w:val="22"/>
          <w:color w:val="auto"/>
        </w:rPr>
        <w:t xml:space="preserve"> </w:t>
      </w:r>
      <w:r>
        <w:rPr>
          <w:rFonts w:ascii="Arial" w:cs="Arial" w:eastAsia="Arial" w:hAnsi="Arial"/>
          <w:sz w:val="17"/>
          <w:szCs w:val="17"/>
          <w:color w:val="auto"/>
        </w:rPr>
        <w:t>respects when provided;</w:t>
      </w:r>
    </w:p>
    <w:p>
      <w:pPr>
        <w:spacing w:after="0" w:line="88" w:lineRule="exact"/>
        <w:rPr>
          <w:sz w:val="20"/>
          <w:szCs w:val="20"/>
          <w:color w:val="auto"/>
        </w:rPr>
      </w:pPr>
    </w:p>
    <w:p>
      <w:pPr>
        <w:jc w:val="both"/>
        <w:ind w:left="1500" w:hanging="748"/>
        <w:spacing w:after="0" w:line="266" w:lineRule="auto"/>
        <w:rPr>
          <w:sz w:val="20"/>
          <w:szCs w:val="20"/>
          <w:color w:val="auto"/>
        </w:rPr>
      </w:pPr>
      <w:r>
        <w:rPr>
          <w:rFonts w:ascii="Arial" w:cs="Arial" w:eastAsia="Arial" w:hAnsi="Arial"/>
          <w:sz w:val="21"/>
          <w:szCs w:val="21"/>
          <w:color w:val="auto"/>
        </w:rPr>
        <w:t xml:space="preserve">10.7.3. </w:t>
      </w:r>
      <w:r>
        <w:rPr>
          <w:rFonts w:ascii="Arial" w:cs="Arial" w:eastAsia="Arial" w:hAnsi="Arial"/>
          <w:sz w:val="16"/>
          <w:szCs w:val="16"/>
          <w:color w:val="auto"/>
        </w:rPr>
        <w:t>Rani will not use in the performance of this Agreement any employee or permitted subcontractor who is or has been debarred by any</w:t>
      </w:r>
      <w:r>
        <w:rPr>
          <w:rFonts w:ascii="Arial" w:cs="Arial" w:eastAsia="Arial" w:hAnsi="Arial"/>
          <w:sz w:val="21"/>
          <w:szCs w:val="21"/>
          <w:color w:val="auto"/>
        </w:rPr>
        <w:t xml:space="preserve"> </w:t>
      </w:r>
      <w:r>
        <w:rPr>
          <w:rFonts w:ascii="Arial" w:cs="Arial" w:eastAsia="Arial" w:hAnsi="Arial"/>
          <w:sz w:val="16"/>
          <w:szCs w:val="16"/>
          <w:color w:val="auto"/>
        </w:rPr>
        <w:t>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spacing w:after="0" w:line="68" w:lineRule="exact"/>
        <w:rPr>
          <w:sz w:val="20"/>
          <w:szCs w:val="20"/>
          <w:color w:val="auto"/>
        </w:rPr>
      </w:pPr>
    </w:p>
    <w:p>
      <w:pPr>
        <w:jc w:val="both"/>
        <w:ind w:left="1500" w:hanging="748"/>
        <w:spacing w:after="0" w:line="269" w:lineRule="auto"/>
        <w:rPr>
          <w:sz w:val="20"/>
          <w:szCs w:val="20"/>
          <w:color w:val="auto"/>
        </w:rPr>
      </w:pPr>
      <w:r>
        <w:rPr>
          <w:rFonts w:ascii="Arial" w:cs="Arial" w:eastAsia="Arial" w:hAnsi="Arial"/>
          <w:sz w:val="21"/>
          <w:szCs w:val="21"/>
          <w:color w:val="auto"/>
        </w:rPr>
        <w:t xml:space="preserve">10.7.4. </w:t>
      </w:r>
      <w:r>
        <w:rPr>
          <w:rFonts w:ascii="Arial" w:cs="Arial" w:eastAsia="Arial" w:hAnsi="Arial"/>
          <w:sz w:val="16"/>
          <w:szCs w:val="16"/>
          <w:color w:val="auto"/>
        </w:rPr>
        <w:t>Rani (and, if applicable, its owners, officers, directors, employees and agents) has not and will not pay, give, offer or promise to pay or</w:t>
      </w:r>
      <w:r>
        <w:rPr>
          <w:rFonts w:ascii="Arial" w:cs="Arial" w:eastAsia="Arial" w:hAnsi="Arial"/>
          <w:sz w:val="21"/>
          <w:szCs w:val="21"/>
          <w:color w:val="auto"/>
        </w:rPr>
        <w:t xml:space="preserve"> </w:t>
      </w:r>
      <w:r>
        <w:rPr>
          <w:rFonts w:ascii="Arial" w:cs="Arial" w:eastAsia="Arial" w:hAnsi="Arial"/>
          <w:sz w:val="16"/>
          <w:szCs w:val="16"/>
          <w:color w:val="auto"/>
        </w:rPr>
        <w:t>give, or authorize the payment, directly or indirectly, of any money or anything of value to any government official or employee (including employees of state-owned institutions), for the purpose of (a) influencing any act or decision of such official or of such government, (b) inducing that person to do or omit doing any act in violation of his or her lawful duty, (c) securing an improper advantage, or (d) influencing such official to use his influence with the government to effect or influence the decision of such government, in order to assist Celltrion and/or Rani in obtaining or retaining business for or with or directing business to any person.</w:t>
      </w:r>
    </w:p>
    <w:p>
      <w:pPr>
        <w:spacing w:after="0" w:line="118"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11.</w:t>
      </w:r>
      <w:r>
        <w:rPr>
          <w:sz w:val="20"/>
          <w:szCs w:val="20"/>
          <w:color w:val="auto"/>
        </w:rPr>
        <w:tab/>
      </w:r>
      <w:r>
        <w:rPr>
          <w:rFonts w:ascii="Arial" w:cs="Arial" w:eastAsia="Arial" w:hAnsi="Arial"/>
          <w:sz w:val="18"/>
          <w:szCs w:val="18"/>
          <w:b w:val="1"/>
          <w:bCs w:val="1"/>
          <w:color w:val="auto"/>
        </w:rPr>
        <w:t>L</w:t>
      </w:r>
      <w:r>
        <w:rPr>
          <w:rFonts w:ascii="Arial" w:cs="Arial" w:eastAsia="Arial" w:hAnsi="Arial"/>
          <w:sz w:val="12"/>
          <w:szCs w:val="12"/>
          <w:b w:val="1"/>
          <w:bCs w:val="1"/>
          <w:color w:val="auto"/>
        </w:rPr>
        <w:t>imitations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w:t>
      </w:r>
      <w:r>
        <w:rPr>
          <w:rFonts w:ascii="Arial" w:cs="Arial" w:eastAsia="Arial" w:hAnsi="Arial"/>
          <w:sz w:val="18"/>
          <w:szCs w:val="18"/>
          <w:b w:val="1"/>
          <w:bCs w:val="1"/>
          <w:color w:val="auto"/>
        </w:rPr>
        <w:t>; I</w:t>
      </w:r>
      <w:r>
        <w:rPr>
          <w:rFonts w:ascii="Arial" w:cs="Arial" w:eastAsia="Arial" w:hAnsi="Arial"/>
          <w:sz w:val="12"/>
          <w:szCs w:val="12"/>
          <w:b w:val="1"/>
          <w:bCs w:val="1"/>
          <w:color w:val="auto"/>
        </w:rPr>
        <w:t>nsurance</w:t>
      </w:r>
    </w:p>
    <w:p>
      <w:pPr>
        <w:spacing w:after="0" w:line="172" w:lineRule="exact"/>
        <w:rPr>
          <w:sz w:val="20"/>
          <w:szCs w:val="20"/>
          <w:color w:val="auto"/>
        </w:rPr>
      </w:pPr>
    </w:p>
    <w:p>
      <w:pPr>
        <w:jc w:val="both"/>
        <w:ind w:left="760" w:right="40" w:hanging="745"/>
        <w:spacing w:after="0" w:line="254" w:lineRule="auto"/>
        <w:tabs>
          <w:tab w:leader="none" w:pos="7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IN NO EVENT SHALL EITHER PARTY BE LIABLE TO THE OTHER PARTY FOR ANY INDIRECT, SPECIAL,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INCIDENTAL, EXEMPLARY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11.1 (Limitations of Liability) will not apply with respect to (a) either Party’s indemnification obligations under Article 12 (Indemnification), (b) 9.1 (Confidentiality; Exceptions) or 9.2 (Authorized Disclosure), or (c) gross negligence or willful misconduct of a Party.</w:t>
      </w:r>
    </w:p>
    <w:p>
      <w:pPr>
        <w:spacing w:after="0" w:line="114" w:lineRule="exact"/>
        <w:rPr>
          <w:sz w:val="20"/>
          <w:szCs w:val="20"/>
          <w:color w:val="auto"/>
        </w:rPr>
      </w:pPr>
    </w:p>
    <w:p>
      <w:pPr>
        <w:jc w:val="both"/>
        <w:ind w:left="760" w:hanging="748"/>
        <w:spacing w:after="0" w:line="286" w:lineRule="auto"/>
        <w:tabs>
          <w:tab w:leader="none" w:pos="7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 During the Term and for [*] years thereafter each Party will obtain and maintain insurance adequate to cover its obligations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activities hereunder with reputable and financially secure insurance carriers in a form and at levels as customary for a company of its size in the pharmaceutical industry (or reasonable self-insurance sufficient to provide materially the same level and type of protection).</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12.</w:t>
      </w:r>
      <w:r>
        <w:rPr>
          <w:sz w:val="20"/>
          <w:szCs w:val="20"/>
          <w:color w:val="auto"/>
        </w:rPr>
        <w:tab/>
      </w:r>
      <w:r>
        <w:rPr>
          <w:rFonts w:ascii="Arial" w:cs="Arial" w:eastAsia="Arial" w:hAnsi="Arial"/>
          <w:sz w:val="18"/>
          <w:szCs w:val="18"/>
          <w:b w:val="1"/>
          <w:bCs w:val="1"/>
          <w:color w:val="auto"/>
        </w:rPr>
        <w:t>I</w:t>
      </w:r>
      <w:r>
        <w:rPr>
          <w:rFonts w:ascii="Arial" w:cs="Arial" w:eastAsia="Arial" w:hAnsi="Arial"/>
          <w:sz w:val="12"/>
          <w:szCs w:val="12"/>
          <w:b w:val="1"/>
          <w:bCs w:val="1"/>
          <w:color w:val="auto"/>
        </w:rPr>
        <w:t>ndemnification</w:t>
      </w:r>
    </w:p>
    <w:p>
      <w:pPr>
        <w:spacing w:after="0" w:line="17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w:t>
      </w:r>
    </w:p>
    <w:p>
      <w:pPr>
        <w:spacing w:after="0" w:line="98" w:lineRule="exact"/>
        <w:rPr>
          <w:sz w:val="20"/>
          <w:szCs w:val="20"/>
          <w:color w:val="auto"/>
        </w:rPr>
      </w:pPr>
    </w:p>
    <w:p>
      <w:pPr>
        <w:jc w:val="both"/>
        <w:ind w:left="1500" w:hanging="748"/>
        <w:spacing w:after="0" w:line="245" w:lineRule="auto"/>
        <w:rPr>
          <w:sz w:val="20"/>
          <w:szCs w:val="20"/>
          <w:color w:val="auto"/>
        </w:rPr>
      </w:pPr>
      <w:r>
        <w:rPr>
          <w:rFonts w:ascii="Arial" w:cs="Arial" w:eastAsia="Arial" w:hAnsi="Arial"/>
          <w:sz w:val="22"/>
          <w:szCs w:val="22"/>
          <w:color w:val="auto"/>
        </w:rPr>
        <w:t xml:space="preserve">12.1.1. </w:t>
      </w:r>
      <w:r>
        <w:rPr>
          <w:rFonts w:ascii="Arial" w:cs="Arial" w:eastAsia="Arial" w:hAnsi="Arial"/>
          <w:sz w:val="17"/>
          <w:szCs w:val="17"/>
          <w:color w:val="auto"/>
        </w:rPr>
        <w:t>Subject to the remainder of this Article 12 (Indemnification) Rani will defend, indemnify, and hold harmless Celltrion, its Affiliates,</w:t>
      </w:r>
      <w:r>
        <w:rPr>
          <w:rFonts w:ascii="Arial" w:cs="Arial" w:eastAsia="Arial" w:hAnsi="Arial"/>
          <w:sz w:val="22"/>
          <w:szCs w:val="22"/>
          <w:color w:val="auto"/>
        </w:rPr>
        <w:t xml:space="preserve"> </w:t>
      </w:r>
      <w:r>
        <w:rPr>
          <w:rFonts w:ascii="Arial" w:cs="Arial" w:eastAsia="Arial" w:hAnsi="Arial"/>
          <w:sz w:val="17"/>
          <w:szCs w:val="17"/>
          <w:color w:val="auto"/>
        </w:rPr>
        <w:t xml:space="preserve">and their respective directors, officers, employees and agents (solely to the extent acting within their agency) (collectively, </w:t>
      </w:r>
      <w:r>
        <w:rPr>
          <w:rFonts w:ascii="Arial" w:cs="Arial" w:eastAsia="Arial" w:hAnsi="Arial"/>
          <w:sz w:val="17"/>
          <w:szCs w:val="17"/>
          <w:i w:val="1"/>
          <w:iCs w:val="1"/>
          <w:color w:val="auto"/>
        </w:rPr>
        <w:t>“Celltrion</w:t>
      </w:r>
      <w:r>
        <w:rPr>
          <w:rFonts w:ascii="Arial" w:cs="Arial" w:eastAsia="Arial" w:hAnsi="Arial"/>
          <w:sz w:val="17"/>
          <w:szCs w:val="17"/>
          <w:color w:val="auto"/>
        </w:rPr>
        <w:t xml:space="preserve"> </w:t>
      </w:r>
      <w:r>
        <w:rPr>
          <w:rFonts w:ascii="Arial" w:cs="Arial" w:eastAsia="Arial" w:hAnsi="Arial"/>
          <w:sz w:val="17"/>
          <w:szCs w:val="17"/>
          <w:i w:val="1"/>
          <w:iCs w:val="1"/>
          <w:color w:val="auto"/>
        </w:rPr>
        <w:t>Indemnitees”</w:t>
      </w:r>
      <w:r>
        <w:rPr>
          <w:rFonts w:ascii="Arial" w:cs="Arial" w:eastAsia="Arial" w:hAnsi="Arial"/>
          <w:sz w:val="17"/>
          <w:szCs w:val="17"/>
          <w:color w:val="auto"/>
        </w:rPr>
        <w:t>), at Rani’s cost and expense, from and against any and all liabilities, losses, costs, damages, fees or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(collectively, </w:t>
      </w:r>
      <w:r>
        <w:rPr>
          <w:rFonts w:ascii="Arial" w:cs="Arial" w:eastAsia="Arial" w:hAnsi="Arial"/>
          <w:sz w:val="17"/>
          <w:szCs w:val="17"/>
          <w:i w:val="1"/>
          <w:iCs w:val="1"/>
          <w:color w:val="auto"/>
        </w:rPr>
        <w:t>“Losses”</w:t>
      </w:r>
      <w:r>
        <w:rPr>
          <w:rFonts w:ascii="Arial" w:cs="Arial" w:eastAsia="Arial" w:hAnsi="Arial"/>
          <w:sz w:val="17"/>
          <w:szCs w:val="17"/>
          <w:color w:val="auto"/>
        </w:rPr>
        <w:t>) (including reasonable legal expenses and attorneys’ fees incurred by any</w:t>
      </w:r>
    </w:p>
    <w:p>
      <w:pPr>
        <w:spacing w:after="0" w:line="239"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18</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8" w:name="page179"/>
    <w:bookmarkEnd w:id="178"/>
    <w:p>
      <w:pPr>
        <w:jc w:val="both"/>
        <w:ind w:left="1500"/>
        <w:spacing w:after="0" w:line="290" w:lineRule="auto"/>
        <w:rPr>
          <w:sz w:val="20"/>
          <w:szCs w:val="20"/>
          <w:color w:val="auto"/>
        </w:rPr>
      </w:pPr>
      <w:r>
        <w:rPr>
          <w:rFonts w:ascii="Arial" w:cs="Arial" w:eastAsia="Arial" w:hAnsi="Arial"/>
          <w:sz w:val="16"/>
          <w:szCs w:val="16"/>
          <w:color w:val="auto"/>
        </w:rPr>
        <w:t xml:space="preserve">Celltrion Indemnitees until such time as Rani has acknowledged and assumed its indemnification obligation hereunder with respect to the applicable Claim) arising out of any claim, action, lawsuit, or other proceeding (collectively, </w:t>
      </w:r>
      <w:r>
        <w:rPr>
          <w:rFonts w:ascii="Arial" w:cs="Arial" w:eastAsia="Arial" w:hAnsi="Arial"/>
          <w:sz w:val="16"/>
          <w:szCs w:val="16"/>
          <w:i w:val="1"/>
          <w:iCs w:val="1"/>
          <w:color w:val="auto"/>
        </w:rPr>
        <w:t>“Claims”</w:t>
      </w:r>
      <w:r>
        <w:rPr>
          <w:rFonts w:ascii="Arial" w:cs="Arial" w:eastAsia="Arial" w:hAnsi="Arial"/>
          <w:sz w:val="16"/>
          <w:szCs w:val="16"/>
          <w:color w:val="auto"/>
        </w:rPr>
        <w:t>) brought against any Celltrion Indemnitee by a Third Party to the extent such Losses result from (a) the negligence or willful misconduct of Rani, its Affiliates or agents in performing under this Agreement, (b) a breach by Rani of this Agreement, including any failure of Rani’s representations or warranties in Section 10.1 (Mutual Representations and Warranties) and Section 10.3 (Rani Representations and Warranties) to be true, or (c) Rani’s, its Affiliate’s or its licensee’s development, manufacture or commercialization of the Product, including product liability related to Product except to the extent related to Drug Product and/or Drug Substance manufacturing defects; but in each case above excluding such Losses to the extent they arise from (a), (b) or (c) of Section 12.1.2 below.</w:t>
      </w:r>
    </w:p>
    <w:p>
      <w:pPr>
        <w:spacing w:after="0" w:line="50" w:lineRule="exact"/>
        <w:rPr>
          <w:sz w:val="20"/>
          <w:szCs w:val="20"/>
          <w:color w:val="auto"/>
        </w:rPr>
      </w:pPr>
    </w:p>
    <w:p>
      <w:pPr>
        <w:jc w:val="both"/>
        <w:ind w:left="1500" w:hanging="748"/>
        <w:spacing w:after="0" w:line="278"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16"/>
          <w:szCs w:val="16"/>
          <w:color w:val="auto"/>
        </w:rPr>
        <w:t>Subject to the remainder of this Article 12 (Indemnification), Celltrion will defend, indemnify, and hold harmless Rani, its Affiliates,</w:t>
      </w:r>
      <w:r>
        <w:rPr>
          <w:rFonts w:ascii="Arial" w:cs="Arial" w:eastAsia="Arial" w:hAnsi="Arial"/>
          <w:sz w:val="21"/>
          <w:szCs w:val="21"/>
          <w:color w:val="auto"/>
        </w:rPr>
        <w:t xml:space="preserve"> </w:t>
      </w:r>
      <w:r>
        <w:rPr>
          <w:rFonts w:ascii="Arial" w:cs="Arial" w:eastAsia="Arial" w:hAnsi="Arial"/>
          <w:sz w:val="16"/>
          <w:szCs w:val="16"/>
          <w:color w:val="auto"/>
        </w:rPr>
        <w:t xml:space="preserve">and their respective directors, officers, employees and agents (solely to the extent acting within their agency) (collectively, </w:t>
      </w:r>
      <w:r>
        <w:rPr>
          <w:rFonts w:ascii="Arial" w:cs="Arial" w:eastAsia="Arial" w:hAnsi="Arial"/>
          <w:sz w:val="16"/>
          <w:szCs w:val="16"/>
          <w:i w:val="1"/>
          <w:iCs w:val="1"/>
          <w:color w:val="auto"/>
        </w:rPr>
        <w:t>“Rani</w:t>
      </w:r>
      <w:r>
        <w:rPr>
          <w:rFonts w:ascii="Arial" w:cs="Arial" w:eastAsia="Arial" w:hAnsi="Arial"/>
          <w:sz w:val="16"/>
          <w:szCs w:val="16"/>
          <w:color w:val="auto"/>
        </w:rPr>
        <w:t xml:space="preserve"> </w:t>
      </w:r>
      <w:r>
        <w:rPr>
          <w:rFonts w:ascii="Arial" w:cs="Arial" w:eastAsia="Arial" w:hAnsi="Arial"/>
          <w:sz w:val="16"/>
          <w:szCs w:val="16"/>
          <w:i w:val="1"/>
          <w:iCs w:val="1"/>
          <w:color w:val="auto"/>
        </w:rPr>
        <w:t>Indemnitees”</w:t>
      </w:r>
      <w:r>
        <w:rPr>
          <w:rFonts w:ascii="Arial" w:cs="Arial" w:eastAsia="Arial" w:hAnsi="Arial"/>
          <w:sz w:val="16"/>
          <w:szCs w:val="16"/>
          <w:color w:val="auto"/>
        </w:rPr>
        <w:t>), at Celltrion’s cost and expense, from and against any and all Losses (including reasonable legal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attorneys’ fees incurred by any Rani Indemnitees until such time as Celltrion has acknowledged and assumed its indemnification obligation hereunder with respect to the applicable Claim) arising out of any Claim brought against any Rani Indemnitee by a Third Party to the extent such Losses result from (a) the negligence or willful misconduct of Celltrion, or its Affiliates or agents in performing under this Agreement, (b) a breach by Celltrion of this Agreement, including any failure of Celltrion’s representations or warranties in Section 10.1 (Mutual Representations and Warranties) and 10.2 (Celltrion Representations and Warranties) to be true, or</w:t>
      </w:r>
    </w:p>
    <w:p>
      <w:pPr>
        <w:spacing w:after="0" w:line="5" w:lineRule="exact"/>
        <w:rPr>
          <w:sz w:val="20"/>
          <w:szCs w:val="20"/>
          <w:color w:val="auto"/>
        </w:rPr>
      </w:pPr>
    </w:p>
    <w:p>
      <w:pPr>
        <w:jc w:val="both"/>
        <w:ind w:left="1500" w:firstLine="6"/>
        <w:spacing w:after="0" w:line="281" w:lineRule="auto"/>
        <w:tabs>
          <w:tab w:leader="none" w:pos="175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Celltrion’s, its Affiliate’s or its licensee’s development, manufacture or commercialization of Drug or manufacturing defects with respect to Drug Product and/or Drug Substance; but in each case above excluding such Losses to the extent they arise from (a), (b) or</w:t>
      </w:r>
    </w:p>
    <w:p>
      <w:pPr>
        <w:spacing w:after="0" w:line="1" w:lineRule="exact"/>
        <w:rPr>
          <w:rFonts w:ascii="Arial" w:cs="Arial" w:eastAsia="Arial" w:hAnsi="Arial"/>
          <w:sz w:val="16"/>
          <w:szCs w:val="16"/>
          <w:color w:val="auto"/>
        </w:rPr>
      </w:pPr>
    </w:p>
    <w:p>
      <w:pPr>
        <w:ind w:left="1760" w:hanging="254"/>
        <w:spacing w:after="0"/>
        <w:tabs>
          <w:tab w:leader="none" w:pos="17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 Section 12.1.1 above.</w:t>
      </w:r>
    </w:p>
    <w:p>
      <w:pPr>
        <w:spacing w:after="0" w:line="96" w:lineRule="exact"/>
        <w:rPr>
          <w:sz w:val="20"/>
          <w:szCs w:val="20"/>
          <w:color w:val="auto"/>
        </w:rPr>
      </w:pPr>
    </w:p>
    <w:p>
      <w:pPr>
        <w:jc w:val="both"/>
        <w:ind w:left="760" w:hanging="748"/>
        <w:spacing w:after="0" w:line="268" w:lineRule="auto"/>
        <w:tabs>
          <w:tab w:leader="none" w:pos="7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7"/>
          <w:szCs w:val="17"/>
          <w:u w:val="single" w:color="auto"/>
          <w:color w:val="auto"/>
        </w:rPr>
        <w:t>Claim for Indemnification</w:t>
      </w:r>
      <w:r>
        <w:rPr>
          <w:rFonts w:ascii="Arial" w:cs="Arial" w:eastAsia="Arial" w:hAnsi="Arial"/>
          <w:sz w:val="17"/>
          <w:szCs w:val="17"/>
          <w:color w:val="auto"/>
        </w:rPr>
        <w:t>. A Rani Indemnitee or a Celltrion Indemnitee (the</w:t>
      </w:r>
      <w:r>
        <w:rPr>
          <w:rFonts w:ascii="Arial" w:cs="Arial" w:eastAsia="Arial" w:hAnsi="Arial"/>
          <w:sz w:val="17"/>
          <w:szCs w:val="17"/>
          <w:u w:val="single" w:color="auto"/>
          <w:color w:val="auto"/>
        </w:rPr>
        <w:t xml:space="preserve"> </w:t>
      </w:r>
      <w:r>
        <w:rPr>
          <w:rFonts w:ascii="Arial" w:cs="Arial" w:eastAsia="Arial" w:hAnsi="Arial"/>
          <w:sz w:val="17"/>
          <w:szCs w:val="17"/>
          <w:i w:val="1"/>
          <w:iCs w:val="1"/>
          <w:color w:val="auto"/>
        </w:rPr>
        <w:t>“Indemnified Party”</w:t>
      </w:r>
      <w:r>
        <w:rPr>
          <w:rFonts w:ascii="Arial" w:cs="Arial" w:eastAsia="Arial" w:hAnsi="Arial"/>
          <w:sz w:val="17"/>
          <w:szCs w:val="17"/>
          <w:color w:val="auto"/>
        </w:rPr>
        <w:t>) seeking indemnification under this Article 12</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(Indemnification) will promptly notify the other Party (the </w:t>
      </w:r>
      <w:r>
        <w:rPr>
          <w:rFonts w:ascii="Arial" w:cs="Arial" w:eastAsia="Arial" w:hAnsi="Arial"/>
          <w:sz w:val="17"/>
          <w:szCs w:val="17"/>
          <w:i w:val="1"/>
          <w:iCs w:val="1"/>
          <w:color w:val="auto"/>
        </w:rPr>
        <w:t>“Indemnifying Party”</w:t>
      </w:r>
      <w:r>
        <w:rPr>
          <w:rFonts w:ascii="Arial" w:cs="Arial" w:eastAsia="Arial" w:hAnsi="Arial"/>
          <w:sz w:val="17"/>
          <w:szCs w:val="17"/>
          <w:color w:val="auto"/>
        </w:rPr>
        <w:t xml:space="preserve">) of the Claim or Loss and, when known, the facts constituting the basis for the Claim;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failure by an Indemnified Party to give such notice or to otherwise meet its obligations under this Section 12.2 (Claim for Indemnification) will not relieve the Indemnifying Party of its indemnification obligation under this Agreement except to the extent that the Indemnifying Party is actually prejudiced as a result of such failure. Except as set forth below in this Section, the Indemnifying Party will have exclusive control of the defense and settlement of all Claims for which it is responsible for indemnification and will promptly assume defense thereof at its own expense. The Indemnified Party may, at its own expense, participate in the defense of a Claim with counsel of its own choosing. The Indemnified Party will not settle or compromise such Claim for which it is entitled to indemnification without the prior written consent of the Indemnifying Party, unless the Indemnifying Party is in breach of its obligation to defend hereunder. In no event will the Indemnifying Party settle any Claim without the prior written consent of the other Party if such settlement does not include a complete release from liability on such Claim or if such settlement would involve undertaking an obligation other than the payment of money, would bind or impair the other Party, or includes any admission of wrongdoing or that any intellectual property or proprietary right of the other Party is invalid or unenforceable. The Indemnified Party will reasonably cooperate with the Indemnifying Party at the Indemnifying Party's expense.</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13.</w:t>
      </w:r>
      <w:r>
        <w:rPr>
          <w:sz w:val="20"/>
          <w:szCs w:val="20"/>
          <w:color w:val="auto"/>
        </w:rPr>
        <w:tab/>
      </w:r>
      <w:r>
        <w:rPr>
          <w:rFonts w:ascii="Arial" w:cs="Arial" w:eastAsia="Arial" w:hAnsi="Arial"/>
          <w:sz w:val="18"/>
          <w:szCs w:val="18"/>
          <w:b w:val="1"/>
          <w:bCs w:val="1"/>
          <w:color w:val="auto"/>
        </w:rPr>
        <w:t>T</w:t>
      </w:r>
      <w:r>
        <w:rPr>
          <w:rFonts w:ascii="Arial" w:cs="Arial" w:eastAsia="Arial" w:hAnsi="Arial"/>
          <w:sz w:val="12"/>
          <w:szCs w:val="12"/>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w:t>
      </w:r>
    </w:p>
    <w:p>
      <w:pPr>
        <w:spacing w:after="0" w:line="172"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come into effect as of the Effective Date and remain in effect until terminated in accordance with this Article 13</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 and Termination).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as follows: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13.2.1.  </w:t>
      </w:r>
      <w:r>
        <w:rPr>
          <w:rFonts w:ascii="Arial" w:cs="Arial" w:eastAsia="Arial" w:hAnsi="Arial"/>
          <w:sz w:val="17"/>
          <w:szCs w:val="17"/>
          <w:i w:val="1"/>
          <w:iCs w:val="1"/>
          <w:color w:val="auto"/>
        </w:rPr>
        <w:t>Mutual Agreement</w:t>
      </w:r>
      <w:r>
        <w:rPr>
          <w:rFonts w:ascii="Arial" w:cs="Arial" w:eastAsia="Arial" w:hAnsi="Arial"/>
          <w:sz w:val="17"/>
          <w:szCs w:val="17"/>
          <w:color w:val="auto"/>
        </w:rPr>
        <w:t>. The Parties may terminate the Agreement at any time upon mutual agreement.</w:t>
      </w:r>
    </w:p>
    <w:p>
      <w:pPr>
        <w:spacing w:after="0" w:line="254"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9" w:name="page180"/>
    <w:bookmarkEnd w:id="179"/>
    <w:p>
      <w:pPr>
        <w:jc w:val="both"/>
        <w:ind w:left="1500" w:hanging="748"/>
        <w:spacing w:after="0" w:line="285" w:lineRule="auto"/>
        <w:rPr>
          <w:sz w:val="20"/>
          <w:szCs w:val="20"/>
          <w:color w:val="auto"/>
        </w:rPr>
      </w:pPr>
      <w:r>
        <w:rPr>
          <w:rFonts w:ascii="Arial" w:cs="Arial" w:eastAsia="Arial" w:hAnsi="Arial"/>
          <w:sz w:val="21"/>
          <w:szCs w:val="21"/>
          <w:color w:val="auto"/>
        </w:rPr>
        <w:t xml:space="preserve">13.2.2. </w:t>
      </w:r>
      <w:r>
        <w:rPr>
          <w:rFonts w:ascii="Arial" w:cs="Arial" w:eastAsia="Arial" w:hAnsi="Arial"/>
          <w:sz w:val="16"/>
          <w:szCs w:val="16"/>
          <w:i w:val="1"/>
          <w:iCs w:val="1"/>
          <w:color w:val="auto"/>
        </w:rPr>
        <w:t>Termination for Convenience.</w:t>
      </w:r>
      <w:r>
        <w:rPr>
          <w:rFonts w:ascii="Arial" w:cs="Arial" w:eastAsia="Arial" w:hAnsi="Arial"/>
          <w:sz w:val="21"/>
          <w:szCs w:val="21"/>
          <w:color w:val="auto"/>
        </w:rPr>
        <w:t xml:space="preserve"> </w:t>
      </w:r>
      <w:r>
        <w:rPr>
          <w:rFonts w:ascii="Arial" w:cs="Arial" w:eastAsia="Arial" w:hAnsi="Arial"/>
          <w:sz w:val="16"/>
          <w:szCs w:val="16"/>
          <w:color w:val="auto"/>
        </w:rPr>
        <w:t>Rani will have the right to terminate this Agreement at any time (a) prior to [*], upon [*] days’ prior</w:t>
      </w:r>
      <w:r>
        <w:rPr>
          <w:rFonts w:ascii="Arial" w:cs="Arial" w:eastAsia="Arial" w:hAnsi="Arial"/>
          <w:sz w:val="21"/>
          <w:szCs w:val="21"/>
          <w:color w:val="auto"/>
        </w:rPr>
        <w:t xml:space="preserve"> </w:t>
      </w:r>
      <w:r>
        <w:rPr>
          <w:rFonts w:ascii="Arial" w:cs="Arial" w:eastAsia="Arial" w:hAnsi="Arial"/>
          <w:sz w:val="16"/>
          <w:szCs w:val="16"/>
          <w:color w:val="auto"/>
        </w:rPr>
        <w:t>written notice to Celltrion, and (b) after [*], upon [*] days’ prior written notice to Celltrion. Notwithstanding the foregoing in this Section 13.2.2 (Termination for Convenience), prior to completing a Phase 1 Trial with Product, Rani may [*] Termination for convenience under this Section 13.2.2 shall not terminate automatically any definitive agreement entered into between the Parties following exercise of the ROFN (as set forth in Section 5 (Right of First Negotiation)) and/or the Commercial Supply Agreement.</w:t>
      </w:r>
    </w:p>
    <w:p>
      <w:pPr>
        <w:spacing w:after="0" w:line="5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 xml:space="preserve">13.2.3.  </w:t>
      </w:r>
      <w:r>
        <w:rPr>
          <w:rFonts w:ascii="Arial" w:cs="Arial" w:eastAsia="Arial" w:hAnsi="Arial"/>
          <w:sz w:val="16"/>
          <w:szCs w:val="16"/>
          <w:i w:val="1"/>
          <w:iCs w:val="1"/>
          <w:color w:val="auto"/>
        </w:rPr>
        <w:t>Phase 1 Delay.</w:t>
      </w:r>
      <w:r>
        <w:rPr>
          <w:rFonts w:ascii="Arial" w:cs="Arial" w:eastAsia="Arial" w:hAnsi="Arial"/>
          <w:sz w:val="21"/>
          <w:szCs w:val="21"/>
          <w:color w:val="auto"/>
        </w:rPr>
        <w:t xml:space="preserve"> </w:t>
      </w:r>
      <w:r>
        <w:rPr>
          <w:rFonts w:ascii="Arial" w:cs="Arial" w:eastAsia="Arial" w:hAnsi="Arial"/>
          <w:sz w:val="16"/>
          <w:szCs w:val="16"/>
          <w:color w:val="auto"/>
        </w:rPr>
        <w:t>Celltrion will have the right to terminate this Agreement if Rani fails to (a) Initiate a Phase 1 Trial with Product [*], or</w:t>
      </w:r>
    </w:p>
    <w:p>
      <w:pPr>
        <w:spacing w:after="0" w:line="25" w:lineRule="exact"/>
        <w:rPr>
          <w:sz w:val="20"/>
          <w:szCs w:val="20"/>
          <w:color w:val="auto"/>
        </w:rPr>
      </w:pPr>
    </w:p>
    <w:p>
      <w:pPr>
        <w:jc w:val="both"/>
        <w:ind w:left="1500" w:firstLine="6"/>
        <w:spacing w:after="0" w:line="251" w:lineRule="auto"/>
        <w:tabs>
          <w:tab w:leader="none" w:pos="176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 the Phase 1 Data to Celltrion [*], in each case commencing from delivery of the full amount of Initial Supply to Rani that complies with the terms of this Agreement. For clarity, if such Phase 1 Trial has multiple parts (e.g., a part 2 repeat-dose portion), then for purposes of the preceding sentence the Phase 1 Data shall mean solely the data related to the single-dose or single-ascending dose portion of such trial, as applicable. Such period will be extended for any delays caused by Celltrion, and if requested by Rani Celltrion will consider in good faith an extension if there are delays caused by matters outside the Parties’ reasonable control. If Rani intends to extend such period for any delay it believes is caused by Celltrion, it will promptly notify Celltrion so the Parties can confirm or dispute such proposed extension.</w:t>
      </w:r>
    </w:p>
    <w:p>
      <w:pPr>
        <w:spacing w:after="0" w:line="82" w:lineRule="exact"/>
        <w:rPr>
          <w:sz w:val="20"/>
          <w:szCs w:val="20"/>
          <w:color w:val="auto"/>
        </w:rPr>
      </w:pPr>
    </w:p>
    <w:p>
      <w:pPr>
        <w:jc w:val="both"/>
        <w:ind w:left="1500" w:hanging="748"/>
        <w:spacing w:after="0" w:line="284" w:lineRule="auto"/>
        <w:rPr>
          <w:sz w:val="20"/>
          <w:szCs w:val="20"/>
          <w:color w:val="auto"/>
        </w:rPr>
      </w:pPr>
      <w:r>
        <w:rPr>
          <w:rFonts w:ascii="Arial" w:cs="Arial" w:eastAsia="Arial" w:hAnsi="Arial"/>
          <w:sz w:val="21"/>
          <w:szCs w:val="21"/>
          <w:color w:val="auto"/>
        </w:rPr>
        <w:t xml:space="preserve">13.2.4. </w:t>
      </w:r>
      <w:r>
        <w:rPr>
          <w:rFonts w:ascii="Arial" w:cs="Arial" w:eastAsia="Arial" w:hAnsi="Arial"/>
          <w:sz w:val="16"/>
          <w:szCs w:val="16"/>
          <w:i w:val="1"/>
          <w:iCs w:val="1"/>
          <w:color w:val="auto"/>
        </w:rPr>
        <w:t>Termination for Material Breach.</w:t>
      </w:r>
      <w:r>
        <w:rPr>
          <w:rFonts w:ascii="Arial" w:cs="Arial" w:eastAsia="Arial" w:hAnsi="Arial"/>
          <w:sz w:val="21"/>
          <w:szCs w:val="21"/>
          <w:color w:val="auto"/>
        </w:rPr>
        <w:t xml:space="preserve"> </w:t>
      </w:r>
      <w:r>
        <w:rPr>
          <w:rFonts w:ascii="Arial" w:cs="Arial" w:eastAsia="Arial" w:hAnsi="Arial"/>
          <w:sz w:val="16"/>
          <w:szCs w:val="16"/>
          <w:color w:val="auto"/>
        </w:rPr>
        <w:t>If either Party believes that the other Party is in material breach of this Agreement, then such Party</w:t>
      </w:r>
      <w:r>
        <w:rPr>
          <w:rFonts w:ascii="Arial" w:cs="Arial" w:eastAsia="Arial" w:hAnsi="Arial"/>
          <w:sz w:val="21"/>
          <w:szCs w:val="21"/>
          <w:color w:val="auto"/>
        </w:rPr>
        <w:t xml:space="preserve"> </w:t>
      </w:r>
      <w:r>
        <w:rPr>
          <w:rFonts w:ascii="Arial" w:cs="Arial" w:eastAsia="Arial" w:hAnsi="Arial"/>
          <w:sz w:val="16"/>
          <w:szCs w:val="16"/>
          <w:color w:val="auto"/>
        </w:rPr>
        <w:t xml:space="preserve">may deliver notice of such material breach (specifying the nature of the breach in reasonable detail) to the other Party. If the breaching Party (or its Affiliate) fails to cure such material breach within [*] days after the receipt of such notice (or [*] days with respect to any failure to pay amounts due hereunder), then the other Party will be permitted to terminate this Agreement by written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breaching Party notifies the other Party within such [*] day period (or [*] day period with respect to failure to pay</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due hereunder) that it disagrees in good faith with such asserted basis for termination, this Agreement will not terminate unless and until the matter has been finally resolved in accordance with Section 14.3 (Governing Law; Arbitration).</w:t>
      </w:r>
    </w:p>
    <w:p>
      <w:pPr>
        <w:spacing w:after="0" w:line="55" w:lineRule="exact"/>
        <w:rPr>
          <w:sz w:val="20"/>
          <w:szCs w:val="20"/>
          <w:color w:val="auto"/>
        </w:rPr>
      </w:pPr>
    </w:p>
    <w:p>
      <w:pPr>
        <w:jc w:val="both"/>
        <w:ind w:left="1500" w:hanging="748"/>
        <w:spacing w:after="0" w:line="249" w:lineRule="auto"/>
        <w:rPr>
          <w:sz w:val="20"/>
          <w:szCs w:val="20"/>
          <w:color w:val="auto"/>
        </w:rPr>
      </w:pPr>
      <w:r>
        <w:rPr>
          <w:rFonts w:ascii="Arial" w:cs="Arial" w:eastAsia="Arial" w:hAnsi="Arial"/>
          <w:sz w:val="22"/>
          <w:szCs w:val="22"/>
          <w:color w:val="auto"/>
        </w:rPr>
        <w:t xml:space="preserve">13.2.5. </w:t>
      </w:r>
      <w:r>
        <w:rPr>
          <w:rFonts w:ascii="Arial" w:cs="Arial" w:eastAsia="Arial" w:hAnsi="Arial"/>
          <w:sz w:val="17"/>
          <w:szCs w:val="17"/>
          <w:i w:val="1"/>
          <w:iCs w:val="1"/>
          <w:color w:val="auto"/>
        </w:rPr>
        <w:t>Termination for Safety Concerns</w:t>
      </w:r>
      <w:r>
        <w:rPr>
          <w:rFonts w:ascii="Arial" w:cs="Arial" w:eastAsia="Arial" w:hAnsi="Arial"/>
          <w:sz w:val="17"/>
          <w:szCs w:val="17"/>
          <w:color w:val="auto"/>
        </w:rPr>
        <w:t>. If either Party has a serious concern about the safety of Drug Product, Drug Substance or Product,</w:t>
      </w:r>
      <w:r>
        <w:rPr>
          <w:rFonts w:ascii="Arial" w:cs="Arial" w:eastAsia="Arial" w:hAnsi="Arial"/>
          <w:sz w:val="22"/>
          <w:szCs w:val="22"/>
          <w:color w:val="auto"/>
        </w:rPr>
        <w:t xml:space="preserve"> </w:t>
      </w:r>
      <w:r>
        <w:rPr>
          <w:rFonts w:ascii="Arial" w:cs="Arial" w:eastAsia="Arial" w:hAnsi="Arial"/>
          <w:sz w:val="17"/>
          <w:szCs w:val="17"/>
          <w:color w:val="auto"/>
        </w:rPr>
        <w:t>taking into consideration the balance of harm and benefit to patients, the Parties will seek to resolve such concern in good faith. If the Parties are not able to resolve the concern, either Party may raise the matter for discussion between senior executives of the Parties (or their designees), and the Parties will use reasonable efforts to cause their senior executives (or designees) to meet promptly to discuss such concern. If after such senior executives (or designees) meet, [*]</w:t>
      </w:r>
    </w:p>
    <w:p>
      <w:pPr>
        <w:spacing w:after="0" w:line="82" w:lineRule="exact"/>
        <w:rPr>
          <w:sz w:val="20"/>
          <w:szCs w:val="20"/>
          <w:color w:val="auto"/>
        </w:rPr>
      </w:pPr>
    </w:p>
    <w:p>
      <w:pPr>
        <w:jc w:val="both"/>
        <w:ind w:left="760" w:hanging="748"/>
        <w:spacing w:after="0" w:line="290" w:lineRule="auto"/>
        <w:tabs>
          <w:tab w:leader="none" w:pos="7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 In the event of any termination of this Agreement: (a) any liabilities previously accrued will survive; (b) the rights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licenses granted by one Party to the other Party hereunder will terminate, unless expressly stated to survive in Section 13.4 (Surviving Provisions); (c) each Party will return to the other Party or destroy all Confidential Information of the other Party (provided that, each Party is entitled to retain one (1) copy for archival and compliance purposes, and as required by applicable Law or regulatory requirement or as otherwise permitted by this Agreement); and (d) in the case of a termination for convenience under Section 13.2.2, Rani will pay Celltrion for any supply of DP and/or DS or in-process supply of DP and/or DS as of such time, which was manufactured in response to a Rani Order delivered prior to such notice of termination. Rani shall have the right to use any remaining inventory of DP and/or DS in its possession as of the termination date, subject to and in accordance with the terms of this Agreement, which shall survive termination with respect to such use.</w:t>
      </w:r>
    </w:p>
    <w:p>
      <w:pPr>
        <w:spacing w:after="0" w:line="84" w:lineRule="exact"/>
        <w:rPr>
          <w:sz w:val="20"/>
          <w:szCs w:val="20"/>
          <w:color w:val="auto"/>
        </w:rPr>
      </w:pPr>
    </w:p>
    <w:p>
      <w:pPr>
        <w:jc w:val="both"/>
        <w:ind w:left="760" w:hanging="748"/>
        <w:spacing w:after="0" w:line="311" w:lineRule="auto"/>
        <w:tabs>
          <w:tab w:leader="none" w:pos="7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6"/>
          <w:szCs w:val="16"/>
          <w:u w:val="single" w:color="auto"/>
          <w:color w:val="auto"/>
        </w:rPr>
        <w:t>Surviving Provisions</w:t>
      </w:r>
      <w:r>
        <w:rPr>
          <w:rFonts w:ascii="Arial" w:cs="Arial" w:eastAsia="Arial" w:hAnsi="Arial"/>
          <w:sz w:val="16"/>
          <w:szCs w:val="16"/>
          <w:color w:val="auto"/>
        </w:rPr>
        <w:t>. In addition to any provisions herein that are expressly stated to survive termination, in the event of any termination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the following provisions shall survive: Section 3.1(b) (License to Rani) and 3.2 (Licensed Information) solely with respect to Licensed Information incorporated, used or referenced in Rani Regulatory Filings, Regulatory Approvals, program materials or the program as</w:t>
      </w:r>
    </w:p>
    <w:p>
      <w:pPr>
        <w:spacing w:after="0" w:line="223"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80" w:name="page181"/>
    <w:bookmarkEnd w:id="180"/>
    <w:p>
      <w:pPr>
        <w:ind w:left="760"/>
        <w:spacing w:after="0" w:line="277" w:lineRule="auto"/>
        <w:rPr>
          <w:sz w:val="20"/>
          <w:szCs w:val="20"/>
          <w:color w:val="auto"/>
        </w:rPr>
      </w:pPr>
      <w:r>
        <w:rPr>
          <w:rFonts w:ascii="Arial" w:cs="Arial" w:eastAsia="Arial" w:hAnsi="Arial"/>
          <w:sz w:val="18"/>
          <w:szCs w:val="18"/>
          <w:color w:val="auto"/>
        </w:rPr>
        <w:t>of the date of termination, 8.1.2 (License), Article 9 (Confidentiality and Publications), Article 11 (Limitations of Liability; Insurance); Article 12 (Indemnification); Article 13 (Term and Termination) and Article 14 (Miscellaneous).</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5"/>
          <w:szCs w:val="25"/>
          <w:b w:val="1"/>
          <w:bCs w:val="1"/>
          <w:color w:val="auto"/>
        </w:rPr>
        <w:t>14.</w:t>
      </w:r>
      <w:r>
        <w:rPr>
          <w:sz w:val="20"/>
          <w:szCs w:val="20"/>
          <w:color w:val="auto"/>
        </w:rPr>
        <w:tab/>
      </w: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172" w:lineRule="exact"/>
        <w:rPr>
          <w:sz w:val="20"/>
          <w:szCs w:val="20"/>
          <w:color w:val="auto"/>
        </w:rPr>
      </w:pPr>
    </w:p>
    <w:p>
      <w:pPr>
        <w:jc w:val="both"/>
        <w:ind w:left="760" w:right="20" w:hanging="748"/>
        <w:spacing w:after="0" w:line="277" w:lineRule="auto"/>
        <w:tabs>
          <w:tab w:leader="none" w:pos="7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8"/>
          <w:szCs w:val="18"/>
          <w:u w:val="single" w:color="auto"/>
          <w:color w:val="auto"/>
        </w:rPr>
        <w:t>Affiliates</w:t>
      </w:r>
      <w:r>
        <w:rPr>
          <w:rFonts w:ascii="Arial" w:cs="Arial" w:eastAsia="Arial" w:hAnsi="Arial"/>
          <w:sz w:val="18"/>
          <w:szCs w:val="18"/>
          <w:color w:val="auto"/>
        </w:rPr>
        <w:t>. Each Party will have the right to exercise its rights and perform its obligations hereunder through its Affiliates; provided that,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will be responsible for its Affiliates’ performance hereunder.</w:t>
      </w:r>
    </w:p>
    <w:p>
      <w:pPr>
        <w:spacing w:after="0" w:line="89" w:lineRule="exact"/>
        <w:rPr>
          <w:sz w:val="20"/>
          <w:szCs w:val="20"/>
          <w:color w:val="auto"/>
        </w:rPr>
      </w:pPr>
    </w:p>
    <w:p>
      <w:pPr>
        <w:jc w:val="both"/>
        <w:ind w:left="760" w:hanging="748"/>
        <w:spacing w:after="0" w:line="257" w:lineRule="auto"/>
        <w:tabs>
          <w:tab w:leader="none" w:pos="7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otherwise transfer this Agreement without the prior written consent of the other Party; however, either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Party may assign or transfer this Agreement to an Affiliate, or to a successor in connection with a merger, acquisition, or sale of substantially all its assets to which this Agreement relates. Any assignment not in accordance with this Agreement will be void ab initio. Subject to the foregoing, the rights and obligations of the Parties under this Agreement will be binding upon and inure to the benefit of the successors and permitted assigns of the Parties.</w:t>
      </w:r>
    </w:p>
    <w:p>
      <w:pPr>
        <w:spacing w:after="0" w:line="107" w:lineRule="exact"/>
        <w:rPr>
          <w:sz w:val="20"/>
          <w:szCs w:val="20"/>
          <w:color w:val="auto"/>
        </w:rPr>
      </w:pPr>
    </w:p>
    <w:p>
      <w:pPr>
        <w:jc w:val="both"/>
        <w:ind w:left="760" w:hanging="748"/>
        <w:spacing w:after="0" w:line="268" w:lineRule="auto"/>
        <w:tabs>
          <w:tab w:leader="none" w:pos="74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7"/>
          <w:szCs w:val="17"/>
          <w:u w:val="single" w:color="auto"/>
          <w:color w:val="auto"/>
        </w:rPr>
        <w:t>Governing Law; Arbitration</w:t>
      </w:r>
      <w:r>
        <w:rPr>
          <w:rFonts w:ascii="Arial" w:cs="Arial" w:eastAsia="Arial" w:hAnsi="Arial"/>
          <w:sz w:val="17"/>
          <w:szCs w:val="17"/>
          <w:color w:val="auto"/>
        </w:rPr>
        <w:t>. This Agreement shall be governed by, and enforced and construed in accordance with, the laws of the State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Delaware without regard to its conflicts of law provisions, except as to any issue which depends upon the validity, scope or enforceability of any Patent, which issue will be determined in accordance with the laws of the country in which such patent was issued. In the event of any controversy or dispute arising out of or relating to any provision of this Agreement, the construction, validity or breach thereof, the Parties will try in good faith to settle the same amicably between themselves. If they fail to reach a resolution amicably within thirty (30) days after giving notice of the dispute to the other Party, such controversy or dispute will be exclusively and finally settled by arbitration. Such arbitration will be held in [*] under the rules of the </w:t>
      </w:r>
      <w:r>
        <w:rPr>
          <w:rFonts w:ascii="Arial" w:cs="Arial" w:eastAsia="Arial" w:hAnsi="Arial"/>
          <w:sz w:val="17"/>
          <w:szCs w:val="17"/>
          <w:color w:val="282828"/>
        </w:rPr>
        <w:t>International Chamber of Commerce</w:t>
      </w:r>
      <w:r>
        <w:rPr>
          <w:rFonts w:ascii="Arial" w:cs="Arial" w:eastAsia="Arial" w:hAnsi="Arial"/>
          <w:sz w:val="17"/>
          <w:szCs w:val="17"/>
          <w:color w:val="auto"/>
        </w:rPr>
        <w:t>. The award of arbitration shall be final and binding upon both parties. The official language of the arbitration shall be English. The arbitration shall be decided by three (3) arbitrators. The arbitrators shall not have the power to grant any award or remedy other than such awards or remedies that are available under the applicable law. Notwithstanding the foregoing, each Party understands and agrees that a Party will be entitled to seek injunctive and/or equitable relief and enforcement of any arbitration award from the applicable courts in any appropriate jurisdiction. The Parties agree that a final judgment in any such matter will be conclusive and may be enforced in other jurisdictions by suits on the judgment or in any other manner provided by law. Any proceeding brought by either Party under this Agreement will be exclusively conducted in the English language. The United Nations Convention for the International Sale of Goods will not apply to the transactions contemplated herein.</w:t>
      </w:r>
    </w:p>
    <w:p>
      <w:pPr>
        <w:spacing w:after="0" w:line="103"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each acknowledge that they have had the advice of counsel with respect to this Agreement, that this Agreement has</w:t>
      </w:r>
      <w:r>
        <w:rPr>
          <w:rFonts w:ascii="Arial" w:cs="Arial" w:eastAsia="Arial" w:hAnsi="Arial"/>
          <w:sz w:val="17"/>
          <w:szCs w:val="17"/>
          <w:u w:val="single" w:color="auto"/>
          <w:color w:val="auto"/>
        </w:rPr>
        <w:t xml:space="preserve"> </w:t>
      </w:r>
      <w:r>
        <w:rPr>
          <w:rFonts w:ascii="Arial" w:cs="Arial" w:eastAsia="Arial" w:hAnsi="Arial"/>
          <w:sz w:val="17"/>
          <w:szCs w:val="17"/>
          <w:color w:val="auto"/>
        </w:rPr>
        <w:t>been jointly drafted, and that no rule of strict construction shall be applied in the interpretation hereof. Headings and captions are for convenience only and are not to be used in the interpretation of this Agreement. The words “include”, “includes” and “including” will be deemed to be followed by the phrase “without limitation”. The words “herein”, “hereof” and “hereunder”, and words of similar import, shall be construed to refer to this Agreement in its entirety and not to any particular provision hereof. All references herein to Articles, Sections, Schedules or Exhibits, unless otherwise specifically provided, will be construed to refer to Articles, Sections, Schedules or Exhibits of this Agreement. This Agreement has been executed in English, and the English version of this Agreement shall control. Unless otherwise agreed by the Parties, all information shared under this Agreement will be disclosed in the English language.</w:t>
      </w:r>
    </w:p>
    <w:p>
      <w:pPr>
        <w:spacing w:after="0" w:line="97"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with the same effect as if both Parties had signed the same document. All such</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counterparts shall be deemed an original, shall be construed together and shall constitute one and the same instrument. This Agreement </w:t>
      </w:r>
      <w:r>
        <w:rPr>
          <w:rFonts w:ascii="Arial" w:cs="Arial" w:eastAsia="Arial" w:hAnsi="Arial"/>
          <w:sz w:val="17"/>
          <w:szCs w:val="17"/>
          <w:color w:val="333333"/>
        </w:rPr>
        <w:t>may be</w:t>
      </w:r>
      <w:r>
        <w:rPr>
          <w:rFonts w:ascii="Arial" w:cs="Arial" w:eastAsia="Arial" w:hAnsi="Arial"/>
          <w:sz w:val="17"/>
          <w:szCs w:val="17"/>
          <w:color w:val="auto"/>
        </w:rPr>
        <w:t xml:space="preserve"> </w:t>
      </w:r>
      <w:r>
        <w:rPr>
          <w:rFonts w:ascii="Arial" w:cs="Arial" w:eastAsia="Arial" w:hAnsi="Arial"/>
          <w:sz w:val="17"/>
          <w:szCs w:val="17"/>
          <w:color w:val="333333"/>
        </w:rPr>
        <w:t>executed by electronic signatures (e.g., using DocuSign) or signatures transmitted by electronic means (e.g., facsimile, email, pdf format), each of which shall be deemed a valid and enforceable signature and means of delivery.</w:t>
      </w:r>
    </w:p>
    <w:p>
      <w:pPr>
        <w:spacing w:after="0" w:line="246"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1" w:name="page182"/>
    <w:bookmarkEnd w:id="181"/>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attached Appendices, Schedules and Exhibits, constitutes the entire agreement between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Parties as to the subject matter of this Agreement, and supersedes and merges all prior negotiations, representations, agreements and understandings regarding the same.</w:t>
      </w:r>
    </w:p>
    <w:p>
      <w:pPr>
        <w:spacing w:after="0" w:line="103" w:lineRule="exact"/>
        <w:rPr>
          <w:sz w:val="20"/>
          <w:szCs w:val="20"/>
          <w:color w:val="auto"/>
        </w:rPr>
      </w:pPr>
    </w:p>
    <w:p>
      <w:pPr>
        <w:jc w:val="both"/>
        <w:ind w:left="760" w:hanging="748"/>
        <w:spacing w:after="0" w:line="255" w:lineRule="auto"/>
        <w:tabs>
          <w:tab w:leader="none" w:pos="74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for delay or failure in the performance of any of its obligations hereunder if such delay or failure is</w:t>
      </w:r>
      <w:r>
        <w:rPr>
          <w:rFonts w:ascii="Arial" w:cs="Arial" w:eastAsia="Arial" w:hAnsi="Arial"/>
          <w:sz w:val="18"/>
          <w:szCs w:val="18"/>
          <w:u w:val="single" w:color="auto"/>
          <w:color w:val="auto"/>
        </w:rPr>
        <w:t xml:space="preserve"> </w:t>
      </w:r>
      <w:r>
        <w:rPr>
          <w:rFonts w:ascii="Arial" w:cs="Arial" w:eastAsia="Arial" w:hAnsi="Arial"/>
          <w:sz w:val="18"/>
          <w:szCs w:val="18"/>
          <w:color w:val="auto"/>
        </w:rPr>
        <w:t>due to causes beyond its reasonable control, including acts of God, fires, floods, earthquakes, labor strikes, acts of war, terrorism or civil unrest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affected Party promptly notifies the other Party in writing (and continues to provide monthly status updates to the other Party for the duration of the effect); </w:t>
      </w:r>
      <w:r>
        <w:rPr>
          <w:rFonts w:ascii="Arial" w:cs="Arial" w:eastAsia="Arial" w:hAnsi="Arial"/>
          <w:sz w:val="18"/>
          <w:szCs w:val="18"/>
          <w:i w:val="1"/>
          <w:iCs w:val="1"/>
          <w:color w:val="auto"/>
        </w:rPr>
        <w:t>and further provided</w:t>
      </w:r>
      <w:r>
        <w:rPr>
          <w:rFonts w:ascii="Arial" w:cs="Arial" w:eastAsia="Arial" w:hAnsi="Arial"/>
          <w:sz w:val="18"/>
          <w:szCs w:val="18"/>
          <w:color w:val="auto"/>
        </w:rPr>
        <w:t xml:space="preserve"> that the affected Party shall use its commercially reasonable efforts to avoid or remove such causes of non-performance and to mitigate the effect of such occurrence, and shall continue performance with reasonable dispatch whenever such causes are removed.</w:t>
      </w:r>
    </w:p>
    <w:p>
      <w:pPr>
        <w:spacing w:after="0" w:line="111"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do and perform all such further acts and things and shall execute and deliver such other agreements,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certificates, instruments and documents necessary or that the other Party may reasonably request in order to carry out the intent and accomplish the purposes of this Agreement and to evidence, perfect or otherwise confirm its rights hereunder.</w:t>
      </w:r>
    </w:p>
    <w:p>
      <w:pPr>
        <w:spacing w:after="0" w:line="103" w:lineRule="exact"/>
        <w:rPr>
          <w:sz w:val="20"/>
          <w:szCs w:val="20"/>
          <w:color w:val="auto"/>
        </w:rPr>
      </w:pPr>
    </w:p>
    <w:p>
      <w:pPr>
        <w:jc w:val="both"/>
        <w:ind w:left="760" w:hanging="748"/>
        <w:spacing w:after="0" w:line="277" w:lineRule="auto"/>
        <w:tabs>
          <w:tab w:leader="none" w:pos="7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8"/>
          <w:szCs w:val="18"/>
          <w:u w:val="single" w:color="auto"/>
          <w:color w:val="auto"/>
        </w:rPr>
        <w:t>No Set-Off</w:t>
      </w:r>
      <w:r>
        <w:rPr>
          <w:rFonts w:ascii="Arial" w:cs="Arial" w:eastAsia="Arial" w:hAnsi="Arial"/>
          <w:sz w:val="18"/>
          <w:szCs w:val="18"/>
          <w:color w:val="auto"/>
        </w:rPr>
        <w:t>. No Party shall have the right to deduct from amounts otherwise payable hereunder any amounts payable to such Party (or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Affiliates) from the other Party (or its Affiliates).</w:t>
      </w:r>
    </w:p>
    <w:p>
      <w:pPr>
        <w:spacing w:after="0" w:line="89" w:lineRule="exact"/>
        <w:rPr>
          <w:sz w:val="20"/>
          <w:szCs w:val="20"/>
          <w:color w:val="auto"/>
        </w:rPr>
      </w:pPr>
    </w:p>
    <w:p>
      <w:pPr>
        <w:jc w:val="both"/>
        <w:ind w:left="760" w:hanging="748"/>
        <w:spacing w:after="0" w:line="263" w:lineRule="auto"/>
        <w:tabs>
          <w:tab w:leader="none" w:pos="74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by this Agreement shall be in writing, in English, and shall be delivered by hand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overnight courier with tracking capabilities or mailed postage prepaid by registered or certified mail addressed as set forth below unless changed by notice so given:</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Celltrion:</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Celltrion, Inc.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19F, IBS Building, 263, Central-ro</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Yeonsu-gu, Incheon 22006</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Republic of Korea</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Attention: Business alliance team leader</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Telephone: [*]</w:t>
      </w: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Rani:</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Rani Therapeutics, LLC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2051 Ringwood Ave.</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Telephone: [*]</w:t>
      </w:r>
    </w:p>
    <w:p>
      <w:pPr>
        <w:spacing w:after="0" w:line="211" w:lineRule="exact"/>
        <w:rPr>
          <w:sz w:val="20"/>
          <w:szCs w:val="20"/>
          <w:color w:val="auto"/>
        </w:rPr>
      </w:pPr>
    </w:p>
    <w:p>
      <w:pPr>
        <w:jc w:val="both"/>
        <w:ind w:left="760"/>
        <w:spacing w:after="0" w:line="263" w:lineRule="auto"/>
        <w:rPr>
          <w:sz w:val="20"/>
          <w:szCs w:val="20"/>
          <w:color w:val="auto"/>
        </w:rPr>
      </w:pPr>
      <w:r>
        <w:rPr>
          <w:rFonts w:ascii="Arial" w:cs="Arial" w:eastAsia="Arial" w:hAnsi="Arial"/>
          <w:sz w:val="18"/>
          <w:szCs w:val="18"/>
          <w:color w:val="auto"/>
        </w:rPr>
        <w:t>Any such notice shall be deemed given on the date delivered. A Party may add, delete (so long as at least one person is remaining), or change the person or address to which notices should be sent at any time upon written notice delivered to the other Party in accordance with this Section 14.10 (Notices).</w:t>
      </w:r>
    </w:p>
    <w:p>
      <w:pPr>
        <w:spacing w:after="0" w:line="68"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Each Party is an independent contractor under this Agreement. Nothing contained herein is intended or is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construed so as to constitute Rani and Celltrion as partners, agents or joint venturers. Neither Party shall have any express or implied right or authority to assume or create any obligations on behalf of or in the name of the other Party or to bind the other Party to any contract, agreement or undertaking with any Third Party.</w:t>
      </w:r>
    </w:p>
    <w:p>
      <w:pPr>
        <w:spacing w:after="0" w:line="261"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82" w:name="page183"/>
    <w:bookmarkEnd w:id="182"/>
    <w:p>
      <w:pPr>
        <w:jc w:val="both"/>
        <w:ind w:left="760" w:hanging="748"/>
        <w:spacing w:after="0" w:line="259" w:lineRule="auto"/>
        <w:tabs>
          <w:tab w:leader="none" w:pos="740" w:val="left"/>
        </w:tabs>
        <w:rPr>
          <w:sz w:val="20"/>
          <w:szCs w:val="20"/>
          <w:color w:val="auto"/>
        </w:rPr>
      </w:pPr>
      <w:r>
        <w:rPr>
          <w:rFonts w:ascii="Arial" w:cs="Arial" w:eastAsia="Arial" w:hAnsi="Arial"/>
          <w:sz w:val="22"/>
          <w:szCs w:val="22"/>
          <w:color w:val="auto"/>
        </w:rPr>
        <w:t>14.12.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of this Agreement is held to be invalid or unenforceable, the provision shall be considered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severed from this Agreement and shall not serve to invalidate any remaining provisions hereof. The Parties shall negotiate in good faith to replace any invalid or unenforceable provision with a valid and enforceable one such that the objectives contemplated by the Parties when entering this Agreement may be realized.</w:t>
      </w:r>
    </w:p>
    <w:p>
      <w:pPr>
        <w:spacing w:after="0" w:line="106" w:lineRule="exact"/>
        <w:rPr>
          <w:sz w:val="20"/>
          <w:szCs w:val="20"/>
          <w:color w:val="auto"/>
        </w:rPr>
      </w:pPr>
    </w:p>
    <w:p>
      <w:pPr>
        <w:jc w:val="both"/>
        <w:ind w:left="760" w:hanging="748"/>
        <w:spacing w:after="0" w:line="308" w:lineRule="auto"/>
        <w:tabs>
          <w:tab w:leader="none" w:pos="740" w:val="left"/>
        </w:tabs>
        <w:rPr>
          <w:sz w:val="20"/>
          <w:szCs w:val="20"/>
          <w:color w:val="auto"/>
        </w:rPr>
      </w:pPr>
      <w:r>
        <w:rPr>
          <w:rFonts w:ascii="Arial" w:cs="Arial" w:eastAsia="Arial" w:hAnsi="Arial"/>
          <w:sz w:val="22"/>
          <w:szCs w:val="22"/>
          <w:color w:val="auto"/>
        </w:rPr>
        <w:t>14.13.</w:t>
      </w:r>
      <w:r>
        <w:rPr>
          <w:sz w:val="20"/>
          <w:szCs w:val="20"/>
          <w:color w:val="auto"/>
        </w:rPr>
        <w:tab/>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Except as expressly provided with respect to Celltrion Indemnitees or Rani Indemnities in Article 12</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(Indemnification), there are no third-party beneficiaries intended hereunder and no Third Party shall have any right or obligation hereunder.</w:t>
      </w:r>
    </w:p>
    <w:p>
      <w:pPr>
        <w:spacing w:after="0" w:line="65" w:lineRule="exact"/>
        <w:rPr>
          <w:sz w:val="20"/>
          <w:szCs w:val="20"/>
          <w:color w:val="auto"/>
        </w:rPr>
      </w:pPr>
    </w:p>
    <w:p>
      <w:pPr>
        <w:jc w:val="both"/>
        <w:ind w:left="760" w:hanging="748"/>
        <w:spacing w:after="0" w:line="279" w:lineRule="auto"/>
        <w:tabs>
          <w:tab w:leader="none" w:pos="74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7"/>
          <w:szCs w:val="17"/>
          <w:u w:val="single" w:color="auto"/>
          <w:color w:val="auto"/>
        </w:rPr>
        <w:t>Waivers and Modifications</w:t>
      </w:r>
      <w:r>
        <w:rPr>
          <w:rFonts w:ascii="Arial" w:cs="Arial" w:eastAsia="Arial" w:hAnsi="Arial"/>
          <w:sz w:val="17"/>
          <w:szCs w:val="17"/>
          <w:color w:val="auto"/>
        </w:rPr>
        <w:t>. The failure of any Party to insist on the performance of any obligation hereunder shall not be deemed to be a waiver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of such obligation. Waiver of any breach of any provision hereof shall not be deemed to be a waiver of any other breach of such provision or any other provision on such occasion or any other occasion. No waiver, modification, release or amendment of any right or obligation under or provision of this Agreement shall be valid or effective unless in writing and signed by all Parties hereto.</w:t>
      </w:r>
    </w:p>
    <w:p>
      <w:pPr>
        <w:spacing w:after="0" w:line="97"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(Signature page follows)</w:t>
      </w:r>
    </w:p>
    <w:p>
      <w:pPr>
        <w:spacing w:after="0" w:line="251" w:lineRule="exact"/>
        <w:rPr>
          <w:sz w:val="20"/>
          <w:szCs w:val="20"/>
          <w:color w:val="auto"/>
        </w:rPr>
      </w:pPr>
    </w:p>
    <w:p>
      <w:pPr>
        <w:ind w:left="60"/>
        <w:spacing w:after="0"/>
        <w:tabs>
          <w:tab w:leader="none" w:pos="1052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Page 23</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83" w:name="page184"/>
    <w:bookmarkEnd w:id="183"/>
    <w:p>
      <w:pPr>
        <w:ind w:left="760"/>
        <w:spacing w:after="0"/>
        <w:rPr>
          <w:sz w:val="20"/>
          <w:szCs w:val="20"/>
          <w:color w:val="auto"/>
        </w:rPr>
      </w:pPr>
      <w:r>
        <w:rPr>
          <w:rFonts w:ascii="Arial" w:cs="Arial" w:eastAsia="Arial" w:hAnsi="Arial"/>
          <w:sz w:val="18"/>
          <w:szCs w:val="18"/>
          <w:color w:val="auto"/>
        </w:rPr>
        <w:t>IN WITNESS WHEREOF, the Parties have executed this License and Supply Agreement as of the Effective Date.</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RANI THERAPEUTICS, LLC</w:t>
            </w:r>
          </w:p>
        </w:tc>
        <w:tc>
          <w:tcPr>
            <w:tcW w:w="6340" w:type="dxa"/>
            <w:vAlign w:val="bottom"/>
            <w:gridSpan w:val="2"/>
          </w:tcPr>
          <w:p>
            <w:pPr>
              <w:ind w:left="1580"/>
              <w:spacing w:after="0"/>
              <w:rPr>
                <w:sz w:val="20"/>
                <w:szCs w:val="20"/>
                <w:color w:val="auto"/>
              </w:rPr>
            </w:pPr>
            <w:r>
              <w:rPr>
                <w:rFonts w:ascii="Arial" w:cs="Arial" w:eastAsia="Arial" w:hAnsi="Arial"/>
                <w:sz w:val="18"/>
                <w:szCs w:val="18"/>
                <w:b w:val="1"/>
                <w:bCs w:val="1"/>
                <w:color w:val="auto"/>
              </w:rPr>
              <w:t>CELLTRION, INC.</w:t>
            </w:r>
          </w:p>
        </w:tc>
      </w:tr>
      <w:tr>
        <w:trPr>
          <w:trHeight w:val="736"/>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2460" w:type="dxa"/>
            <w:vAlign w:val="bottom"/>
          </w:tcPr>
          <w:p>
            <w:pPr>
              <w:ind w:left="15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Woo Sung Kee</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Talat Imran</w:t>
            </w:r>
          </w:p>
        </w:tc>
        <w:tc>
          <w:tcPr>
            <w:tcW w:w="2460" w:type="dxa"/>
            <w:vAlign w:val="bottom"/>
          </w:tcPr>
          <w:p>
            <w:pPr>
              <w:ind w:left="158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Woo Sung Kee</w:t>
            </w:r>
          </w:p>
        </w:tc>
      </w:tr>
      <w:tr>
        <w:trPr>
          <w:trHeight w:val="242"/>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60" w:type="dxa"/>
            <w:vAlign w:val="bottom"/>
          </w:tcPr>
          <w:p>
            <w:pPr>
              <w:ind w:left="158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Press Release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Supply Price Schedule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Appendix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FTE Rate Schedule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20" w:type="dxa"/>
            <w:vAlign w:val="bottom"/>
            <w:gridSpan w:val="3"/>
          </w:tcPr>
          <w:p>
            <w:pPr>
              <w:ind w:left="480"/>
              <w:spacing w:after="0"/>
              <w:rPr>
                <w:sz w:val="20"/>
                <w:szCs w:val="20"/>
                <w:color w:val="auto"/>
              </w:rPr>
            </w:pPr>
            <w:r>
              <w:rPr>
                <w:rFonts w:ascii="Arial" w:cs="Arial" w:eastAsia="Arial" w:hAnsi="Arial"/>
                <w:sz w:val="18"/>
                <w:szCs w:val="18"/>
                <w:b w:val="1"/>
                <w:bCs w:val="1"/>
                <w:color w:val="auto"/>
              </w:rPr>
              <w:t>List of subsidiaries of Rani Therapeutics Holdings, Inc.</w:t>
            </w:r>
          </w:p>
        </w:tc>
      </w:tr>
      <w:tr>
        <w:trPr>
          <w:trHeight w:val="405"/>
        </w:trPr>
        <w:tc>
          <w:tcPr>
            <w:tcW w:w="78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333333"/>
                <w:w w:val="90"/>
              </w:rPr>
              <w:t>Name of Subsidiary</w:t>
            </w:r>
          </w:p>
        </w:tc>
        <w:tc>
          <w:tcPr>
            <w:tcW w:w="800" w:type="dxa"/>
            <w:vAlign w:val="bottom"/>
          </w:tcPr>
          <w:p>
            <w:pPr>
              <w:spacing w:after="0"/>
              <w:rPr>
                <w:sz w:val="24"/>
                <w:szCs w:val="24"/>
                <w:color w:val="auto"/>
              </w:rPr>
            </w:pPr>
          </w:p>
        </w:tc>
        <w:tc>
          <w:tcPr>
            <w:tcW w:w="8220" w:type="dxa"/>
            <w:vAlign w:val="bottom"/>
            <w:gridSpan w:val="3"/>
          </w:tcPr>
          <w:p>
            <w:pPr>
              <w:ind w:left="2060"/>
              <w:spacing w:after="0"/>
              <w:rPr>
                <w:sz w:val="20"/>
                <w:szCs w:val="20"/>
                <w:color w:val="auto"/>
              </w:rPr>
            </w:pPr>
            <w:r>
              <w:rPr>
                <w:rFonts w:ascii="Arial" w:cs="Arial" w:eastAsia="Arial" w:hAnsi="Arial"/>
                <w:sz w:val="18"/>
                <w:szCs w:val="18"/>
                <w:color w:val="333333"/>
              </w:rPr>
              <w:t>Jurisdiction of Organization</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33333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20" w:type="dxa"/>
            <w:vAlign w:val="bottom"/>
            <w:shd w:val="clear" w:color="auto" w:fill="333333"/>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79"/>
        </w:trPr>
        <w:tc>
          <w:tcPr>
            <w:tcW w:w="78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333333"/>
              </w:rPr>
              <w:t>Rani Therapeutics, LLC</w:t>
            </w:r>
          </w:p>
        </w:tc>
        <w:tc>
          <w:tcPr>
            <w:tcW w:w="8220" w:type="dxa"/>
            <w:vAlign w:val="bottom"/>
            <w:gridSpan w:val="3"/>
          </w:tcPr>
          <w:p>
            <w:pPr>
              <w:ind w:left="2060"/>
              <w:spacing w:after="0"/>
              <w:rPr>
                <w:sz w:val="20"/>
                <w:szCs w:val="20"/>
                <w:color w:val="auto"/>
              </w:rPr>
            </w:pPr>
            <w:r>
              <w:rPr>
                <w:rFonts w:ascii="Arial" w:cs="Arial" w:eastAsia="Arial" w:hAnsi="Arial"/>
                <w:sz w:val="18"/>
                <w:szCs w:val="18"/>
                <w:color w:val="333333"/>
              </w:rPr>
              <w:t>California, United States of America</w:t>
            </w:r>
          </w:p>
        </w:tc>
      </w:tr>
      <w:tr>
        <w:trPr>
          <w:trHeight w:val="561"/>
        </w:trPr>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33" w:lineRule="exact"/>
        <w:rPr>
          <w:sz w:val="20"/>
          <w:szCs w:val="20"/>
          <w:color w:val="auto"/>
        </w:rPr>
      </w:pPr>
    </w:p>
    <w:p>
      <w:pPr>
        <w:ind w:left="1020" w:hanging="503"/>
        <w:spacing w:after="0"/>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Registration Statements (Form S-3 Nos. 333-266444 and 333-268855) of Rani Therapeutics Holdings, Inc., and</w:t>
      </w:r>
    </w:p>
    <w:p>
      <w:pPr>
        <w:spacing w:after="0" w:line="117" w:lineRule="exact"/>
        <w:rPr>
          <w:rFonts w:ascii="Arial" w:cs="Arial" w:eastAsia="Arial" w:hAnsi="Arial"/>
          <w:sz w:val="18"/>
          <w:szCs w:val="18"/>
          <w:color w:val="auto"/>
        </w:rPr>
      </w:pPr>
    </w:p>
    <w:p>
      <w:pPr>
        <w:ind w:left="1020" w:right="460" w:hanging="503"/>
        <w:spacing w:after="0" w:line="263" w:lineRule="auto"/>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Registration Statements (Form S-8 Nos. 333-258415 and 333-264018) pertaining to the Rani Therapeutics Holdings, Inc. 2021 Equity Incentive Plan, the Rani Therapeutics Holdings, Inc. 2021 Employee Stock Purchase Plan and the Rani Therapeutics, LLC 2016 Equity Incentive Plan of Rani Therapeutics Holdings, Inc.;</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of our report dated March 22, 2023, with respect to the consolidated financial statements of Rani Therapeutics Holdings, Inc. included in this Annual Report (Form 10-K) of Rani Therapeutics Holdings, Inc. for the year ended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Talat Imran, certify that:</w:t>
      </w:r>
    </w:p>
    <w:p>
      <w:pPr>
        <w:spacing w:after="0" w:line="225" w:lineRule="exact"/>
        <w:rPr>
          <w:sz w:val="20"/>
          <w:szCs w:val="20"/>
          <w:color w:val="auto"/>
        </w:rPr>
      </w:pPr>
    </w:p>
    <w:p>
      <w:pPr>
        <w:ind w:left="760" w:hanging="752"/>
        <w:spacing w:after="0"/>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Rani Therapeutics Holdings, Inc.;</w:t>
      </w:r>
    </w:p>
    <w:p>
      <w:pPr>
        <w:spacing w:after="0" w:line="225"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22, 2023</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Talat Imran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ind w:left="45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86360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Svai Sanford, certify that:</w:t>
      </w:r>
    </w:p>
    <w:p>
      <w:pPr>
        <w:spacing w:after="0" w:line="225" w:lineRule="exact"/>
        <w:rPr>
          <w:sz w:val="20"/>
          <w:szCs w:val="20"/>
          <w:color w:val="auto"/>
        </w:rPr>
      </w:pPr>
    </w:p>
    <w:p>
      <w:pPr>
        <w:ind w:left="760" w:hanging="752"/>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Rani Therapeutics Holdings, Inc.;</w:t>
      </w:r>
    </w:p>
    <w:p>
      <w:pPr>
        <w:spacing w:after="0" w:line="225" w:lineRule="exact"/>
        <w:rPr>
          <w:rFonts w:ascii="Arial" w:cs="Arial" w:eastAsia="Arial" w:hAnsi="Arial"/>
          <w:sz w:val="18"/>
          <w:szCs w:val="18"/>
          <w:color w:val="auto"/>
        </w:rPr>
      </w:pPr>
    </w:p>
    <w:p>
      <w:pPr>
        <w:jc w:val="both"/>
        <w:ind w:left="760" w:hanging="752"/>
        <w:spacing w:after="0" w:line="263"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hanging="752"/>
        <w:spacing w:after="0" w:line="308" w:lineRule="auto"/>
        <w:tabs>
          <w:tab w:leader="none" w:pos="7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752"/>
        <w:spacing w:after="0" w:line="263"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500" w:hanging="743"/>
        <w:spacing w:after="0" w:line="263"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hanging="743"/>
        <w:spacing w:after="0" w:line="342" w:lineRule="auto"/>
        <w:tabs>
          <w:tab w:leader="none" w:pos="15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500" w:hanging="743"/>
        <w:spacing w:after="0" w:line="263"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hanging="752"/>
        <w:spacing w:after="0" w:line="342" w:lineRule="auto"/>
        <w:tabs>
          <w:tab w:leader="none" w:pos="7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hanging="743"/>
        <w:spacing w:after="0" w:line="308" w:lineRule="auto"/>
        <w:tabs>
          <w:tab w:leader="none" w:pos="15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500" w:hanging="743"/>
        <w:spacing w:after="0" w:line="277" w:lineRule="auto"/>
        <w:tabs>
          <w:tab w:leader="none" w:pos="15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22, 2023</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Svai Sanford</w:t>
      </w:r>
    </w:p>
    <w:p>
      <w:pPr>
        <w:spacing w:after="0" w:line="3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-130175</wp:posOffset>
            </wp:positionV>
            <wp:extent cx="28200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left="570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93980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or her knowledge:</w:t>
      </w:r>
    </w:p>
    <w:p>
      <w:pPr>
        <w:spacing w:after="0" w:line="173" w:lineRule="exact"/>
        <w:rPr>
          <w:sz w:val="20"/>
          <w:szCs w:val="20"/>
          <w:color w:val="auto"/>
        </w:rPr>
      </w:pPr>
    </w:p>
    <w:p>
      <w:pPr>
        <w:ind w:left="760" w:hanging="752"/>
        <w:spacing w:after="0" w:line="277" w:lineRule="auto"/>
        <w:tabs>
          <w:tab w:leader="none" w:pos="7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2022,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760" w:hanging="752"/>
        <w:spacing w:after="0" w:line="277" w:lineRule="auto"/>
        <w:tabs>
          <w:tab w:leader="none" w:pos="7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22,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22nd day of March,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Talat Imran</w:t>
            </w:r>
          </w:p>
        </w:tc>
        <w:tc>
          <w:tcPr>
            <w:tcW w:w="1780" w:type="dxa"/>
            <w:vAlign w:val="bottom"/>
          </w:tcPr>
          <w:p>
            <w:pPr>
              <w:spacing w:after="0"/>
              <w:rPr>
                <w:sz w:val="20"/>
                <w:szCs w:val="20"/>
                <w:color w:val="auto"/>
              </w:rPr>
            </w:pP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Svai Sanford</w:t>
            </w:r>
          </w:p>
        </w:tc>
      </w:tr>
      <w:tr>
        <w:trPr>
          <w:trHeight w:val="215"/>
        </w:trPr>
        <w:tc>
          <w:tcPr>
            <w:tcW w:w="4740" w:type="dxa"/>
            <w:vAlign w:val="bottom"/>
          </w:tcPr>
          <w:p>
            <w:pPr>
              <w:ind w:left="20"/>
              <w:spacing w:after="0"/>
              <w:rPr>
                <w:sz w:val="20"/>
                <w:szCs w:val="20"/>
                <w:color w:val="auto"/>
              </w:rPr>
            </w:pPr>
            <w:r>
              <w:rPr>
                <w:rFonts w:ascii="Arial" w:cs="Arial" w:eastAsia="Arial" w:hAnsi="Arial"/>
                <w:sz w:val="18"/>
                <w:szCs w:val="18"/>
                <w:color w:val="auto"/>
              </w:rPr>
              <w:t>Talat Imran</w:t>
            </w:r>
          </w:p>
        </w:tc>
        <w:tc>
          <w:tcPr>
            <w:tcW w:w="178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Svai Sanford</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178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lvl w:ilvl="1">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o"/>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lvl w:ilvl="1">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1)"/>
      <w:numFmt w:val="lowerRoman"/>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1."/>
      <w:numFmt w:val="decimal"/>
      <w:start w:val="1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1)"/>
      <w:numFmt w:val="lowerRoman"/>
      <w:start w:val="6"/>
    </w:lvl>
  </w:abstractNum>
  <w:abstractNum w:abstractNumId="79">
    <w:nsid w:val="43F18422"/>
    <w:multiLevelType w:val="hybridMultilevel"/>
    <w:lvl w:ilvl="0">
      <w:lvlJc w:val="left"/>
      <w:lvlText w:val="*"/>
      <w:numFmt w:val="bullet"/>
      <w:start w:val="1"/>
    </w:lvl>
    <w:lvl w:ilvl="1">
      <w:lvlJc w:val="left"/>
      <w:lvlText w:val="%2"/>
      <w:numFmt w:val="decimal"/>
      <w:start w:val="104"/>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lvl w:ilvl="1">
      <w:lvlJc w:val="left"/>
      <w:lvlText w:val="(%2)"/>
      <w:numFmt w:val="lowerLetter"/>
      <w:start w:val="1"/>
    </w:lvl>
  </w:abstractNum>
  <w:abstractNum w:abstractNumId="82">
    <w:nsid w:val="7F01579B"/>
    <w:multiLevelType w:val="hybridMultilevel"/>
    <w:lvl w:ilvl="0">
      <w:lvlJc w:val="left"/>
      <w:lvlText w:val="(%1)"/>
      <w:numFmt w:val="lowerLetter"/>
      <w:start w:val="3"/>
    </w:lvl>
  </w:abstractNum>
  <w:abstractNum w:abstractNumId="83">
    <w:nsid w:val="49DA307D"/>
    <w:multiLevelType w:val="hybridMultilevel"/>
    <w:lvl w:ilvl="0">
      <w:lvlJc w:val="left"/>
      <w:lvlText w:val="%1"/>
      <w:numFmt w:val="decimal"/>
      <w:start w:val="1"/>
    </w:lvl>
    <w:lvl w:ilvl="1">
      <w:lvlJc w:val="left"/>
      <w:lvlText w:val="(%2)"/>
      <w:numFmt w:val="lowerLetter"/>
      <w:start w:val="7"/>
    </w:lvl>
  </w:abstractNum>
  <w:abstractNum w:abstractNumId="84">
    <w:nsid w:val="7055A5F5"/>
    <w:multiLevelType w:val="hybridMultilevel"/>
    <w:lvl w:ilvl="0">
      <w:lvlJc w:val="left"/>
      <w:lvlText w:val="%1."/>
      <w:numFmt w:val="decimal"/>
      <w:start w:val="3"/>
    </w:lvl>
    <w:lvl w:ilvl="1">
      <w:lvlJc w:val="left"/>
      <w:lvlText w:val="(%2)"/>
      <w:numFmt w:val="lowerLetter"/>
      <w:start w:val="1"/>
    </w:lvl>
  </w:abstractNum>
  <w:abstractNum w:abstractNumId="85">
    <w:nsid w:val="5FB8370B"/>
    <w:multiLevelType w:val="hybridMultilevel"/>
    <w:lvl w:ilvl="0">
      <w:lvlJc w:val="left"/>
      <w:lvlText w:val="%1"/>
      <w:numFmt w:val="decimal"/>
      <w:start w:val="1"/>
    </w:lvl>
    <w:lvl w:ilvl="1">
      <w:lvlJc w:val="left"/>
      <w:lvlText w:val="(%2)"/>
      <w:numFmt w:val="lowerLetter"/>
      <w:start w:val="2"/>
    </w:lvl>
  </w:abstractNum>
  <w:abstractNum w:abstractNumId="86">
    <w:nsid w:val="50801EE1"/>
    <w:multiLevelType w:val="hybridMultilevel"/>
    <w:lvl w:ilvl="0">
      <w:lvlJc w:val="left"/>
      <w:lvlText w:val="%1."/>
      <w:numFmt w:val="decimal"/>
      <w:start w:val="7"/>
    </w:lvl>
    <w:lvl w:ilvl="1">
      <w:lvlJc w:val="left"/>
      <w:lvlText w:val="%2"/>
      <w:numFmt w:val="lowerLetter"/>
      <w:start w:val="1"/>
    </w:lvl>
  </w:abstractNum>
  <w:abstractNum w:abstractNumId="87">
    <w:nsid w:val="488AC1A"/>
    <w:multiLevelType w:val="hybridMultilevel"/>
    <w:lvl w:ilvl="0">
      <w:lvlJc w:val="left"/>
      <w:lvlText w:val="%1."/>
      <w:numFmt w:val="decimal"/>
      <w:start w:val="1"/>
    </w:lvl>
    <w:lvl w:ilvl="1">
      <w:lvlJc w:val="left"/>
      <w:lvlText w:val="(%2)"/>
      <w:numFmt w:val="lowerLetter"/>
      <w:start w:val="1"/>
    </w:lvl>
  </w:abstractNum>
  <w:abstractNum w:abstractNumId="88">
    <w:nsid w:val="5FB8011C"/>
    <w:multiLevelType w:val="hybridMultilevel"/>
    <w:lvl w:ilvl="0">
      <w:lvlJc w:val="left"/>
      <w:lvlText w:val="(%1)"/>
      <w:numFmt w:val="lowerLetter"/>
      <w:start w:val="3"/>
    </w:lvl>
  </w:abstractNum>
  <w:abstractNum w:abstractNumId="89">
    <w:nsid w:val="6AA78F7F"/>
    <w:multiLevelType w:val="hybridMultilevel"/>
    <w:lvl w:ilvl="0">
      <w:lvlJc w:val="left"/>
      <w:lvlText w:val="%1"/>
      <w:numFmt w:val="decimal"/>
      <w:start w:val="1"/>
    </w:lvl>
    <w:lvl w:ilvl="1">
      <w:lvlJc w:val="left"/>
      <w:lvlText w:val="(%2)"/>
      <w:numFmt w:val="lowerLetter"/>
      <w:start w:val="7"/>
    </w:lvl>
  </w:abstractNum>
  <w:abstractNum w:abstractNumId="90">
    <w:nsid w:val="7672BD23"/>
    <w:multiLevelType w:val="hybridMultilevel"/>
    <w:lvl w:ilvl="0">
      <w:lvlJc w:val="left"/>
      <w:lvlText w:val="%1."/>
      <w:numFmt w:val="decimal"/>
      <w:start w:val="3"/>
    </w:lvl>
    <w:lvl w:ilvl="1">
      <w:lvlJc w:val="left"/>
      <w:lvlText w:val="%2"/>
      <w:numFmt w:val="lowerLetter"/>
      <w:start w:val="1"/>
    </w:lvl>
  </w:abstractNum>
  <w:abstractNum w:abstractNumId="91">
    <w:nsid w:val="6FC75AF8"/>
    <w:multiLevelType w:val="hybridMultilevel"/>
    <w:lvl w:ilvl="0">
      <w:lvlJc w:val="left"/>
      <w:lvlText w:val="%1."/>
      <w:numFmt w:val="decimal"/>
      <w:start w:val="5"/>
    </w:lvl>
    <w:lvl w:ilvl="1">
      <w:lvlJc w:val="left"/>
      <w:lvlText w:val="(%2)"/>
      <w:numFmt w:val="lowerLetter"/>
      <w:start w:val="1"/>
    </w:lvl>
  </w:abstractNum>
  <w:abstractNum w:abstractNumId="92">
    <w:nsid w:val="6A5F7029"/>
    <w:multiLevelType w:val="hybridMultilevel"/>
    <w:lvl w:ilvl="0">
      <w:lvlJc w:val="left"/>
      <w:lvlText w:val="%1"/>
      <w:numFmt w:val="decimal"/>
      <w:start w:val="1"/>
    </w:lvl>
    <w:lvl w:ilvl="1">
      <w:lvlJc w:val="left"/>
      <w:lvlText w:val="(%2)"/>
      <w:numFmt w:val="lowerLetter"/>
      <w:start w:val="2"/>
    </w:lvl>
  </w:abstractNum>
  <w:abstractNum w:abstractNumId="93">
    <w:nsid w:val="7D5E18F8"/>
    <w:multiLevelType w:val="hybridMultilevel"/>
    <w:lvl w:ilvl="0">
      <w:lvlJc w:val="left"/>
      <w:lvlText w:val="%1."/>
      <w:numFmt w:val="decimal"/>
      <w:start w:val="7"/>
    </w:lvl>
    <w:lvl w:ilvl="1">
      <w:lvlJc w:val="left"/>
      <w:lvlText w:val="%2"/>
      <w:numFmt w:val="lowerLetter"/>
      <w:start w:val="1"/>
    </w:lvl>
  </w:abstractNum>
  <w:abstractNum w:abstractNumId="94">
    <w:nsid w:val="5F3534A4"/>
    <w:multiLevelType w:val="hybridMultilevel"/>
    <w:lvl w:ilvl="0">
      <w:lvlJc w:val="left"/>
      <w:lvlText w:val="%1."/>
      <w:numFmt w:val="decimal"/>
      <w:start w:val="1"/>
    </w:lvl>
    <w:lvl w:ilvl="1">
      <w:lvlJc w:val="left"/>
      <w:lvlText w:val="(%2)"/>
      <w:numFmt w:val="lowerLetter"/>
      <w:start w:val="1"/>
    </w:lvl>
  </w:abstractNum>
  <w:abstractNum w:abstractNumId="95">
    <w:nsid w:val="73A1821B"/>
    <w:multiLevelType w:val="hybridMultilevel"/>
    <w:lvl w:ilvl="0">
      <w:lvlJc w:val="left"/>
      <w:lvlText w:val="(%1)"/>
      <w:numFmt w:val="lowerLetter"/>
      <w:start w:val="3"/>
    </w:lvl>
  </w:abstractNum>
  <w:abstractNum w:abstractNumId="96">
    <w:nsid w:val="7DE67713"/>
    <w:multiLevelType w:val="hybridMultilevel"/>
    <w:lvl w:ilvl="0">
      <w:lvlJc w:val="left"/>
      <w:lvlText w:val="%1"/>
      <w:numFmt w:val="decimal"/>
      <w:start w:val="1"/>
    </w:lvl>
    <w:lvl w:ilvl="1">
      <w:lvlJc w:val="left"/>
      <w:lvlText w:val="(%2)"/>
      <w:numFmt w:val="lowerLetter"/>
      <w:start w:val="7"/>
    </w:lvl>
  </w:abstractNum>
  <w:abstractNum w:abstractNumId="97">
    <w:nsid w:val="555C55B5"/>
    <w:multiLevelType w:val="hybridMultilevel"/>
    <w:lvl w:ilvl="0">
      <w:lvlJc w:val="left"/>
      <w:lvlText w:val="%1."/>
      <w:numFmt w:val="decimal"/>
      <w:start w:val="3"/>
    </w:lvl>
    <w:lvl w:ilvl="1">
      <w:lvlJc w:val="left"/>
      <w:lvlText w:val="%2"/>
      <w:numFmt w:val="lowerLetter"/>
      <w:start w:val="1"/>
    </w:lvl>
  </w:abstractNum>
  <w:abstractNum w:abstractNumId="98">
    <w:nsid w:val="3FA62ACA"/>
    <w:multiLevelType w:val="hybridMultilevel"/>
    <w:lvl w:ilvl="0">
      <w:lvlJc w:val="left"/>
      <w:lvlText w:val="%1."/>
      <w:numFmt w:val="decimal"/>
      <w:start w:val="6"/>
    </w:lvl>
    <w:lvl w:ilvl="1">
      <w:lvlJc w:val="left"/>
      <w:lvlText w:val="(%2)"/>
      <w:numFmt w:val="lowerLetter"/>
      <w:start w:val="1"/>
    </w:lvl>
  </w:abstractNum>
  <w:abstractNum w:abstractNumId="99">
    <w:nsid w:val="14FCE74E"/>
    <w:multiLevelType w:val="hybridMultilevel"/>
    <w:lvl w:ilvl="0">
      <w:lvlJc w:val="left"/>
      <w:lvlText w:val="%1."/>
      <w:numFmt w:val="decimal"/>
      <w:start w:val="7"/>
    </w:lvl>
  </w:abstractNum>
  <w:abstractNum w:abstractNumId="100">
    <w:nsid w:val="6A3DD3E8"/>
    <w:multiLevelType w:val="hybridMultilevel"/>
    <w:lvl w:ilvl="0">
      <w:lvlJc w:val="left"/>
      <w:lvlText w:val="(%1)"/>
      <w:numFmt w:val="lowerLetter"/>
      <w:start w:val="3"/>
    </w:lvl>
  </w:abstractNum>
  <w:abstractNum w:abstractNumId="101">
    <w:nsid w:val="71C91298"/>
    <w:multiLevelType w:val="hybridMultilevel"/>
    <w:lvl w:ilvl="0">
      <w:lvlJc w:val="left"/>
      <w:lvlText w:val="(%1)"/>
      <w:numFmt w:val="lowerLetter"/>
      <w:start w:val="3"/>
    </w:lvl>
  </w:abstractNum>
  <w:abstractNum w:abstractNumId="102">
    <w:nsid w:val="9DAF632"/>
    <w:multiLevelType w:val="hybridMultilevel"/>
    <w:lvl w:ilvl="0">
      <w:lvlJc w:val="left"/>
      <w:lvlText w:val="(%1)"/>
      <w:numFmt w:val="lowerLetter"/>
      <w:start w:val="2"/>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jpe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jpe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jpe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jpe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jpe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jpe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jpe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jpe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jpe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jpe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jpe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jpe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jpe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jpe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329" Type="http://schemas.openxmlformats.org/officeDocument/2006/relationships/hyperlink" Target="https://www.sec.gov/Archives/edgar/data/1856725/000119312521223596/d151628dex31.htm" TargetMode="External"/><Relationship Id="rId330" Type="http://schemas.openxmlformats.org/officeDocument/2006/relationships/hyperlink" Target="https://www.sec.gov/Archives/edgar/data/1856725/000119312521211922/d151628dex34.htm" TargetMode="External"/><Relationship Id="rId331" Type="http://schemas.openxmlformats.org/officeDocument/2006/relationships/hyperlink" Target="https://www.sec.gov/Archives/edgar/data/1856725/000119312521223596/d151628dex41.htm" TargetMode="External"/><Relationship Id="rId332" Type="http://schemas.openxmlformats.org/officeDocument/2006/relationships/hyperlink" Target="https://www.sec.gov/Archives/edgar/data/1856725/000095017022005088/rani-ex4_2.htm" TargetMode="External"/><Relationship Id="rId333" Type="http://schemas.openxmlformats.org/officeDocument/2006/relationships/hyperlink" Target="https://www.sec.gov/Archives/edgar/data/1856725/000095017022005088/rani-ex10_1.htm" TargetMode="External"/><Relationship Id="rId334" Type="http://schemas.openxmlformats.org/officeDocument/2006/relationships/hyperlink" Target="https://www.sec.gov/Archives/edgar/data/1856725/000095017022005088/rani-ex10_2.htm" TargetMode="External"/><Relationship Id="rId335" Type="http://schemas.openxmlformats.org/officeDocument/2006/relationships/hyperlink" Target="https://www.sec.gov/Archives/edgar/data/1856725/000095017022005088/rani-ex10_3.htm" TargetMode="External"/><Relationship Id="rId336" Type="http://schemas.openxmlformats.org/officeDocument/2006/relationships/hyperlink" Target="https://www.sec.gov/Archives/edgar/data/1856725/000095017022005088/rani-ex10_4.htm" TargetMode="External"/><Relationship Id="rId337" Type="http://schemas.openxmlformats.org/officeDocument/2006/relationships/hyperlink" Target="https://www.sec.gov/Archives/edgar/data/1856725/000119312521211922/d151628dex104.htm" TargetMode="External"/><Relationship Id="rId338" Type="http://schemas.openxmlformats.org/officeDocument/2006/relationships/hyperlink" Target="https://www.sec.gov/Archives/edgar/data/1856725/000119312521211922/d151628dex105.htm" TargetMode="External"/><Relationship Id="rId339" Type="http://schemas.openxmlformats.org/officeDocument/2006/relationships/hyperlink" Target="https://www.sec.gov/Archives/edgar/data/1856725/000119312521223596/d151628dex107.htm" TargetMode="External"/><Relationship Id="rId340" Type="http://schemas.openxmlformats.org/officeDocument/2006/relationships/hyperlink" Target="https://www.sec.gov/Archives/edgar/data/1856725/000095017022005088/rani-ex10_8.htm" TargetMode="External"/><Relationship Id="rId341" Type="http://schemas.openxmlformats.org/officeDocument/2006/relationships/hyperlink" Target="https://www.sec.gov/Archives/edgar/data/1856725/000119312521223596/d151628dex108.htm" TargetMode="External"/><Relationship Id="rId342" Type="http://schemas.openxmlformats.org/officeDocument/2006/relationships/hyperlink" Target="https://www.sec.gov/Archives/edgar/data/1856725/000119312521211922/d151628dex108.htm" TargetMode="External"/><Relationship Id="rId343" Type="http://schemas.openxmlformats.org/officeDocument/2006/relationships/hyperlink" Target="https://www.sec.gov/Archives/edgar/data/1856725/000119312521211922/d151628dex109.htm" TargetMode="External"/><Relationship Id="rId346" Type="http://schemas.openxmlformats.org/officeDocument/2006/relationships/hyperlink" Target="https://www.sec.gov/Archives/edgar/data/1856725/000119312521217338/d151628dex1011.htm" TargetMode="External"/><Relationship Id="rId347" Type="http://schemas.openxmlformats.org/officeDocument/2006/relationships/hyperlink" Target="https://www.sec.gov/Archives/edgar/data/1856725/000119312521211922/d151628dex1015.htm" TargetMode="External"/><Relationship Id="rId348" Type="http://schemas.openxmlformats.org/officeDocument/2006/relationships/hyperlink" Target="https://www.sec.gov/Archives/edgar/data/1856725/000095017022005088/rani-ex10_14.htm" TargetMode="External"/><Relationship Id="rId349" Type="http://schemas.openxmlformats.org/officeDocument/2006/relationships/hyperlink" Target="https://www.sec.gov/Archives/edgar/data/1856725/000119312521211922/d151628dex1016.htm" TargetMode="External"/><Relationship Id="rId350" Type="http://schemas.openxmlformats.org/officeDocument/2006/relationships/hyperlink" Target="https://www.sec.gov/Archives/edgar/data/1856725/000119312521211922/d151628dex1017.htm" TargetMode="External"/><Relationship Id="rId351" Type="http://schemas.openxmlformats.org/officeDocument/2006/relationships/hyperlink" Target="https://www.sec.gov/Archives/edgar/data/1856725/000119312521211922/d151628dex1018.htm" TargetMode="External"/><Relationship Id="rId352" Type="http://schemas.openxmlformats.org/officeDocument/2006/relationships/hyperlink" Target="https://www.sec.gov/Archives/edgar/data/1856725/000119312521211922/d151628dex1019.htm" TargetMode="External"/><Relationship Id="rId353" Type="http://schemas.openxmlformats.org/officeDocument/2006/relationships/hyperlink" Target="https://www.sec.gov/Archives/edgar/data/1856725/000095017022009334/rani-ex10_2.htm" TargetMode="External"/><Relationship Id="rId354" Type="http://schemas.openxmlformats.org/officeDocument/2006/relationships/hyperlink" Target="https://www.sec.gov/Archives/edgar/data/1856725/000095017022016492/rani-ex10_1.htm" TargetMode="External"/><Relationship Id="rId355" Type="http://schemas.openxmlformats.org/officeDocument/2006/relationships/hyperlink" Target="https://www.sec.gov/Archives/edgar/data/1856725/000095017022016492/rani-ex10_2.htm" TargetMode="External"/><Relationship Id="rId356" Type="http://schemas.openxmlformats.org/officeDocument/2006/relationships/hyperlink" Target="https://www.sec.gov/Archives/edgar/data/1856725/000095017022016492/rani-ex10_3.htm" TargetMode="External"/><Relationship Id="rId357" Type="http://schemas.openxmlformats.org/officeDocument/2006/relationships/hyperlink" Target="https://www.sec.gov/Archives/edgar/data/1856725/000119312522229280/d38538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2023-03-22T16:30:21Z</dcterms:created>
  <dcterms:modified xsi:type="dcterms:W3CDTF">2023-03-22T16:30:21Z</dcterms:modified>
</cp:coreProperties>
</file>