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60" w:hanging="3899"/>
        <w:spacing w:after="0" w:line="261"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2880" w:right="1600" w:hanging="2859"/>
        <w:spacing w:after="0" w:line="269"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 to 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001-40672</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-254000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p>
      <w:pPr>
        <w:spacing w:after="0" w:line="4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1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3"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86-3114789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95131</w:t>
      </w:r>
    </w:p>
    <w:p>
      <w:pPr>
        <w:spacing w:after="0" w:line="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 w:lineRule="exact"/>
        <w:rPr>
          <w:sz w:val="24"/>
          <w:szCs w:val="24"/>
          <w:color w:val="auto"/>
        </w:rPr>
      </w:pPr>
    </w:p>
    <w:p>
      <w:pPr>
        <w:sectPr>
          <w:pgSz w:w="11900" w:h="16838" w:orient="portrait"/>
          <w:cols w:equalWidth="0" w:num="2">
            <w:col w:w="7700" w:space="240"/>
            <w:col w:w="3300"/>
          </w:cols>
          <w:pgMar w:left="320" w:top="115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41910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3"/>
          </w:tcPr>
          <w:p>
            <w:pPr>
              <w:jc w:val="center"/>
              <w:ind w:right="1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2"/>
          </w:tcPr>
          <w:p>
            <w:pPr>
              <w:jc w:val="center"/>
              <w:ind w:right="708"/>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color w:val="auto"/>
                <w:w w:val="99"/>
              </w:rPr>
              <w:t>RANI</w:t>
            </w:r>
          </w:p>
        </w:tc>
        <w:tc>
          <w:tcPr>
            <w:tcW w:w="300" w:type="dxa"/>
            <w:vAlign w:val="bottom"/>
          </w:tcPr>
          <w:p>
            <w:pPr>
              <w:spacing w:after="0"/>
              <w:rPr>
                <w:sz w:val="16"/>
                <w:szCs w:val="16"/>
                <w:color w:val="auto"/>
              </w:rPr>
            </w:pPr>
          </w:p>
        </w:tc>
        <w:tc>
          <w:tcPr>
            <w:tcW w:w="3080" w:type="dxa"/>
            <w:vAlign w:val="bottom"/>
          </w:tcPr>
          <w:p>
            <w:pPr>
              <w:jc w:val="center"/>
              <w:ind w:right="10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240" w:type="dxa"/>
            <w:vAlign w:val="bottom"/>
            <w:gridSpan w:val="5"/>
          </w:tcPr>
          <w:p>
            <w:pPr>
              <w:jc w:val="center"/>
              <w:ind w:left="14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vMerge w:val="restart"/>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640" w:type="dxa"/>
            <w:vAlign w:val="bottom"/>
            <w:gridSpan w:val="7"/>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30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940" w:type="dxa"/>
            <w:vAlign w:val="bottom"/>
            <w:gridSpan w:val="8"/>
          </w:tcPr>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08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1240" w:type="dxa"/>
            <w:vAlign w:val="bottom"/>
            <w:gridSpan w:val="10"/>
          </w:tcPr>
          <w:p>
            <w:pPr>
              <w:ind w:left="600"/>
              <w:spacing w:after="0" w:line="145"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w:t>
            </w:r>
          </w:p>
        </w:tc>
        <w:tc>
          <w:tcPr>
            <w:tcW w:w="0" w:type="dxa"/>
            <w:vAlign w:val="bottom"/>
          </w:tcPr>
          <w:p>
            <w:pPr>
              <w:spacing w:after="0"/>
              <w:rPr>
                <w:sz w:val="1"/>
                <w:szCs w:val="1"/>
                <w:color w:val="auto"/>
              </w:rPr>
            </w:pPr>
          </w:p>
        </w:tc>
      </w:tr>
      <w:tr>
        <w:trPr>
          <w:trHeight w:val="193"/>
        </w:trPr>
        <w:tc>
          <w:tcPr>
            <w:tcW w:w="1102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1020" w:type="dxa"/>
            <w:vAlign w:val="bottom"/>
            <w:gridSpan w:val="9"/>
          </w:tcPr>
          <w:p>
            <w:pPr>
              <w:ind w:left="600"/>
              <w:spacing w:after="0" w:line="145"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6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this chapter) during the preceding 12 months (or for such shorter period that the registrant was required to submit such files).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240" w:type="dxa"/>
            <w:vAlign w:val="bottom"/>
            <w:gridSpan w:val="10"/>
          </w:tcPr>
          <w:p>
            <w:pPr>
              <w:ind w:left="600"/>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w:t>
            </w:r>
          </w:p>
        </w:tc>
        <w:tc>
          <w:tcPr>
            <w:tcW w:w="0" w:type="dxa"/>
            <w:vAlign w:val="bottom"/>
          </w:tcPr>
          <w:p>
            <w:pPr>
              <w:spacing w:after="0"/>
              <w:rPr>
                <w:sz w:val="1"/>
                <w:szCs w:val="1"/>
                <w:color w:val="auto"/>
              </w:rPr>
            </w:pPr>
          </w:p>
        </w:tc>
      </w:tr>
      <w:tr>
        <w:trPr>
          <w:trHeight w:val="171"/>
        </w:trPr>
        <w:tc>
          <w:tcPr>
            <w:tcW w:w="11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definitions of “large accelerated filer,” “accelerated filer,” “smaller reporting company,” and “emerging growth company” in Rule 12b-2 of the Exchange Act.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1820" w:type="dxa"/>
            <w:vAlign w:val="bottom"/>
          </w:tcPr>
          <w:p>
            <w:pPr>
              <w:jc w:val="center"/>
              <w:ind w:right="251"/>
              <w:spacing w:after="0" w:line="141" w:lineRule="exact"/>
              <w:rPr>
                <w:sz w:val="20"/>
                <w:szCs w:val="20"/>
                <w:color w:val="auto"/>
              </w:rPr>
            </w:pPr>
            <w:r>
              <w:rPr>
                <w:rFonts w:ascii="MS PGothic" w:cs="MS PGothic" w:eastAsia="MS PGothic" w:hAnsi="MS PGothic"/>
                <w:sz w:val="14"/>
                <w:szCs w:val="14"/>
                <w:color w:val="auto"/>
                <w:w w:val="99"/>
              </w:rPr>
              <w:t>☐</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1820" w:type="dxa"/>
            <w:vAlign w:val="bottom"/>
          </w:tcPr>
          <w:p>
            <w:pPr>
              <w:jc w:val="center"/>
              <w:ind w:right="251"/>
              <w:spacing w:after="0" w:line="141" w:lineRule="exact"/>
              <w:rPr>
                <w:sz w:val="20"/>
                <w:szCs w:val="20"/>
                <w:color w:val="auto"/>
              </w:rPr>
            </w:pPr>
            <w:r>
              <w:rPr>
                <w:rFonts w:ascii="MS PGothic" w:cs="MS PGothic" w:eastAsia="MS PGothic" w:hAnsi="MS PGothic"/>
                <w:sz w:val="14"/>
                <w:szCs w:val="14"/>
                <w:color w:val="auto"/>
                <w:w w:val="99"/>
              </w:rPr>
              <w:t>☒</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1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620" w:firstLine="599"/>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80" w:firstLine="599"/>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599"/>
        <w:spacing w:after="0" w:line="16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599"/>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7300" w:val="left"/>
          <w:tab w:leader="none" w:pos="78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3" w:lineRule="exact"/>
        <w:rPr>
          <w:sz w:val="24"/>
          <w:szCs w:val="24"/>
          <w:color w:val="auto"/>
        </w:rPr>
      </w:pPr>
    </w:p>
    <w:p>
      <w:pPr>
        <w:ind w:right="200" w:firstLine="599"/>
        <w:spacing w:after="0" w:line="231"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equity held by non-affiliates as of June 28, 2024, the last business day of the registrant’s most recently completed second fiscal quarter, was approximately $51.9 million, based on the closing price of the registrant’s common stock on the Nasdaq Global Select Market of $3.80 per share.</w:t>
      </w:r>
    </w:p>
    <w:p>
      <w:pPr>
        <w:spacing w:after="0" w:line="1" w:lineRule="exact"/>
        <w:rPr>
          <w:sz w:val="24"/>
          <w:szCs w:val="24"/>
          <w:color w:val="auto"/>
        </w:rPr>
      </w:pPr>
    </w:p>
    <w:p>
      <w:pPr>
        <w:ind w:right="20" w:firstLine="599"/>
        <w:spacing w:after="0"/>
        <w:rPr>
          <w:sz w:val="20"/>
          <w:szCs w:val="20"/>
          <w:color w:val="auto"/>
        </w:rPr>
      </w:pPr>
      <w:r>
        <w:rPr>
          <w:rFonts w:ascii="Times New Roman" w:cs="Times New Roman" w:eastAsia="Times New Roman" w:hAnsi="Times New Roman"/>
          <w:sz w:val="14"/>
          <w:szCs w:val="14"/>
          <w:color w:val="auto"/>
        </w:rPr>
        <w:t>As of March 26, 2025, the registrant had 33,509,827 shares of Class A common stock, $0.0001 par value per share, outstanding, 23,971,852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1,229,630 shares of the registrant’s Class A common stock.</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 w:lineRule="exact"/>
        <w:rPr>
          <w:sz w:val="24"/>
          <w:szCs w:val="24"/>
          <w:color w:val="auto"/>
        </w:rPr>
      </w:pPr>
    </w:p>
    <w:p>
      <w:pPr>
        <w:ind w:right="140" w:firstLine="599"/>
        <w:spacing w:after="0" w:line="241" w:lineRule="auto"/>
        <w:rPr>
          <w:sz w:val="20"/>
          <w:szCs w:val="20"/>
          <w:color w:val="auto"/>
        </w:rPr>
      </w:pPr>
      <w:r>
        <w:rPr>
          <w:rFonts w:ascii="Times New Roman" w:cs="Times New Roman" w:eastAsia="Times New Roman" w:hAnsi="Times New Roman"/>
          <w:sz w:val="14"/>
          <w:szCs w:val="14"/>
          <w:color w:val="auto"/>
        </w:rPr>
        <w:t>The information required by Part III of this Annual Report on Form 10-K, to the extent not set forth herein, is incorporated herein by reference from the registrant’s definitive proxy statement relating to the Annual Meeting of Stockholders to be held in 2025, which definitive proxy statement shall be filed with the Securities and Exchange Commission within 120 days after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21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8320" w:type="dxa"/>
            <w:vAlign w:val="bottom"/>
            <w:gridSpan w:val="18"/>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2120" w:type="dxa"/>
            <w:vAlign w:val="bottom"/>
            <w:tcBorders>
              <w:bottom w:val="single" w:sz="8" w:color="0000FF"/>
            </w:tcBorders>
            <w:gridSpan w:val="7"/>
            <w:vMerge w:val="continue"/>
          </w:tcPr>
          <w:p>
            <w:pPr>
              <w:spacing w:after="0"/>
              <w:rPr>
                <w:sz w:val="14"/>
                <w:szCs w:val="14"/>
                <w:color w:val="auto"/>
              </w:rPr>
            </w:pPr>
          </w:p>
        </w:tc>
        <w:tc>
          <w:tcPr>
            <w:tcW w:w="832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3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43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160"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throughout this Annual Report on Form 10-K, the terms “we,” “us,” and “our,” and similar references refer to Rani Therapeutics Holdings, Inc. (“Rani Holdings”) and its consolidated subsidiary, Rani Therapeutics, LLC (“Rani LLC”).</w:t>
      </w:r>
    </w:p>
    <w:p>
      <w:pPr>
        <w:spacing w:after="0" w:line="173" w:lineRule="exact"/>
        <w:rPr>
          <w:sz w:val="20"/>
          <w:szCs w:val="20"/>
          <w:color w:val="auto"/>
        </w:rPr>
      </w:pPr>
    </w:p>
    <w:p>
      <w:pPr>
        <w:ind w:right="20" w:firstLine="10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We use Rani, Rani Therapeutics, RaniPill, the Rani Therapeutics logo, the R logo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w:t>
      </w:r>
      <w:r>
        <w:rPr>
          <w:rFonts w:ascii="Times New Roman" w:cs="Times New Roman" w:eastAsia="Times New Roman" w:hAnsi="Times New Roman"/>
          <w:sz w:val="20"/>
          <w:szCs w:val="20"/>
          <w:i w:val="1"/>
          <w:iCs w:val="1"/>
          <w:color w:val="auto"/>
          <w:vertAlign w:val="superscript"/>
        </w:rPr>
        <w:t>®</w:t>
      </w:r>
      <w:r>
        <w:rPr>
          <w:rFonts w:ascii="Times New Roman" w:cs="Times New Roman" w:eastAsia="Times New Roman" w:hAnsi="Times New Roman"/>
          <w:sz w:val="18"/>
          <w:szCs w:val="18"/>
          <w:i w:val="1"/>
          <w:iCs w:val="1"/>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including the section titled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 contains forward-looking statements. All statements other than statements of historical facts contained in this Annual Report on Form 10-K,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Annual Report on Form 10-K include, but are not limited to, statements about:</w:t>
      </w:r>
    </w:p>
    <w:p>
      <w:pPr>
        <w:spacing w:after="0" w:line="17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225"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161"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including by expanding our use of automation;</w:t>
      </w:r>
    </w:p>
    <w:p>
      <w:pPr>
        <w:spacing w:after="0" w:line="225"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new applications of the RaniPill capsule;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2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propose to implement;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225"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161"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(the “JOBS Act”).</w:t>
      </w:r>
    </w:p>
    <w:p>
      <w:pPr>
        <w:spacing w:after="0" w:line="187" w:lineRule="exact"/>
        <w:rPr>
          <w:sz w:val="20"/>
          <w:szCs w:val="20"/>
          <w:color w:val="auto"/>
        </w:rPr>
      </w:pPr>
    </w:p>
    <w:p>
      <w:pPr>
        <w:ind w:right="20" w:firstLine="1018"/>
        <w:spacing w:after="0" w:line="257"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 elsewhere in this Annual Report on Form 10-K. Because forward-looking statements are inherently subject to risks and uncertainties, 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4"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Class A common stock. See “Special Note Regarding Forward-Looking Statements.”</w:t>
      </w:r>
    </w:p>
    <w:p>
      <w:pPr>
        <w:spacing w:after="0" w:line="185" w:lineRule="exact"/>
        <w:rPr>
          <w:sz w:val="20"/>
          <w:szCs w:val="20"/>
          <w:color w:val="auto"/>
        </w:rPr>
      </w:pPr>
    </w:p>
    <w:p>
      <w:pPr>
        <w:ind w:left="1020" w:right="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or other operations.</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both"/>
        <w:ind w:left="544" w:right="62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161" w:lineRule="exact"/>
        <w:rPr>
          <w:rFonts w:ascii="Times New Roman" w:cs="Times New Roman" w:eastAsia="Times New Roman" w:hAnsi="Times New Roman"/>
          <w:sz w:val="18"/>
          <w:szCs w:val="18"/>
          <w:color w:val="auto"/>
        </w:rPr>
      </w:pPr>
    </w:p>
    <w:p>
      <w:pPr>
        <w:ind w:left="544" w:right="16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161" w:lineRule="exact"/>
        <w:rPr>
          <w:rFonts w:ascii="Times New Roman" w:cs="Times New Roman" w:eastAsia="Times New Roman" w:hAnsi="Times New Roman"/>
          <w:sz w:val="18"/>
          <w:szCs w:val="18"/>
          <w:color w:val="auto"/>
        </w:rPr>
      </w:pPr>
    </w:p>
    <w:p>
      <w:pPr>
        <w:ind w:left="544" w:right="14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contains restrictions that limit our flexibility in operating our business. In addition, we may be required to make a prepayment or repay our outstanding indebtedness earlier than we expect.</w:t>
      </w:r>
    </w:p>
    <w:p>
      <w:pPr>
        <w:spacing w:after="0" w:line="161" w:lineRule="exact"/>
        <w:rPr>
          <w:rFonts w:ascii="Times New Roman" w:cs="Times New Roman" w:eastAsia="Times New Roman" w:hAnsi="Times New Roman"/>
          <w:sz w:val="18"/>
          <w:szCs w:val="18"/>
          <w:color w:val="auto"/>
        </w:rPr>
      </w:pPr>
    </w:p>
    <w:p>
      <w:pPr>
        <w:ind w:left="544" w:right="80" w:hanging="503"/>
        <w:spacing w:after="0" w:line="261"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79" w:lineRule="exact"/>
        <w:rPr>
          <w:rFonts w:ascii="Times New Roman" w:cs="Times New Roman" w:eastAsia="Times New Roman" w:hAnsi="Times New Roman"/>
          <w:sz w:val="18"/>
          <w:szCs w:val="18"/>
          <w:color w:val="auto"/>
        </w:rPr>
      </w:pPr>
    </w:p>
    <w:p>
      <w:pPr>
        <w:ind w:left="544" w:right="52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61" w:lineRule="exact"/>
        <w:rPr>
          <w:rFonts w:ascii="Times New Roman" w:cs="Times New Roman" w:eastAsia="Times New Roman" w:hAnsi="Times New Roman"/>
          <w:sz w:val="18"/>
          <w:szCs w:val="18"/>
          <w:color w:val="auto"/>
        </w:rPr>
      </w:pPr>
    </w:p>
    <w:p>
      <w:pPr>
        <w:ind w:left="544" w:hanging="503"/>
        <w:spacing w:after="0" w:line="266"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conducted limited early clinical development, have not submitted an investigational new drug application, (“IND”), to the U.S. Food and Drug Administration (“FDA”), and we have never conducted later-stage clinical trials or submitted a Biologics License Application (“BLA”) or New Drug Application (“NDA”), and may be unable to do so for any of our product candidates.</w:t>
      </w:r>
    </w:p>
    <w:p>
      <w:pPr>
        <w:spacing w:after="0" w:line="175" w:lineRule="exact"/>
        <w:rPr>
          <w:rFonts w:ascii="Times New Roman" w:cs="Times New Roman" w:eastAsia="Times New Roman" w:hAnsi="Times New Roman"/>
          <w:sz w:val="18"/>
          <w:szCs w:val="18"/>
          <w:color w:val="auto"/>
        </w:rPr>
      </w:pPr>
    </w:p>
    <w:p>
      <w:pPr>
        <w:ind w:left="544" w:right="160" w:hanging="503"/>
        <w:spacing w:after="0" w:line="266"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75" w:lineRule="exact"/>
        <w:rPr>
          <w:rFonts w:ascii="Times New Roman" w:cs="Times New Roman" w:eastAsia="Times New Roman" w:hAnsi="Times New Roman"/>
          <w:sz w:val="18"/>
          <w:szCs w:val="18"/>
          <w:color w:val="auto"/>
        </w:rPr>
      </w:pPr>
    </w:p>
    <w:p>
      <w:pPr>
        <w:ind w:left="544" w:right="40" w:hanging="503"/>
        <w:spacing w:after="0" w:line="261"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79" w:lineRule="exact"/>
        <w:rPr>
          <w:rFonts w:ascii="Times New Roman" w:cs="Times New Roman" w:eastAsia="Times New Roman" w:hAnsi="Times New Roman"/>
          <w:sz w:val="18"/>
          <w:szCs w:val="18"/>
          <w:color w:val="auto"/>
        </w:rPr>
      </w:pPr>
    </w:p>
    <w:p>
      <w:pPr>
        <w:ind w:left="544" w:hanging="503"/>
        <w:spacing w:after="0"/>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on our product candidates to indicate whether they are safe or effective for long-term use in humans.</w:t>
      </w:r>
    </w:p>
    <w:p>
      <w:pPr>
        <w:spacing w:after="0" w:line="225" w:lineRule="exact"/>
        <w:rPr>
          <w:rFonts w:ascii="Times New Roman" w:cs="Times New Roman" w:eastAsia="Times New Roman" w:hAnsi="Times New Roman"/>
          <w:sz w:val="18"/>
          <w:szCs w:val="18"/>
          <w:color w:val="auto"/>
        </w:rPr>
      </w:pPr>
    </w:p>
    <w:p>
      <w:pPr>
        <w:ind w:left="544" w:right="20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 with ProGen Co., Ltd. includes certain restrictions and obligations that may limit our flexibility in developing and commercializing RT-114 or require us to bear costs we otherwise would not incur or did not expect to incur.</w:t>
      </w:r>
    </w:p>
    <w:p>
      <w:pPr>
        <w:spacing w:after="0" w:line="161" w:lineRule="exact"/>
        <w:rPr>
          <w:rFonts w:ascii="Times New Roman" w:cs="Times New Roman" w:eastAsia="Times New Roman" w:hAnsi="Times New Roman"/>
          <w:sz w:val="18"/>
          <w:szCs w:val="18"/>
          <w:color w:val="auto"/>
        </w:rPr>
      </w:pPr>
    </w:p>
    <w:p>
      <w:pPr>
        <w:ind w:left="564" w:right="160" w:hanging="564"/>
        <w:spacing w:after="0" w:line="261" w:lineRule="auto"/>
        <w:tabs>
          <w:tab w:leader="none" w:pos="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key materials used in our manufacturing processes as well as for the manufacturing of active pharmaceutical ingredients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179" w:lineRule="exact"/>
        <w:rPr>
          <w:rFonts w:ascii="Times New Roman" w:cs="Times New Roman" w:eastAsia="Times New Roman" w:hAnsi="Times New Roman"/>
          <w:sz w:val="18"/>
          <w:szCs w:val="18"/>
          <w:color w:val="auto"/>
        </w:rPr>
      </w:pPr>
    </w:p>
    <w:p>
      <w:pPr>
        <w:ind w:left="544" w:right="6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161" w:lineRule="exact"/>
        <w:rPr>
          <w:rFonts w:ascii="Times New Roman" w:cs="Times New Roman" w:eastAsia="Times New Roman" w:hAnsi="Times New Roman"/>
          <w:sz w:val="18"/>
          <w:szCs w:val="18"/>
          <w:color w:val="auto"/>
        </w:rPr>
      </w:pPr>
    </w:p>
    <w:p>
      <w:pPr>
        <w:ind w:left="544" w:right="28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61" w:lineRule="exact"/>
        <w:rPr>
          <w:rFonts w:ascii="Times New Roman" w:cs="Times New Roman" w:eastAsia="Times New Roman" w:hAnsi="Times New Roman"/>
          <w:sz w:val="18"/>
          <w:szCs w:val="18"/>
          <w:color w:val="auto"/>
        </w:rPr>
      </w:pPr>
    </w:p>
    <w:p>
      <w:pPr>
        <w:ind w:left="544" w:right="160" w:hanging="503"/>
        <w:spacing w:after="0" w:line="282"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biotherapeutics and pharmaceutical companies, and our operating results will suffer if we fail to compete effectively.</w:t>
      </w:r>
    </w:p>
    <w:p>
      <w:pPr>
        <w:spacing w:after="0" w:line="161" w:lineRule="exact"/>
        <w:rPr>
          <w:rFonts w:ascii="Times New Roman" w:cs="Times New Roman" w:eastAsia="Times New Roman" w:hAnsi="Times New Roman"/>
          <w:sz w:val="18"/>
          <w:szCs w:val="18"/>
          <w:color w:val="auto"/>
        </w:rPr>
      </w:pPr>
    </w:p>
    <w:p>
      <w:pPr>
        <w:jc w:val="both"/>
        <w:ind w:left="544" w:right="100" w:hanging="503"/>
        <w:spacing w:after="0" w:line="312" w:lineRule="auto"/>
        <w:tabs>
          <w:tab w:leader="none" w:pos="544"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4"/>
          </w:cols>
          <w:pgMar w:left="796" w:top="1201" w:right="339" w:bottom="1440" w:gutter="0" w:footer="0" w:header="0"/>
        </w:sectPr>
      </w:pPr>
    </w:p>
    <w:bookmarkStart w:id="5" w:name="page6"/>
    <w:bookmarkEnd w:id="5"/>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our ability to build and maintain our intellectual property portfolio.</w:t>
      </w:r>
    </w:p>
    <w:p>
      <w:pPr>
        <w:spacing w:after="0" w:line="225"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principal asset is our interest in Rani LLC.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175" w:lineRule="exact"/>
        <w:rPr>
          <w:rFonts w:ascii="Times New Roman" w:cs="Times New Roman" w:eastAsia="Times New Roman" w:hAnsi="Times New Roman"/>
          <w:sz w:val="18"/>
          <w:szCs w:val="18"/>
          <w:color w:val="auto"/>
        </w:rPr>
      </w:pPr>
    </w:p>
    <w:p>
      <w:pPr>
        <w:ind w:left="503" w:right="20" w:hanging="503"/>
        <w:spacing w:after="0" w:line="261"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179"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161"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20" w:firstLine="1018"/>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80"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mid-2025.</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believe the RaniPill capsule technology could enable us to deliver most biologics currently on the market with convenient, oral dosing.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Overview</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We have completed three Phase 1 clinical trials with the RaniPill capsule technology. In February 2024, we announced completion of a Phase 1 clinical trial with RT-111, a RaniPill GO capsule containing our proprietary formulation of an ustekinumab biosimilar supplied by Celltrion, Inc. (“Celltrion”), in Australia. The study evaluated the safety and tolerability of a single administration of RT-111 in healthy adult volunteers. The study met all its endpoints, RT-111 was well tolerated and delivered ustekinumab biosimilar with high bioavailability. No serious adverse events were reported in the study.</w:t>
      </w:r>
    </w:p>
    <w:p>
      <w:pPr>
        <w:spacing w:after="0" w:line="183" w:lineRule="exact"/>
        <w:rPr>
          <w:sz w:val="20"/>
          <w:szCs w:val="20"/>
          <w:color w:val="auto"/>
        </w:rPr>
      </w:pPr>
    </w:p>
    <w:p>
      <w:pPr>
        <w:ind w:right="120" w:firstLine="1018"/>
        <w:spacing w:after="0" w:line="256" w:lineRule="auto"/>
        <w:rPr>
          <w:sz w:val="20"/>
          <w:szCs w:val="20"/>
          <w:color w:val="auto"/>
        </w:rPr>
      </w:pPr>
      <w:r>
        <w:rPr>
          <w:rFonts w:ascii="Times New Roman" w:cs="Times New Roman" w:eastAsia="Times New Roman" w:hAnsi="Times New Roman"/>
          <w:sz w:val="18"/>
          <w:szCs w:val="18"/>
          <w:color w:val="auto"/>
        </w:rPr>
        <w:t>In 2022, we completed a Phase 1 clinical trial with RT-102, a RaniPill GO capsule containing our proprietary formulation of parathyroid hormone (1-34) (“PTH”), in Australia. The study involved a single-ascending dose portion and a seven-day repeat-dose portion. The Phase 1 study met all of its endpoints, RT-102 was well tolerated and delivered PTH with high bioavailability (more than 300% greater bioavailability than subcutaneous injection of Forteo (teriparatide)). No serious adverse events were reported in the study. In 2019, we completed a Phase 1 study with RT-101, a RaniPill GO capsule containing our proprietary formulation of octreotide, in Australia. The Phase 1 study met all of its endpoints, RT-101 was well tolerated and delivered octreotide with high bioavailability (comparable to subcutaneous injection of octreotide). No serious adverse events were reported in the study.</w:t>
      </w:r>
    </w:p>
    <w:p>
      <w:pPr>
        <w:spacing w:after="0" w:line="187" w:lineRule="exact"/>
        <w:rPr>
          <w:sz w:val="20"/>
          <w:szCs w:val="20"/>
          <w:color w:val="auto"/>
        </w:rPr>
      </w:pPr>
    </w:p>
    <w:p>
      <w:pPr>
        <w:jc w:val="both"/>
        <w:ind w:right="6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2024, we have administered the RaniPill capsule 233 times to 146 human subjects in clinical trials, including seven-day repeat-dosing in ten subjects in our Phase 1 study of RT-102. This is in addition to oral administrations of the RaniPill capsule, without a drug or needle, in non-significant risk studies. In our clinical studies, our product candidates were generally well tolerated and no serious adverse events were observed.</w:t>
      </w:r>
    </w:p>
    <w:p>
      <w:pPr>
        <w:spacing w:after="0" w:line="176"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Preclinically, we have tested 19 molecules in the RaniPill capsule, including ten antibodies, seven peptides, one Fc-fusion protein and one large protein. We have conducted preclinical testing of more than 7,000 RaniPill capsules in vivo and in vitro. In October 2023, we announced preclinical data from a 60-day, repeat oral-administration good laboratory practices (“GLP”) safety study of the RaniPill capsule in healthy animals. The RaniPill capsule was well tolerated with no treatment-related adverse events and all animals remained clinically healthy throughout the study.</w:t>
      </w:r>
    </w:p>
    <w:p>
      <w:pPr>
        <w:spacing w:after="0" w:line="180"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As of January 1, 2025, we had tested more than 350 RaniPill HC devices in vivo including delivery of multiple different antibodies and peptides. We intend to initiate clinical testing of the RaniPill HC in mid-2025.</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w:t>
      </w:r>
    </w:p>
    <w:p>
      <w:pPr>
        <w:spacing w:after="0" w:line="229" w:lineRule="exact"/>
        <w:rPr>
          <w:sz w:val="20"/>
          <w:szCs w:val="20"/>
          <w:color w:val="auto"/>
        </w:rPr>
      </w:pPr>
    </w:p>
    <w:p>
      <w:pPr>
        <w:jc w:val="both"/>
        <w:ind w:firstLine="1018"/>
        <w:spacing w:after="0" w:line="261" w:lineRule="auto"/>
        <w:rPr>
          <w:sz w:val="20"/>
          <w:szCs w:val="20"/>
          <w:color w:val="auto"/>
        </w:rPr>
      </w:pPr>
      <w:r>
        <w:rPr>
          <w:rFonts w:ascii="Times New Roman" w:cs="Times New Roman" w:eastAsia="Times New Roman" w:hAnsi="Times New Roman"/>
          <w:sz w:val="18"/>
          <w:szCs w:val="18"/>
          <w:color w:val="auto"/>
        </w:rPr>
        <w:t>In June 2024, we entered into a Collaboration Agreement (the “ProGen Collaboration Agreement”) with ProGen Co., Ltd. (“ProGen”). Under the ProGen Collaboration Agreement, the parties will collaborate to manufacture, develop, seek regulatory approvals for and, if approved, commercialize a product (RT-114) combining ProGen’s GLP-1/GLP-2 dual agonist compound, PG-102, and the RaniPill HC oral delivery device (the “Device”) in the field of weight management (including without limitation obesity, weight reduction and weight maintenance) in humans (the “ProGen Collaboration”).</w:t>
      </w:r>
    </w:p>
    <w:p>
      <w:pPr>
        <w:spacing w:after="0" w:line="180"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Under the ProGen Collaboration Agreement, development costs, as well as operating profits and losses from the commercialization of the Product, will be equally shared by us and ProGen. We and ProGen each granted to the other party an exclusive right and license (except with respect to the other party’s affiliates and sublicensees) to certain intellectual property to develop RT-114 for weight management and an exclusive right and license to seek regulatory approval for, and to use, sell, offer to sell, import and commercialize RT-114 in their assigned territories. The parties share responsibility for the development of RT-114 worldwide, with Rani leading such development for preclinical activities through Phase 1 clinical trials. After initiation of the first Phase 2 clinical trial, we will lead development and commercialization of RT-114 in the United States, Canada, Europe (including the United Kingdom) and Australia, and ProGen will lead development and commercialization in all other countries. See “License and Evaluation Agreements – ProGen Co., Ltd.”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229" w:lineRule="exact"/>
        <w:rPr>
          <w:sz w:val="20"/>
          <w:szCs w:val="20"/>
          <w:color w:val="auto"/>
        </w:rPr>
      </w:pPr>
    </w:p>
    <w:p>
      <w:pPr>
        <w:ind w:right="140" w:firstLine="1018"/>
        <w:spacing w:after="0" w:line="255" w:lineRule="auto"/>
        <w:rPr>
          <w:sz w:val="20"/>
          <w:szCs w:val="20"/>
          <w:color w:val="auto"/>
        </w:rPr>
      </w:pPr>
      <w:r>
        <w:rPr>
          <w:rFonts w:ascii="Times New Roman" w:cs="Times New Roman" w:eastAsia="Times New Roman" w:hAnsi="Times New Roman"/>
          <w:sz w:val="18"/>
          <w:szCs w:val="18"/>
          <w:color w:val="auto"/>
        </w:rPr>
        <w:t>In October 2024, we entered into a securities purchase agreement (the “October Securities Purchase Agreement”) with an institutional investor relating to the issuance and sale of: (i) 3,000,000 shares of our Class A common stock, (ii) pre-funded warrants to purchase 333,333 shares of Class A common stock, and (iii) Series C common warrants, which accompany the Class A common stock and pre-funded warrants, to purchase an aggregate of 3,333,333 shares of Class A common stock (the “October Offering”). The aggregate net proceeds from the October Offering totaled $9.4 million, after deducting placement agent fees and other offering expenses payable by us, and excluding potential proceeds, if any, from the exercise of the pre-funded warrants and Series C common warrants issued in the October Offering. In October 2024, the pre-funded warrants were fully exercised for de minimis proceeds.</w:t>
      </w:r>
    </w:p>
    <w:p>
      <w:pPr>
        <w:spacing w:after="0" w:line="18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In July 2024, we entered into a securities purchase agreement (the “July Securities Purchase Agreement”) with an institutional investor relating to the issuance and sale of: (i) 2,800,000 shares of its Class A common stock, (ii) pre-funded warrants to purchase 446,753 shares of Class A common stock, (iii) Series A common warrants, which accompany the Class A common stock and pre-funded warrants, to purchase an aggregate of 3,246,753 shares of Class A common stock (the “Series A Warrants”) and (iv) Series B common warrants, which accompany the Class A common stock and pre-funded warrants, to purchase an aggregate of 3,246,753 shares of Class A common stock (the “July Offering”). Pursuant to the October Securities Purchase Agreement, the Series A Warrants from the July Offering were cancelled. The aggregate net proceeds from the July Offering totaled $8.9 million, after deducting placement agent fees and other offering expenses, and excluding potential proceeds, if any, from the exercise of the Series B common warrants issued in the July Offering. In August 2024, the pre-funded warrants were fully exercised for de minimis proceeds.</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229"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In March 2025, we announced preclinical data demonstrating bioequivalence of RT-114, a GLP-1/GLP-2 dual agonist (PG-102) delivered orally via the RaniPill capsule, to subcutaneously administered PG-102. RT-114 yielded a relative bioavailability of 111% compared to PG-102 delivered subcutaneously with comparable pharmacokinetic profiles and weight loss. RT-114 was well tolerated and was excreted without sequelae in all subjects. For information regarding the preclinical study and the RT-114 program, see the section titled “Our Pipeline Programs - RT-114: GLP-1/GLP-2 dual agonist for the treatment of obesity” for more information.</w:t>
      </w:r>
    </w:p>
    <w:p>
      <w:pPr>
        <w:spacing w:after="0" w:line="183" w:lineRule="exact"/>
        <w:rPr>
          <w:sz w:val="20"/>
          <w:szCs w:val="20"/>
          <w:color w:val="auto"/>
        </w:rPr>
      </w:pPr>
    </w:p>
    <w:p>
      <w:pPr>
        <w:jc w:val="both"/>
        <w:ind w:right="180" w:firstLine="1018"/>
        <w:spacing w:after="0" w:line="266" w:lineRule="auto"/>
        <w:rPr>
          <w:sz w:val="20"/>
          <w:szCs w:val="20"/>
          <w:color w:val="auto"/>
        </w:rPr>
      </w:pPr>
      <w:r>
        <w:rPr>
          <w:rFonts w:ascii="Times New Roman" w:cs="Times New Roman" w:eastAsia="Times New Roman" w:hAnsi="Times New Roman"/>
          <w:sz w:val="18"/>
          <w:szCs w:val="18"/>
          <w:color w:val="auto"/>
        </w:rPr>
        <w:t>In February 2025, we announced preclinical data demonstrating successful oral delivery of the glucagon-like peptide-1 receptor (“GLP-1”) agonist semaglutide via the RaniPill HC (“RT-116”). In the study, RT-116 demonstrated comparable bioavailability, pharmacokinetics and weight loss to subcutaneous (“SC”) administration of semaglutide. Further, RT-116 was well tolerated with no serious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123190</wp:posOffset>
            </wp:positionV>
            <wp:extent cx="3865880" cy="5589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6588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In October 2024, we announced new pharmacokinetic data from a preclinical study evaluating a GLP-1, GIP and glucagon receptors incretin triagonist with a delivery method mimicking the RaniPill route of administration. The preclinical study evaluated the pharmacokinetic (“PK”) and pharmacodynamic (“PD”) profiles of an incretin triagonist (GLP-1, GIP, glucagon</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right="140"/>
        <w:spacing w:after="0" w:line="261" w:lineRule="auto"/>
        <w:rPr>
          <w:sz w:val="20"/>
          <w:szCs w:val="20"/>
          <w:color w:val="auto"/>
        </w:rPr>
      </w:pPr>
      <w:r>
        <w:rPr>
          <w:rFonts w:ascii="Times New Roman" w:cs="Times New Roman" w:eastAsia="Times New Roman" w:hAnsi="Times New Roman"/>
          <w:sz w:val="18"/>
          <w:szCs w:val="18"/>
          <w:color w:val="auto"/>
        </w:rPr>
        <w:t>receptors) when delivered via an endoscope-guided transenteric administration to mimic the RaniPill route of administration, versus the traditional administration route of subcutaneous injection. The study was conducted in canines separated into two groups. In Group 1 (N=3), 0.12 mg/kg of drug was administered via transenteric delivery by endoscope. In Group 2 (N=5), 0.12 mg/kg of drug was administered by SC injection. Blood samples were collected over 2 weeks for analysis of serum drug concentrations and various PD and safety biomarkers.</w:t>
      </w:r>
    </w:p>
    <w:p>
      <w:pPr>
        <w:spacing w:after="0" w:line="180"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A single dose of drug delivered via either transenteric or SC routes elicited rapid decreases in body weight and serum lipids. Weight loss observed following transenteric delivery was 9.7 ± 2.5 % versus 6.9 ± 2.1 % following SC injection and is believed to be due to early satiety leading to reduced caloric intake. Additionally, the bioavailability of drug delivered via the transenteric route was comparable to that of drug delivered via the SC route at the same dose. The drug was well tolerated in both groups with no serious adverse events (SAEs) observed or changes in safety markers examined.</w:t>
      </w:r>
    </w:p>
    <w:p>
      <w:pPr>
        <w:spacing w:after="0" w:line="120" w:lineRule="exact"/>
        <w:rPr>
          <w:sz w:val="20"/>
          <w:szCs w:val="20"/>
          <w:color w:val="auto"/>
        </w:rPr>
      </w:pPr>
    </w:p>
    <w:p>
      <w:pPr>
        <w:ind w:right="360" w:firstLine="1018"/>
        <w:spacing w:after="0" w:line="287" w:lineRule="auto"/>
        <w:rPr>
          <w:sz w:val="20"/>
          <w:szCs w:val="20"/>
          <w:color w:val="auto"/>
        </w:rPr>
      </w:pPr>
      <w:r>
        <w:rPr>
          <w:rFonts w:ascii="Times New Roman" w:cs="Times New Roman" w:eastAsia="Times New Roman" w:hAnsi="Times New Roman"/>
          <w:sz w:val="18"/>
          <w:szCs w:val="18"/>
          <w:color w:val="auto"/>
        </w:rPr>
        <w:t>Transenteric delivery yielded 80% relative bioavailability versus SC and differences between PK parameters (AUC,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T</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were not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102870</wp:posOffset>
            </wp:positionV>
            <wp:extent cx="3368675" cy="5271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867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1699895</wp:posOffset>
            </wp:positionH>
            <wp:positionV relativeFrom="page">
              <wp:posOffset>637540</wp:posOffset>
            </wp:positionV>
            <wp:extent cx="4157345"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1573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Compensation</w:t>
      </w:r>
    </w:p>
    <w:p>
      <w:pPr>
        <w:spacing w:after="0" w:line="229"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In November 2023, the Company’s Board of Directors (“Board”) approved a reduction in the annual salary of Talat Imran, the Company’s Chief Executive Officer, from $520,000 to $100,000, effective November 1, 2023 through December 31, 2024 or until such time as the Company receives gross proceeds of $50,000,000 or more, in the aggregate, from equity financing and/or one or more non-dilutive strategic, licensing or partnering transactions (the “Financing Threshold”). In November 2024, the Board approved to extend the reduction in annual salary of Talat Imran through December 31, 2025 or until the Financing Threshold is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Overview</w:t>
      </w:r>
    </w:p>
    <w:p>
      <w:pPr>
        <w:spacing w:after="0" w:line="22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The broad utility of the RaniPill capsule to enable the oral delivery of biologics and drugs provides us with a range of attractive development opportunities. We have prioritized development based on specific scientific, developmental, regulatory, and commercial considerations to optimize our portfolio of targeted product candidates. Our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 In addition, we intend to enter into licenses and collaborations with biopharmaceutical companies for the use of our oral delivery technology to develop and commercialize oral versions of their biologics and drugs.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Below is a summary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154305</wp:posOffset>
            </wp:positionV>
            <wp:extent cx="4989195" cy="2143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91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900" w:right="4780" w:firstLine="6"/>
        <w:spacing w:after="0" w:line="262" w:lineRule="auto"/>
        <w:tabs>
          <w:tab w:leader="none" w:pos="103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Clinical timelines are subject to potential regulatory agency review delays. ** RT-114 is the subject of a worldwide collaboration with ProGen Co. Ltd.</w:t>
      </w:r>
    </w:p>
    <w:p>
      <w:pPr>
        <w:ind w:left="9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***Ustekinumab and adalimumab biosimilars are supplied by Celltrion. Celltrion grants us a license and drug supply for each drug.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RT-114: GLP-1/GLP-2 dual agonist for the treatment of obesity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w:t>
      </w:r>
    </w:p>
    <w:p>
      <w:pPr>
        <w:spacing w:after="0" w:line="227"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The Centers for Disease Control and Prevention estimates that more than 2 in 5 adults (age 20 and over) in the U.S. have obesity based on data from 2017 to March 2020, which is more than 100 million people in the U.S. The global market for anti-obesity treatments is estimated to reach $100 billion by 2030. Several anti-obesity treatments are currently available, including GLP-1 agonist semaglutide (marketed as Wegovy® by Novo Nordisk A/S) and GLP-1/gastric inhibitory polypeptide (GIP) tirzepatide (marketed as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right="80"/>
        <w:spacing w:after="0" w:line="266" w:lineRule="auto"/>
        <w:rPr>
          <w:sz w:val="20"/>
          <w:szCs w:val="20"/>
          <w:color w:val="auto"/>
        </w:rPr>
      </w:pPr>
      <w:r>
        <w:rPr>
          <w:rFonts w:ascii="Times New Roman" w:cs="Times New Roman" w:eastAsia="Times New Roman" w:hAnsi="Times New Roman"/>
          <w:sz w:val="18"/>
          <w:szCs w:val="18"/>
          <w:color w:val="auto"/>
        </w:rPr>
        <w:t>Zepbound® by Eli Lilly &amp; Co.). Many potential treatments are in development for obesity and weight management. A real-world study by Blue Health Intelligence found that more than 30% of GLP-1 users discontinue treatment within the first month of use and less than half of those prescribed stay on the medication for 12 weeks or more.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RT-114</w:t>
      </w:r>
    </w:p>
    <w:p>
      <w:pPr>
        <w:spacing w:after="0" w:line="227"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We are developing RT-114, a RaniPill capsule containing a GLP-1/GLP-2 dual agonist, for the treatment of obesity. We believe RT-114 may be differentiated from other obesity treatments with regards to tolerability and better preservation of lean mass. In addition, pharmacokinetic / pharmacodynamic data of the drug substance (“DS”) in RT-114 support potential dosing of oral RT-114 on a weekly schedule, which may improve patient compliance. We are targeting a profile for RT-114 of once a week oral dosing, potential for better tolerability with more frequent, smaller doses than injectables, potential for less frequent administration than oral competitors and less API required compared to chemistry-based oral molecules.</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227" w:lineRule="exact"/>
        <w:rPr>
          <w:sz w:val="20"/>
          <w:szCs w:val="20"/>
          <w:color w:val="auto"/>
        </w:rPr>
      </w:pPr>
    </w:p>
    <w:p>
      <w:pPr>
        <w:ind w:right="260" w:firstLine="1018"/>
        <w:spacing w:after="0" w:line="256" w:lineRule="auto"/>
        <w:rPr>
          <w:sz w:val="20"/>
          <w:szCs w:val="20"/>
          <w:color w:val="auto"/>
        </w:rPr>
      </w:pPr>
      <w:r>
        <w:rPr>
          <w:rFonts w:ascii="Times New Roman" w:cs="Times New Roman" w:eastAsia="Times New Roman" w:hAnsi="Times New Roman"/>
          <w:sz w:val="18"/>
          <w:szCs w:val="18"/>
          <w:color w:val="auto"/>
        </w:rPr>
        <w:t>We are conducting preclinical studies with RT-114. RT-114 is the subject of a collaboration between ProGen and us. The drug substance used in RT-114 is a GLP-1/GLP-2 dual agonist known as PG-102 developed by ProGen. In March 2025, we announced preclinical data demonstrating bioequivalence of RT-114, PG-102 delivered orally via the RaniPill capsule, to subcutaneously administered PG-102. RT-114 yielded a relative bioavailability of 111% compared to PG-102 delivered subcutaneously with comparable pharmacokinetic profiles. RT-114 was well tolerated with no changes in drug-related safety profile compared to delivery and was excreted without sequelae in all subjects. Average peak weight loss was the same in both groups with greater variability with subcutaneous dosing (6.7% ± 0.5% for RT-114 and 6.7% ± 2.2% for subcutaneous PG-102).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130810</wp:posOffset>
            </wp:positionV>
            <wp:extent cx="3968750" cy="5580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68750" cy="558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3" w:name="page14"/>
    <w:bookmarkEnd w:id="13"/>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ProGen’s preclinical studies demonstrated that treatment with PG-102 resulted in greater glycemic control while inducing a similar degree of body weight loss versus semaglutide and tirzepatide. ProGen presented results from its Phase 1 single-ascending dose study of PG-102 at the 2024 American Diabetes Association conference in which PG-102 showed a favorable safety profile with lower frequencies of gastrointestinal (“GI”) side effects compared to competitors’ trials in similar settings. In addition, preclinical studies of PG-102 have demonstrated in a diet-induced obesity (DIO) mouse model weight loss and improved body composition (fat versus lean mass loss) under similar weight loss condition compared to dapiglutide and tirzepatide.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130810</wp:posOffset>
            </wp:positionV>
            <wp:extent cx="3411855" cy="254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1185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**p&lt;0.01. Data are shown in ±SEM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154305</wp:posOffset>
            </wp:positionV>
            <wp:extent cx="2966085" cy="2443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608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HFD=high fat diet.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intend to initiate a Phase 1 clinical trial of RT-114 in mid-2025.</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RT-111: Ustekinumab for the treatment of inflammatory conditions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w:t>
      </w:r>
    </w:p>
    <w:p>
      <w:pPr>
        <w:spacing w:after="0" w:line="227" w:lineRule="exact"/>
        <w:rPr>
          <w:sz w:val="20"/>
          <w:szCs w:val="20"/>
          <w:color w:val="auto"/>
        </w:rPr>
      </w:pPr>
    </w:p>
    <w:p>
      <w:pPr>
        <w:ind w:right="260" w:firstLine="1018"/>
        <w:spacing w:after="0" w:line="258" w:lineRule="auto"/>
        <w:rPr>
          <w:sz w:val="20"/>
          <w:szCs w:val="20"/>
          <w:color w:val="auto"/>
        </w:rPr>
      </w:pPr>
      <w:r>
        <w:rPr>
          <w:rFonts w:ascii="Times New Roman" w:cs="Times New Roman" w:eastAsia="Times New Roman" w:hAnsi="Times New Roman"/>
          <w:sz w:val="18"/>
          <w:szCs w:val="18"/>
          <w:color w:val="auto"/>
        </w:rPr>
        <w:t>Ustekinumab is currently approved by the FDA and European Medicines Agency (“EMA”) for the treatment of various inflammatory conditions under the brand name STELARA. STELARA (ustekinumab) is an interleukin-12 and interleukin-23 antagonist marketed by Janssen Biotech, Inc. with sales of approximately $6.4 billion in the United States and approximately $9.7 billion worldwide in 2022. The latest expiring United States patent for STELARA (ustekinumab) expired in 2023. In the United States, there were estimated to be seven million patients with psoriasis and three million patients with Crohn’s disease or ulcerative colitis in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solution: RT-111</w:t>
      </w:r>
    </w:p>
    <w:p>
      <w:pPr>
        <w:spacing w:after="0" w:line="225" w:lineRule="exact"/>
        <w:rPr>
          <w:sz w:val="20"/>
          <w:szCs w:val="20"/>
          <w:color w:val="auto"/>
        </w:rPr>
      </w:pPr>
    </w:p>
    <w:p>
      <w:pPr>
        <w:ind w:right="180" w:firstLine="1018"/>
        <w:spacing w:after="0" w:line="261" w:lineRule="auto"/>
        <w:rPr>
          <w:sz w:val="20"/>
          <w:szCs w:val="20"/>
          <w:color w:val="auto"/>
        </w:rPr>
      </w:pPr>
      <w:r>
        <w:rPr>
          <w:rFonts w:ascii="Times New Roman" w:cs="Times New Roman" w:eastAsia="Times New Roman" w:hAnsi="Times New Roman"/>
          <w:sz w:val="18"/>
          <w:szCs w:val="18"/>
          <w:color w:val="auto"/>
        </w:rPr>
        <w:t>We are developing RT-111, a RaniPill capsule containing an ustekinumab biosimilar, for the treatment of various inflammatory conditions. We entered into a License and Supply Agreement with Celltrion, under which we receive a license and supply of Celltrion’s ustekinumab biosimilar for development and commercialization worldwide, subject to a right of first negotiation for Celltrion following completion of a Phase 1 clinical trial that meets its primary endpoint(s).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w:t>
      </w:r>
    </w:p>
    <w:p>
      <w:pPr>
        <w:spacing w:after="0" w:line="225"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In February 2024, we announced positive topline results from a Phase 1 study of RT-111, which is being developed for the potential treatment of inflammatory conditions. The study met all of its endpoints and RT-111 was generally well tolerated with no serious adverse events noted. In the study, RT-111 orally delivered 0.5 mg and 0.75 mg of our proprietary formulation of ustekinumab biosimilar with high bioavailability.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Study Design</w:t>
      </w:r>
    </w:p>
    <w:p>
      <w:pPr>
        <w:spacing w:after="0" w:line="225"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The single-center, open label Phase 1 study of RT-111 was conducted in Australia. The study evaluated the safety, and tolerability of a single administration of RT-111 in healthy adult volunteers. Of the 55 participants, 20 orally ingested RT-111 containing a single 0.5 mg dose of ustekinumab biosimilar and 20 orally ingested RT-111 containing a single 0.75 mg dose of ustekinumab biosimilar, while a control group of 15 participants received a single 0.5 mg subcutaneous injection of STELARA, a commercial formulation of ustekinumab for subcutaneous administration.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Data</w:t>
      </w:r>
    </w:p>
    <w:p>
      <w:pPr>
        <w:spacing w:after="0" w:line="225"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In the Phase 1 study, RT-111 was generally well tolerated, with no serious adverse events (“SAE”) noted during the study. None of the participants withdrew from the study due to any adverse event. Two subjects in the 0.5mg RT-111 group and one subject in the 0.5mg SC STELARA® group had mild, transient adverse events which resolved without any intervention. There was no meaningful difference in incidence of anti-drug antibodies via the RaniPill route of delivery compared to STELARA® SC injection.</w:t>
      </w:r>
    </w:p>
    <w:p>
      <w:pPr>
        <w:spacing w:after="0" w:line="215" w:lineRule="exact"/>
        <w:rPr>
          <w:sz w:val="20"/>
          <w:szCs w:val="20"/>
          <w:color w:val="auto"/>
        </w:rPr>
      </w:pPr>
    </w:p>
    <w:tbl>
      <w:tblPr>
        <w:tblLayout w:type="fixed"/>
        <w:tblInd w:w="870" w:type="dxa"/>
        <w:tblCellMar>
          <w:top w:w="0" w:type="dxa"/>
          <w:left w:w="0" w:type="dxa"/>
          <w:bottom w:w="0" w:type="dxa"/>
          <w:right w:w="0" w:type="dxa"/>
        </w:tblCellMar>
      </w:tblPr>
      <w:tr>
        <w:trPr>
          <w:trHeight w:val="214"/>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Stelara® SC 0.50 mg</w:t>
            </w:r>
          </w:p>
        </w:tc>
        <w:tc>
          <w:tcPr>
            <w:tcW w:w="2140" w:type="dxa"/>
            <w:vAlign w:val="bottom"/>
            <w:tcBorders>
              <w:top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RT-111 0.50 mg</w:t>
            </w:r>
          </w:p>
        </w:tc>
        <w:tc>
          <w:tcPr>
            <w:tcW w:w="21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RT-111 0.75 mg</w:t>
            </w:r>
          </w:p>
        </w:tc>
      </w:tr>
      <w:tr>
        <w:trPr>
          <w:trHeight w:val="251"/>
        </w:trPr>
        <w:tc>
          <w:tcPr>
            <w:tcW w:w="206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N=15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N=20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N=20</w:t>
            </w:r>
          </w:p>
        </w:tc>
      </w:tr>
      <w:tr>
        <w:trPr>
          <w:trHeight w:val="193"/>
        </w:trPr>
        <w:tc>
          <w:tcPr>
            <w:tcW w:w="2060" w:type="dxa"/>
            <w:vAlign w:val="bottom"/>
            <w:tcBorders>
              <w:left w:val="single" w:sz="8" w:color="auto"/>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Drug Signal Detected</w:t>
            </w:r>
          </w:p>
        </w:tc>
        <w:tc>
          <w:tcPr>
            <w:tcW w:w="1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N=15</w:t>
            </w:r>
          </w:p>
        </w:tc>
        <w:tc>
          <w:tcPr>
            <w:tcW w:w="21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N=19</w:t>
            </w:r>
          </w:p>
        </w:tc>
        <w:tc>
          <w:tcPr>
            <w:tcW w:w="2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N=16</w:t>
            </w: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Number of ADA Positive Cases</w:t>
            </w:r>
          </w:p>
        </w:tc>
        <w:tc>
          <w:tcPr>
            <w:tcW w:w="2120" w:type="dxa"/>
            <w:vAlign w:val="bottom"/>
            <w:tcBorders>
              <w:bottom w:val="single" w:sz="8" w:color="auto"/>
              <w:right w:val="single" w:sz="8" w:color="auto"/>
            </w:tcBorders>
          </w:tcPr>
          <w:p>
            <w:pPr>
              <w:spacing w:after="0"/>
              <w:rPr>
                <w:sz w:val="18"/>
                <w:szCs w:val="18"/>
                <w:color w:val="auto"/>
              </w:rPr>
            </w:pPr>
          </w:p>
        </w:tc>
      </w:tr>
      <w:tr>
        <w:trPr>
          <w:trHeight w:val="210"/>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ADA Positive*</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9"/>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ADA positive post dosing, increase in titer compared to pre-dose level</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 participants reported difficulty swallowing the capsule and capsule remnants passed from all participants without sequelae.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Pharmacokinetics</w:t>
      </w:r>
    </w:p>
    <w:p>
      <w:pPr>
        <w:spacing w:after="0" w:line="225" w:lineRule="exact"/>
        <w:rPr>
          <w:sz w:val="20"/>
          <w:szCs w:val="20"/>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 RT-111 delivered 0.5mg and 0.75mg of ustekinumab biosimilar with high bioavailability (estimated bioavailability of 84% for 0.5mg RT-111 relative to 0.5mg SC STELARA®).</w:t>
      </w:r>
    </w:p>
    <w:p>
      <w:pPr>
        <w:spacing w:after="0" w:line="188" w:lineRule="exact"/>
        <w:rPr>
          <w:sz w:val="20"/>
          <w:szCs w:val="20"/>
          <w:color w:val="auto"/>
        </w:rPr>
      </w:pPr>
    </w:p>
    <w:tbl>
      <w:tblPr>
        <w:tblLayout w:type="fixed"/>
        <w:tblInd w:w="870" w:type="dxa"/>
        <w:tblCellMar>
          <w:top w:w="0" w:type="dxa"/>
          <w:left w:w="0" w:type="dxa"/>
          <w:bottom w:w="0" w:type="dxa"/>
          <w:right w:w="0" w:type="dxa"/>
        </w:tblCellMar>
      </w:tblPr>
      <w:tr>
        <w:trPr>
          <w:trHeight w:val="239"/>
        </w:trPr>
        <w:tc>
          <w:tcPr>
            <w:tcW w:w="240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380" w:type="dxa"/>
            <w:vAlign w:val="bottom"/>
            <w:tcBorders>
              <w:top w:val="single" w:sz="8" w:color="auto"/>
              <w:bottom w:val="single" w:sz="8" w:color="auto"/>
              <w:right w:val="single" w:sz="8" w:color="auto"/>
            </w:tcBorders>
          </w:tcPr>
          <w:p>
            <w:pPr>
              <w:ind w:left="460"/>
              <w:spacing w:after="0" w:line="239" w:lineRule="exact"/>
              <w:rPr>
                <w:sz w:val="20"/>
                <w:szCs w:val="20"/>
                <w:color w:val="auto"/>
              </w:rPr>
            </w:pPr>
            <w:r>
              <w:rPr>
                <w:rFonts w:ascii="Times New Roman" w:cs="Times New Roman" w:eastAsia="Times New Roman" w:hAnsi="Times New Roman"/>
                <w:sz w:val="18"/>
                <w:szCs w:val="18"/>
                <w:color w:val="auto"/>
              </w:rPr>
              <w:t>Stelara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SC 0.50mg</w:t>
            </w:r>
          </w:p>
        </w:tc>
        <w:tc>
          <w:tcPr>
            <w:tcW w:w="240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RT-111 0.50mg</w:t>
            </w:r>
          </w:p>
        </w:tc>
        <w:tc>
          <w:tcPr>
            <w:tcW w:w="236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RT-111 0.75mg</w:t>
            </w:r>
          </w:p>
        </w:tc>
      </w:tr>
    </w:tbl>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tbl>
      <w:tblPr>
        <w:tblLayout w:type="fixed"/>
        <w:tblInd w:w="870" w:type="dxa"/>
        <w:tblCellMar>
          <w:top w:w="0" w:type="dxa"/>
          <w:left w:w="0" w:type="dxa"/>
          <w:bottom w:w="0" w:type="dxa"/>
          <w:right w:w="0" w:type="dxa"/>
        </w:tblCellMar>
      </w:tblPr>
      <w:tr>
        <w:trPr>
          <w:trHeight w:val="249"/>
        </w:trPr>
        <w:tc>
          <w:tcPr>
            <w:tcW w:w="2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Cmax (ng/mL)</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 ± 4</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 ± 7</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 ± 8</w:t>
            </w:r>
          </w:p>
        </w:tc>
      </w:tr>
      <w:tr>
        <w:trPr>
          <w:trHeight w:val="193"/>
        </w:trPr>
        <w:tc>
          <w:tcPr>
            <w:tcW w:w="2420" w:type="dxa"/>
            <w:vAlign w:val="bottom"/>
            <w:tcBorders>
              <w:left w:val="single" w:sz="8" w:color="auto"/>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Tmax (days)</w:t>
            </w:r>
          </w:p>
        </w:tc>
        <w:tc>
          <w:tcPr>
            <w:tcW w:w="2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10 ± 0.8</w:t>
            </w:r>
          </w:p>
        </w:tc>
        <w:tc>
          <w:tcPr>
            <w:tcW w:w="2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3.1 ± 0.2*</w:t>
            </w:r>
          </w:p>
        </w:tc>
        <w:tc>
          <w:tcPr>
            <w:tcW w:w="2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3.3 ± 0.2*</w:t>
            </w:r>
          </w:p>
        </w:tc>
      </w:tr>
      <w:tr>
        <w:trPr>
          <w:trHeight w:val="209"/>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AUC (day*ng/mL)</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1,566 ± 130</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1,315 ± 150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1,814 ± 165</w:t>
            </w:r>
          </w:p>
        </w:tc>
      </w:tr>
      <w:tr>
        <w:trPr>
          <w:trHeight w:val="210"/>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Bioavailability</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84%</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Data are Mean ± SE from all subjects, including those with anti-drug antibodies. *p&lt;0.0001 significantly different from SC group.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Supply Agreement</w:t>
      </w:r>
    </w:p>
    <w:p>
      <w:pPr>
        <w:spacing w:after="0" w:line="227" w:lineRule="exact"/>
        <w:rPr>
          <w:sz w:val="20"/>
          <w:szCs w:val="20"/>
          <w:color w:val="auto"/>
        </w:rPr>
      </w:pPr>
    </w:p>
    <w:p>
      <w:pPr>
        <w:ind w:right="40" w:firstLine="1018"/>
        <w:spacing w:after="0" w:line="282" w:lineRule="auto"/>
        <w:rPr>
          <w:sz w:val="20"/>
          <w:szCs w:val="20"/>
          <w:color w:val="auto"/>
        </w:rPr>
      </w:pPr>
      <w:r>
        <w:rPr>
          <w:rFonts w:ascii="Times New Roman" w:cs="Times New Roman" w:eastAsia="Times New Roman" w:hAnsi="Times New Roman"/>
          <w:sz w:val="18"/>
          <w:szCs w:val="18"/>
          <w:color w:val="auto"/>
        </w:rPr>
        <w:t>In January 2023, we announced entering into a License and Supply Agreement with Celltrion under which we receive a license and supply of Celltrion’s ustekinumab biosimilar for development and commercialization of RT-111 worldwide.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intend to advance clinical development of RT-111 at higher doses.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RT-102: Parathyroid hormone (PTH) for the treatment of osteoporosis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w:t>
      </w:r>
    </w:p>
    <w:p>
      <w:pPr>
        <w:spacing w:after="0" w:line="227"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with age.</w:t>
      </w:r>
    </w:p>
    <w:p>
      <w:pPr>
        <w:spacing w:after="0" w:line="176"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PTH is an effective bone-building treatment for osteoporosis. PTH is a hormone secreted by the parathyroid glands that regulates serum calcium concentration and promotes bone growth. PTH therapies are delivered by daily subcutaneous injections for up to two years. Approximately ten million Americans suffer from osteoporosis; however, we estimate that only a small fraction of this population is being treated with a form of PTH. While there may be other reasons for this, we believe that patient aversion to daily injections may be a major factor. As a result, non-bone-building and less effective antiresorptive drugs are used as first line therapies because they are available in oral form.</w:t>
      </w:r>
    </w:p>
    <w:p>
      <w:pPr>
        <w:spacing w:after="0" w:line="183" w:lineRule="exact"/>
        <w:rPr>
          <w:sz w:val="20"/>
          <w:szCs w:val="20"/>
          <w:color w:val="auto"/>
        </w:rPr>
      </w:pPr>
    </w:p>
    <w:p>
      <w:pPr>
        <w:jc w:val="both"/>
        <w:ind w:right="40" w:firstLine="1018"/>
        <w:spacing w:after="0" w:line="261" w:lineRule="auto"/>
        <w:rPr>
          <w:sz w:val="20"/>
          <w:szCs w:val="20"/>
          <w:color w:val="auto"/>
        </w:rPr>
      </w:pPr>
      <w:r>
        <w:rPr>
          <w:rFonts w:ascii="Times New Roman" w:cs="Times New Roman" w:eastAsia="Times New Roman" w:hAnsi="Times New Roman"/>
          <w:sz w:val="18"/>
          <w:szCs w:val="18"/>
          <w:color w:val="auto"/>
        </w:rPr>
        <w:t>Teriparatide, a synthetic form of the natural human parathyroid hormone hPTH(1-34), is a PTH analog administered as a once-daily injection to treat osteoporosis, first developed by Eli Lilly and Company and sold under the brand name Forteo. Another PTH analog injectable is Tymlos by Radius Health, Inc., which was approved in 2017. A teriparatide biosimilar injectable by Pfenex, Inc. was approved in 2019. Annual sales revenue of PTH analogs and biosimilars globally in 2021 was approximately $2.0 billion.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RT-102</w:t>
      </w:r>
    </w:p>
    <w:p>
      <w:pPr>
        <w:spacing w:after="0" w:line="227"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We are developing RT-102, the RaniPill capsule containing our novel formulation of PTH, for oral treatment of osteoporosis. We have worldwide commercial rights to RT-102. In addition to the existing market, we believe there is an opportunity to expand the market by advancing RT-102 as a first line therapy for osteoporosis.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pharmacodynamic study</w:t>
      </w:r>
    </w:p>
    <w:p>
      <w:pPr>
        <w:spacing w:after="0" w:line="227" w:lineRule="exact"/>
        <w:rPr>
          <w:sz w:val="20"/>
          <w:szCs w:val="20"/>
          <w:color w:val="auto"/>
        </w:rPr>
      </w:pPr>
    </w:p>
    <w:p>
      <w:pPr>
        <w:ind w:right="220" w:firstLine="1018"/>
        <w:spacing w:after="0" w:line="261" w:lineRule="auto"/>
        <w:rPr>
          <w:sz w:val="20"/>
          <w:szCs w:val="20"/>
          <w:color w:val="auto"/>
        </w:rPr>
      </w:pPr>
      <w:r>
        <w:rPr>
          <w:rFonts w:ascii="Times New Roman" w:cs="Times New Roman" w:eastAsia="Times New Roman" w:hAnsi="Times New Roman"/>
          <w:sz w:val="18"/>
          <w:szCs w:val="18"/>
          <w:color w:val="auto"/>
        </w:rPr>
        <w:t>We conducted a 6-week pharmacodynamic study of the RT-102 drug substance PTH (1-34) to evaluate the effect of daily RT-102 drug substance intraperitoneal injections on bone mineral density in a rodent model of osteoporosis. The study compared two control groups of rodents undergoing sham surgery (N=10) and ovariectomy (N=10) receiving no drug, to three overiectomized groups each dosed with 5 mcg/kg per day of either RT-102 DS (N=10), teriparatide (N=10), or abaloparatide (N=10).</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study found that, following six weeks of treatment:</w:t>
      </w:r>
    </w:p>
    <w:p>
      <w:pPr>
        <w:spacing w:after="0" w:line="22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DS increased bone mineral density (“BMD”) in a rat model of osteoporosis.</w:t>
      </w:r>
    </w:p>
    <w:p>
      <w:pPr>
        <w:spacing w:after="0" w:line="225"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DS delivered via the intraperitoneal (“IP”) route of administration was biologically active comparable to subcutaneously injected PTH analogs.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In 2022, we completed a Phase 1 clinical trial with RT-102 in Australia. The study involved a single-ascending dose portion (“Study Part 1”) and a seven-day repeat-dose portion (“Study Part 2”). The Phase 1 study met all of its endpoints, RT-102 was well tolerated and delivery yielded high bioavailability (more than 300% greater bioavailability than subcutaneous injection). No serious adverse events were reported in the study.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Study Part 1 - Topline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Study Design</w:t>
      </w:r>
    </w:p>
    <w:p>
      <w:pPr>
        <w:spacing w:after="0" w:line="225"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The single-center, open label, Study Part 1 was conducted in Australia. The study evaluated the safety, tolerability, and pharmacokinetics of RT-102 in healthy adult female volunteers. Of the 39 participants, 15 were administered RT-102 containing a single 20 μg dose of PTH and 14 were administered RT-102 containing a single 80 μg dose of PTH, while a control group of ten participants received a single 20 μg subcutaneous injection (SC) of Forteo (teriparatide), a commercial formulation of PTH for subcutaneous administration. The endpoints of the study were safety and tolerability, and measurements of serum concentrations of RT-102 in healthy adult female volunteers.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Data</w:t>
      </w:r>
    </w:p>
    <w:p>
      <w:pPr>
        <w:spacing w:after="0" w:line="22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Study Part 1, RT-102 was generally well tolerated, with no RaniPill-related adverse events (“AEs”) observed in study participants: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(0/15) of participants dosed with RT-102 20 μg experienced drug-related AEs.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(2/14) of participants dosed with of RT-102 80 μg experienced drug-related AEs.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(5/10) of participants dosed with 20 μg of Forteo SC experienced drug-related AEs.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serious adverse events (“SAEs”) noted during Study Part 1.</w:t>
      </w:r>
    </w:p>
    <w:p>
      <w:pPr>
        <w:spacing w:after="0" w:line="225"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Per protocol, in instances where the RaniPill capsule did not exit the stomach within seven hours, participants were excluded from the study. Based on the exclusion criteria, three participants were excluded from Study Part 1, one of whom experienced bloating, and one additional subject was excluded due to vomiting the capsule intact. In all instances, the capsule remnants passed from all participants who ingested the RaniPill capsule.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Pharmacokinetics</w:t>
      </w:r>
    </w:p>
    <w:p>
      <w:pPr>
        <w:spacing w:after="0" w:line="225" w:lineRule="exact"/>
        <w:rPr>
          <w:sz w:val="20"/>
          <w:szCs w:val="20"/>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Study Part 1, RT-102 (20 μg and 80 μg) orally delivered PTH with 300%-400% greater bioavailability than PTH delivered by Forteo SC (20 μg).</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20 μg delivered PTH with lower, more sustained peak serum levels and higher area under the curve (“AUC”) than Forteo SC 20 μg.</w:t>
      </w:r>
    </w:p>
    <w:p>
      <w:pPr>
        <w:spacing w:after="0" w:line="264" w:lineRule="exact"/>
        <w:rPr>
          <w:sz w:val="20"/>
          <w:szCs w:val="20"/>
          <w:color w:val="auto"/>
        </w:rPr>
      </w:pPr>
    </w:p>
    <w:tbl>
      <w:tblPr>
        <w:tblLayout w:type="fixed"/>
        <w:tblInd w:w="870" w:type="dxa"/>
        <w:tblCellMar>
          <w:top w:w="0" w:type="dxa"/>
          <w:left w:w="0" w:type="dxa"/>
          <w:bottom w:w="0" w:type="dxa"/>
          <w:right w:w="0" w:type="dxa"/>
        </w:tblCellMar>
      </w:tblPr>
      <w:tr>
        <w:trPr>
          <w:trHeight w:val="230"/>
        </w:trPr>
        <w:tc>
          <w:tcPr>
            <w:tcW w:w="2400" w:type="dxa"/>
            <w:vAlign w:val="bottom"/>
            <w:tcBorders>
              <w:bottom w:val="single" w:sz="8" w:color="auto"/>
              <w:right w:val="single" w:sz="8" w:color="auto"/>
            </w:tcBorders>
          </w:tcPr>
          <w:p>
            <w:pPr>
              <w:spacing w:after="0"/>
              <w:rPr>
                <w:sz w:val="19"/>
                <w:szCs w:val="19"/>
                <w:color w:val="auto"/>
              </w:rPr>
            </w:pP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Forteo SC 20 μg</w:t>
            </w:r>
          </w:p>
        </w:tc>
        <w:tc>
          <w:tcPr>
            <w:tcW w:w="240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RT-102 20 μg</w:t>
            </w:r>
          </w:p>
        </w:tc>
        <w:tc>
          <w:tcPr>
            <w:tcW w:w="236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RT-102 80 μg</w:t>
            </w:r>
          </w:p>
        </w:tc>
      </w:tr>
      <w:tr>
        <w:trPr>
          <w:trHeight w:val="210"/>
        </w:trPr>
        <w:tc>
          <w:tcPr>
            <w:tcW w:w="2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Cmax (pg/mL)</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 ± 20</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 ± 10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971 ± 223</w:t>
            </w:r>
          </w:p>
        </w:tc>
      </w:tr>
      <w:tr>
        <w:trPr>
          <w:trHeight w:val="210"/>
        </w:trPr>
        <w:tc>
          <w:tcPr>
            <w:tcW w:w="2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Tmax (hr)</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0.217</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0.994</w:t>
            </w:r>
          </w:p>
        </w:tc>
      </w:tr>
      <w:tr>
        <w:trPr>
          <w:trHeight w:val="209"/>
        </w:trPr>
        <w:tc>
          <w:tcPr>
            <w:tcW w:w="2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AUC (h*pg/mL)</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 ± 64</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342 ± 36</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2600 ± 649</w:t>
            </w:r>
          </w:p>
        </w:tc>
      </w:tr>
      <w:tr>
        <w:trPr>
          <w:trHeight w:val="210"/>
        </w:trPr>
        <w:tc>
          <w:tcPr>
            <w:tcW w:w="2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Relative BA (5)</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Device Performance</w:t>
      </w:r>
    </w:p>
    <w:p>
      <w:pPr>
        <w:spacing w:after="0" w:line="225" w:lineRule="exact"/>
        <w:rPr>
          <w:sz w:val="20"/>
          <w:szCs w:val="20"/>
          <w:color w:val="auto"/>
        </w:rPr>
      </w:pPr>
    </w:p>
    <w:p>
      <w:pPr>
        <w:ind w:left="1020" w:right="4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versions of the RaniPill capsule were used during Study Part 1: Version C, which was used in our prior Phase 1 study of octreotide (which also utilized a Version A and Version B); and Version D, the latest iteration of the RaniPill capsule.</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RaniPill Version D demonstrated a higher drug delivery success rate than Version C:</w:t>
      </w:r>
    </w:p>
    <w:p>
      <w:pPr>
        <w:spacing w:after="0" w:line="22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95% (20/21) of participants received successful drug delivery when ingesting RaniPill Version D.</w:t>
      </w:r>
    </w:p>
    <w:p>
      <w:pPr>
        <w:spacing w:after="0" w:line="22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75% (6/8) of participants received successful drug delivery when ingesting RaniPill Version C.</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260" w:firstLine="1018"/>
        <w:spacing w:after="0" w:line="282" w:lineRule="auto"/>
        <w:rPr>
          <w:sz w:val="20"/>
          <w:szCs w:val="20"/>
          <w:color w:val="auto"/>
        </w:rPr>
      </w:pPr>
      <w:r>
        <w:rPr>
          <w:rFonts w:ascii="Times New Roman" w:cs="Times New Roman" w:eastAsia="Times New Roman" w:hAnsi="Times New Roman"/>
          <w:sz w:val="18"/>
          <w:szCs w:val="18"/>
          <w:color w:val="auto"/>
        </w:rPr>
        <w:t>The device performance analysis does not include participants excluded from the study per protocol, as drug delivery was not measured in such participants.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Study Part 2 - Topline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Study Design</w:t>
      </w:r>
    </w:p>
    <w:p>
      <w:pPr>
        <w:spacing w:after="0" w:line="225" w:lineRule="exact"/>
        <w:rPr>
          <w:sz w:val="20"/>
          <w:szCs w:val="20"/>
          <w:color w:val="auto"/>
        </w:rPr>
      </w:pPr>
    </w:p>
    <w:p>
      <w:pPr>
        <w:jc w:val="both"/>
        <w:ind w:right="80" w:firstLine="1018"/>
        <w:spacing w:after="0" w:line="266" w:lineRule="auto"/>
        <w:rPr>
          <w:sz w:val="20"/>
          <w:szCs w:val="20"/>
          <w:color w:val="auto"/>
        </w:rPr>
      </w:pPr>
      <w:r>
        <w:rPr>
          <w:rFonts w:ascii="Times New Roman" w:cs="Times New Roman" w:eastAsia="Times New Roman" w:hAnsi="Times New Roman"/>
          <w:sz w:val="18"/>
          <w:szCs w:val="18"/>
          <w:color w:val="auto"/>
        </w:rPr>
        <w:t>Study Part 2 was a continuation of Rani’s single-center, open-label Phase 1 study of RT-102 conducted in Australia. The study evaluated the safety and tolerability of once-daily administration of RT-102 containing 20 μg of PTH given repeatedly for seven consecutive days in ten healthy female volunteers (five of whom were post-menopausal). Complete pharmacokinetic profiles of PTH were obtained for each subject on Day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Data</w:t>
      </w:r>
    </w:p>
    <w:p>
      <w:pPr>
        <w:spacing w:after="0" w:line="22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was generally well tolerated, with no serious adverse events noted during the study</w:t>
      </w:r>
    </w:p>
    <w:p>
      <w:pPr>
        <w:spacing w:after="0" w:line="225" w:lineRule="exact"/>
        <w:rPr>
          <w:rFonts w:ascii="Times New Roman" w:cs="Times New Roman" w:eastAsia="Times New Roman" w:hAnsi="Times New Roman"/>
          <w:sz w:val="18"/>
          <w:szCs w:val="18"/>
          <w:color w:val="auto"/>
        </w:rPr>
      </w:pPr>
    </w:p>
    <w:p>
      <w:pPr>
        <w:ind w:left="1540" w:right="5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oNone of the participants withdrew from the repeat-dose study due to any adverse event related to the RaniPill capsule or due to difficulty swallowing the capsule</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Two subjects had transient, mild-to-moderate adverse events which resolved without any intervention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remnants were excreted without sequelae in all subjects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Pharmacokinetics</w:t>
      </w:r>
    </w:p>
    <w:p>
      <w:pPr>
        <w:spacing w:after="0" w:line="225" w:lineRule="exact"/>
        <w:rPr>
          <w:sz w:val="20"/>
          <w:szCs w:val="20"/>
          <w:color w:val="auto"/>
        </w:rPr>
      </w:pPr>
    </w:p>
    <w:p>
      <w:pPr>
        <w:ind w:left="1020" w:right="3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delivered 20 µg of PTH with high bioavailability (relative to 20 µg SC Forteo (teriparatide) in Study Part 1, confirming the high bioavailability of PTH delivered via the RaniPill capsule observed during Study Part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Device Performance</w:t>
      </w:r>
    </w:p>
    <w:p>
      <w:pPr>
        <w:spacing w:after="0" w:line="225" w:lineRule="exact"/>
        <w:rPr>
          <w:sz w:val="20"/>
          <w:szCs w:val="20"/>
          <w:color w:val="auto"/>
        </w:rPr>
      </w:pPr>
    </w:p>
    <w:p>
      <w:pPr>
        <w:ind w:left="1020" w:right="34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ten participants who completed seven days of daily, consecutive dosing, the RaniPill capsule demonstrated an overall drug delivery success rate of 91% over the seven days (drug sampling was done at three, six and nine hours after capsule swallowing on Days 1-6).</w:t>
      </w:r>
    </w:p>
    <w:p>
      <w:pPr>
        <w:spacing w:after="0" w:line="13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Day 7, with more frequent, serial drug sampling after capsule swallowing on that day, the drug delivery success rate was 100%.</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Days 1 through 6, participants ate food three hours after administration of the RaniPill capsule. The number of successful deployments was comparable before and after food was consumed.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have completed a pre-IND meeting with the FDA with respect to RT-102. Following feedback from the meeting, we believe that a 505(b)</w:t>
      </w:r>
    </w:p>
    <w:p>
      <w:pPr>
        <w:spacing w:after="0" w:line="27" w:lineRule="exact"/>
        <w:rPr>
          <w:sz w:val="20"/>
          <w:szCs w:val="20"/>
          <w:color w:val="auto"/>
        </w:rPr>
      </w:pPr>
    </w:p>
    <w:p>
      <w:pPr>
        <w:ind w:right="740" w:firstLine="8"/>
        <w:spacing w:after="0" w:line="260"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pathway is suitable for the development of RT-102 in the U.S. In addition, we obtained guidance from the FDA on our preclinical and clinical development plans for RT-102. The next step for this program is to initiate a Phase 2 clinical trial of RT-102.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RT-105: Anti-TNF-alpha antibody for the treatment of rheumatoid arthritis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w:t>
      </w:r>
    </w:p>
    <w:p>
      <w:pPr>
        <w:spacing w:after="0" w:line="227"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U.S. sales of approximately $7.14 billion in 2024. Adalimumab is approved by the FDA and EMA to treat a range of autoimmune conditions, including rheumatoid arthritis, psoriasis and Crohn’s disease. In the U.S. alone, there are an estimated one and one-half million patients with rheumatoid arthritis, seven million with psoriasis, and three million with Crohn’s disease or ulcerative colitis. At least eight Humira® biosimilars have entered the U.S. market including Yuflyma®, a high-concentration, citrate-free adalimumab biosimilar marketed by Celltrion.</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360" w:firstLine="1018"/>
        <w:spacing w:after="0" w:line="282" w:lineRule="auto"/>
        <w:rPr>
          <w:sz w:val="20"/>
          <w:szCs w:val="20"/>
          <w:color w:val="auto"/>
        </w:rPr>
      </w:pPr>
      <w:r>
        <w:rPr>
          <w:rFonts w:ascii="Times New Roman" w:cs="Times New Roman" w:eastAsia="Times New Roman" w:hAnsi="Times New Roman"/>
          <w:sz w:val="18"/>
          <w:szCs w:val="18"/>
          <w:color w:val="auto"/>
        </w:rPr>
        <w:t>Patients who use adalimumab administer the drug through a subcutaneous injection once every two weeks. Despite the painful injections required to administer it, adalimumab was the best-selling drug globally in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RT-105</w:t>
      </w:r>
    </w:p>
    <w:p>
      <w:pPr>
        <w:spacing w:after="0" w:line="227"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We are developing RT-105, the RaniPill capsule containing a formulation of adalimumab, for oral treatment of a host of inflammatory conditions, beginning with treatment of psoriatic arthritis and later expanding to other indications for which TNF-alpha inhibitors are approved. We believe that the development of an orally administered anti-TNF-alpha antibody represents a significant market opportunity. In June 2023, we entered into a License and Supply Agreement with Celltrion under which we receive an exclusive license and supply of Celltrion’s adalimumab biosimilar for development and commercialization of RT-105 worldwide, subject to a right of first negotiation for Celltrion.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We evaluated the performance of RT-105 containing an adalimumab biosimilar in awake canines and compared it to the performance of the adalimumab biosimilar given by way of subcutaneous and intravenous injection. The PK profile for RT-105 was comparable to the profile for subcutaneous administration, and mean bioavailability for RT-105 was 49%, compared to 46% with subcutaneous injection.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Endoscopic administration of adalimumab into the jejunum of healthy human volunteers</w:t>
      </w:r>
    </w:p>
    <w:p>
      <w:pPr>
        <w:spacing w:after="0" w:line="225" w:lineRule="exact"/>
        <w:rPr>
          <w:sz w:val="20"/>
          <w:szCs w:val="20"/>
          <w:color w:val="auto"/>
        </w:rPr>
      </w:pPr>
    </w:p>
    <w:p>
      <w:pPr>
        <w:ind w:right="180" w:firstLine="1018"/>
        <w:spacing w:after="0" w:line="261" w:lineRule="auto"/>
        <w:rPr>
          <w:sz w:val="20"/>
          <w:szCs w:val="20"/>
          <w:color w:val="auto"/>
        </w:rPr>
      </w:pPr>
      <w:r>
        <w:rPr>
          <w:rFonts w:ascii="Times New Roman" w:cs="Times New Roman" w:eastAsia="Times New Roman" w:hAnsi="Times New Roman"/>
          <w:sz w:val="18"/>
          <w:szCs w:val="18"/>
          <w:color w:val="auto"/>
        </w:rPr>
        <w:t>To assess whether the observations from preclinical studies regarding absorption of adalimumab through the intestinal wall translate to clinical trials, we conducted an endoscopic study in humans. The study involved ten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a 14-day study period.</w:t>
      </w:r>
    </w:p>
    <w:p>
      <w:pPr>
        <w:spacing w:after="0" w:line="180"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PK profiles were similar with no notable differences observed in either area under the curve (“AUC”) or maximum serum concentration (“Cmax”). The mean AUC was 62.7 ± 11.4 µg/ml*day*kg/mg for the subcutaneous group and 45.0 ± 29.0 µg/ml*day*kg/mg for the intrajejunal group. No serious adverse events were noted in this study, and adverse events of headache and flu-like symptoms after intrajejunal administration resolved within 48 hours. The results are consistent with data obtained in preclinical studies, confirming intrajejunal delivery as a viable route of delivery for adalimumab.</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227"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In November 2023, we announced the pausing of development of RT-105 as part of a strategic focusing of the business. The next milestone for this program will be to initiate a Phase 1 clinical trial of RT-105. Under the Celltrion Agreement for adalimumab, Celltrion will have a right to terminate the agreement if we do not initiate a Phase 1 clinical trial with RT-105, or fail to deliver to Celltrion topline data from a Phase 1 trial that meets its primary endpoint(s), within certain agreed time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and Our Strategy</w:t>
      </w:r>
    </w:p>
    <w:p>
      <w:pPr>
        <w:spacing w:after="0" w:line="229"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More than half of the adult population of the U.S. has one or more chronic diseases. The affected population is expected to continue to grow as the population ages. Chronic conditions, including obesity, autoimmune diseases, metabolic disorders, cancers, and cardiovascular diseases are increasingly being treated with biologics. In 2023, eight of the ten highest revenue-producing drugs in the world were biologics. Current treatments using biologics are primarily via injections.</w:t>
      </w:r>
    </w:p>
    <w:p>
      <w:pPr>
        <w:spacing w:after="0" w:line="180" w:lineRule="exact"/>
        <w:rPr>
          <w:sz w:val="20"/>
          <w:szCs w:val="20"/>
          <w:color w:val="auto"/>
        </w:rPr>
      </w:pPr>
    </w:p>
    <w:p>
      <w:pPr>
        <w:jc w:val="both"/>
        <w:ind w:firstLine="1018"/>
        <w:spacing w:after="0" w:line="261" w:lineRule="auto"/>
        <w:rPr>
          <w:sz w:val="20"/>
          <w:szCs w:val="20"/>
          <w:color w:val="auto"/>
        </w:rPr>
      </w:pPr>
      <w:r>
        <w:rPr>
          <w:rFonts w:ascii="Times New Roman" w:cs="Times New Roman" w:eastAsia="Times New Roman" w:hAnsi="Times New Roman"/>
          <w:sz w:val="18"/>
          <w:szCs w:val="18"/>
          <w:color w:val="auto"/>
        </w:rPr>
        <w:t>Biologics, the fastest growing segment of the drug industry, refers to a broad class of drugs that are derived from living sources. Biologics are distinguished from small molecules, like aspirin, which derive from chemistry. Biologics include, for example, recombinant therapeutic proteins, peptides, and monoclonal antibodies, as well as cell and gene therapies. The global biologics market size was calculated to be $511.0 billion in 2024 and is expected to reach $1.4 trillion by 2033.</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220" w:firstLine="1018"/>
        <w:spacing w:after="0" w:line="258" w:lineRule="auto"/>
        <w:rPr>
          <w:sz w:val="20"/>
          <w:szCs w:val="20"/>
          <w:color w:val="auto"/>
        </w:rPr>
      </w:pPr>
      <w:r>
        <w:rPr>
          <w:rFonts w:ascii="Times New Roman" w:cs="Times New Roman" w:eastAsia="Times New Roman" w:hAnsi="Times New Roman"/>
          <w:sz w:val="18"/>
          <w:szCs w:val="18"/>
          <w:color w:val="auto"/>
        </w:rPr>
        <w:t>Biologics must generally be administered through intravenous, intramuscular, or subcutaneous injection. Patient aversion to injections has promoted a significant interest in the development of solutions to enable the oral delivery of biologics. However, a significant hurdle is the ability to achieve sufficient bioavailability with oral biologics to produce an intended therapeutic effect. Bioavailability refers to the proportion of a delivered dose that reaches the bloodstream in active form. Attempts at oral delivery of biotherapeutics have remained largely unsuccessful due to the rapid degradation and digestion of biologics in the gastrointestinal environment before they can be absorbed into the bloodstream.</w:t>
      </w:r>
    </w:p>
    <w:p>
      <w:pPr>
        <w:spacing w:after="0" w:line="183"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Our solution is a novel, proprietary and patented platform technology referred to as the RaniPill capsule, an orally ingestible pill designed to automatically deploy in the small intestine to administer a precise therapeutic dose of a biologic into the intestinal wall. Our several preclinical studies and clinical trials have demonstrated bioavailability of biologics dosed via the RaniPill capsule that is generally comparable to the bioavailability of biologics dosed subcutaneously, with high dosing accuracy: this level of bioavailability is significantly higher than any that has been demonstrated with respect to others’ attempts at oral delivery of biologics.</w:t>
      </w:r>
    </w:p>
    <w:p>
      <w:pPr>
        <w:spacing w:after="0" w:line="183"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We are pursuing a number of clinical and preclinical pipeline programs utilizing our RaniPill capsule. We believe the RaniPill capsule has the potential to deliver more than 90 biologics currently on the market, including such biologics as semaglutide, dupilumab, pembrolizumab, etanercept, trastuzumab and secukinumab. We believe that oral biologics utilizing our RaniPill technology have the potential to disrupt the large and growing biologics market.</w:t>
      </w:r>
    </w:p>
    <w:p>
      <w:pPr>
        <w:spacing w:after="0" w:line="180" w:lineRule="exact"/>
        <w:rPr>
          <w:sz w:val="20"/>
          <w:szCs w:val="20"/>
          <w:color w:val="auto"/>
        </w:rPr>
      </w:pPr>
    </w:p>
    <w:p>
      <w:pPr>
        <w:ind w:right="220" w:firstLine="1018"/>
        <w:spacing w:after="0" w:line="256" w:lineRule="auto"/>
        <w:rPr>
          <w:sz w:val="20"/>
          <w:szCs w:val="20"/>
          <w:color w:val="auto"/>
        </w:rPr>
      </w:pPr>
      <w:r>
        <w:rPr>
          <w:rFonts w:ascii="Times New Roman" w:cs="Times New Roman" w:eastAsia="Times New Roman" w:hAnsi="Times New Roman"/>
          <w:sz w:val="18"/>
          <w:szCs w:val="18"/>
          <w:color w:val="auto"/>
        </w:rPr>
        <w:t>Our strategic vision is to disrupt and expand the market currently served by injectable only therapeutic biologics. We plan to do this by developing and advancing a pipeline of oral biologics therapies to unlock the value of these assets and to progress platform development and by actively pursuing partnering of the technology with third party biopharmaceutical companies for the oral delivery of their biologics and drugs. We also intend to explore opportunities to demonstrate the potential of the delivery platform in additional modalities and therapeutics areas. We believe that the RaniPill capsule has the potential to improve the lives of millions of patients with chronic diseases who currently depend on biologics and drugs available only as injections.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strategy includes the following aspects.</w:t>
      </w:r>
    </w:p>
    <w:p>
      <w:pPr>
        <w:spacing w:after="0" w:line="221" w:lineRule="exact"/>
        <w:rPr>
          <w:sz w:val="20"/>
          <w:szCs w:val="20"/>
          <w:color w:val="auto"/>
        </w:rPr>
      </w:pPr>
    </w:p>
    <w:p>
      <w:pPr>
        <w:ind w:left="1280" w:right="140" w:hanging="367"/>
        <w:spacing w:after="0" w:line="268"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validated and commercially established market opportunities. </w:t>
      </w:r>
      <w:r>
        <w:rPr>
          <w:rFonts w:ascii="Times New Roman" w:cs="Times New Roman" w:eastAsia="Times New Roman" w:hAnsi="Times New Roman"/>
          <w:sz w:val="18"/>
          <w:szCs w:val="18"/>
          <w:color w:val="auto"/>
        </w:rPr>
        <w:t>We intend to pursue high-value markets with biologics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can develop differentiated products. We believe that these products will take market share from available therapies, while also expanding existing markets by reaching new patient populations that otherwise are not being treated by injectable biologics.</w:t>
      </w:r>
    </w:p>
    <w:p>
      <w:pPr>
        <w:spacing w:after="0" w:line="170" w:lineRule="exact"/>
        <w:rPr>
          <w:rFonts w:ascii="Times New Roman" w:cs="Times New Roman" w:eastAsia="Times New Roman" w:hAnsi="Times New Roman"/>
          <w:sz w:val="18"/>
          <w:szCs w:val="18"/>
          <w:color w:val="auto"/>
        </w:rPr>
      </w:pPr>
    </w:p>
    <w:p>
      <w:pPr>
        <w:ind w:left="1280" w:right="360" w:hanging="367"/>
        <w:spacing w:after="0" w:line="268"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in-house manufacturing of the RaniPill capsule. </w:t>
      </w:r>
      <w:r>
        <w:rPr>
          <w:rFonts w:ascii="Times New Roman" w:cs="Times New Roman" w:eastAsia="Times New Roman" w:hAnsi="Times New Roman"/>
          <w:sz w:val="18"/>
          <w:szCs w:val="18"/>
          <w:color w:val="auto"/>
        </w:rPr>
        <w:t>We have vertically integrated our manufacturing, and plan to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scale and optimize our manufacturing processes by expanding our use of automation. For commercial scale manufacturing, we will consider engaging one or more third party contract manufacturers.</w:t>
      </w:r>
    </w:p>
    <w:p>
      <w:pPr>
        <w:spacing w:after="0" w:line="170" w:lineRule="exact"/>
        <w:rPr>
          <w:rFonts w:ascii="Times New Roman" w:cs="Times New Roman" w:eastAsia="Times New Roman" w:hAnsi="Times New Roman"/>
          <w:sz w:val="18"/>
          <w:szCs w:val="18"/>
          <w:color w:val="auto"/>
        </w:rPr>
      </w:pPr>
    </w:p>
    <w:p>
      <w:pPr>
        <w:ind w:left="1280" w:hanging="367"/>
        <w:spacing w:after="0" w:line="286"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 in RaniPill capsule capabilities. </w:t>
      </w:r>
      <w:r>
        <w:rPr>
          <w:rFonts w:ascii="Times New Roman" w:cs="Times New Roman" w:eastAsia="Times New Roman" w:hAnsi="Times New Roman"/>
          <w:sz w:val="18"/>
          <w:szCs w:val="18"/>
          <w:color w:val="auto"/>
        </w:rPr>
        <w:t>We intend to become a leader in oral biologics by continuing to invest in our technology,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expanding payload capacity to maximize the number of therapeutic targets and addressable markets.</w:t>
      </w:r>
    </w:p>
    <w:p>
      <w:pPr>
        <w:spacing w:after="0" w:line="154" w:lineRule="exact"/>
        <w:rPr>
          <w:rFonts w:ascii="Times New Roman" w:cs="Times New Roman" w:eastAsia="Times New Roman" w:hAnsi="Times New Roman"/>
          <w:sz w:val="18"/>
          <w:szCs w:val="18"/>
          <w:color w:val="auto"/>
        </w:rPr>
      </w:pPr>
    </w:p>
    <w:p>
      <w:pPr>
        <w:ind w:left="1280" w:right="40" w:hanging="367"/>
        <w:spacing w:after="0" w:line="286"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reach by selectively entering into strategic partnerships. </w:t>
      </w:r>
      <w:r>
        <w:rPr>
          <w:rFonts w:ascii="Times New Roman" w:cs="Times New Roman" w:eastAsia="Times New Roman" w:hAnsi="Times New Roman"/>
          <w:sz w:val="18"/>
          <w:szCs w:val="18"/>
          <w:color w:val="auto"/>
        </w:rPr>
        <w:t>We are actively exploring partnering of our RaniPill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third party biopharmaceutical companies for the oral delivery of their biologics and drugs.</w:t>
      </w:r>
    </w:p>
    <w:p>
      <w:pPr>
        <w:spacing w:after="0" w:line="154" w:lineRule="exact"/>
        <w:rPr>
          <w:rFonts w:ascii="Times New Roman" w:cs="Times New Roman" w:eastAsia="Times New Roman" w:hAnsi="Times New Roman"/>
          <w:sz w:val="18"/>
          <w:szCs w:val="18"/>
          <w:color w:val="auto"/>
        </w:rPr>
      </w:pPr>
    </w:p>
    <w:p>
      <w:pPr>
        <w:ind w:left="1280" w:hanging="367"/>
        <w:spacing w:after="0" w:line="268"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strengthen our intellectual property portfolio. </w:t>
      </w:r>
      <w:r>
        <w:rPr>
          <w:rFonts w:ascii="Times New Roman" w:cs="Times New Roman" w:eastAsia="Times New Roman" w:hAnsi="Times New Roman"/>
          <w:sz w:val="18"/>
          <w:szCs w:val="18"/>
          <w:color w:val="auto"/>
        </w:rPr>
        <w:t>Our patent portfolio has helped establish us as a leading oral biologics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We plan to continue to innovate and expand our intellectual property by developing further innovations and new applications of the RaniPill capsule.</w:t>
      </w:r>
    </w:p>
    <w:p>
      <w:pPr>
        <w:spacing w:after="0" w:line="175"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Rani LLC was founded by Mir Imran, our Chairman of the Board, who continues to contribute to our strategic planning and product development. Mir Imran has a background in medicine and engineering, is a prolific inventor and a serial entrepreneur, having founded more than 20 life sciences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Technology</w:t>
      </w:r>
    </w:p>
    <w:p>
      <w:pPr>
        <w:spacing w:after="0" w:line="229"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are also developing a high-capacity version of the RaniPill capsule known as the RaniPill HC, which is intended to enable delivery of drug payloads up to 200µL in liquid form with high bioavailability.</w:t>
      </w:r>
    </w:p>
    <w:p>
      <w:pPr>
        <w:spacing w:after="0" w:line="29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Each of our product candidates is a RaniPill capsule containing a biologic. We may use the term RaniPill platform or RaniPill device herein to refer to the physical structure and/or mechanisms of the RaniPill capsule absent a biologic.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RaniPill capsule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RaniPill capsule is a versatile, drug-agnostic, orally ingestible pill approximately the size of a fish oil or calcium pill or a ‘000’-sized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142875</wp:posOffset>
            </wp:positionV>
            <wp:extent cx="2785745" cy="1894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8574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RaniPill capsule in purple next to fish oil pills (gold) and calcium pills (white).</w:t>
      </w:r>
    </w:p>
    <w:p>
      <w:pPr>
        <w:spacing w:after="0" w:line="225"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The capsule includes a proprietary coating designed to withstand stomach acid but dissolve in the jejunum portion of the small intestine. Dissolution of the coating leads to a series of steps that result in a biologic being delivered into the highly vascularized wall of the small intestine so that the biologic can be absorbed into the vasculature and enter the bloodstream.</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illustrations depict the RaniPill HC capsule traversing through and deploying within a lumen of the intestine illustrated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297180</wp:posOffset>
            </wp:positionV>
            <wp:extent cx="6866255" cy="857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6625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80"/>
        <w:spacing w:after="0"/>
        <w:tabs>
          <w:tab w:leader="none" w:pos="3940" w:val="left"/>
          <w:tab w:leader="none" w:pos="6800" w:val="left"/>
          <w:tab w:leader="none" w:pos="9580" w:val="left"/>
        </w:tabs>
        <w:rPr>
          <w:sz w:val="20"/>
          <w:szCs w:val="20"/>
          <w:color w:val="auto"/>
        </w:rPr>
      </w:pPr>
      <w:r>
        <w:rPr>
          <w:rFonts w:ascii="Times New Roman" w:cs="Times New Roman" w:eastAsia="Times New Roman" w:hAnsi="Times New Roman"/>
          <w:sz w:val="18"/>
          <w:szCs w:val="18"/>
          <w:color w:val="auto"/>
        </w:rPr>
        <w:t>Panel A</w:t>
      </w:r>
      <w:r>
        <w:rPr>
          <w:sz w:val="20"/>
          <w:szCs w:val="20"/>
          <w:color w:val="auto"/>
        </w:rPr>
        <w:tab/>
      </w:r>
      <w:r>
        <w:rPr>
          <w:rFonts w:ascii="Times New Roman" w:cs="Times New Roman" w:eastAsia="Times New Roman" w:hAnsi="Times New Roman"/>
          <w:sz w:val="18"/>
          <w:szCs w:val="18"/>
          <w:color w:val="auto"/>
        </w:rPr>
        <w:t>Panel B</w:t>
      </w:r>
      <w:r>
        <w:rPr>
          <w:sz w:val="20"/>
          <w:szCs w:val="20"/>
          <w:color w:val="auto"/>
        </w:rPr>
        <w:tab/>
      </w:r>
      <w:r>
        <w:rPr>
          <w:rFonts w:ascii="Times New Roman" w:cs="Times New Roman" w:eastAsia="Times New Roman" w:hAnsi="Times New Roman"/>
          <w:sz w:val="18"/>
          <w:szCs w:val="18"/>
          <w:color w:val="auto"/>
        </w:rPr>
        <w:t>Panel C</w:t>
      </w:r>
      <w:r>
        <w:rPr>
          <w:sz w:val="20"/>
          <w:szCs w:val="20"/>
          <w:color w:val="auto"/>
        </w:rPr>
        <w:tab/>
      </w:r>
      <w:r>
        <w:rPr>
          <w:rFonts w:ascii="Times New Roman" w:cs="Times New Roman" w:eastAsia="Times New Roman" w:hAnsi="Times New Roman"/>
          <w:sz w:val="18"/>
          <w:szCs w:val="18"/>
          <w:color w:val="auto"/>
        </w:rPr>
        <w:t>Panel D</w:t>
      </w:r>
    </w:p>
    <w:p>
      <w:pPr>
        <w:spacing w:after="0" w:line="266" w:lineRule="exact"/>
        <w:rPr>
          <w:sz w:val="20"/>
          <w:szCs w:val="20"/>
          <w:color w:val="auto"/>
        </w:rPr>
      </w:pPr>
    </w:p>
    <w:p>
      <w:pPr>
        <w:ind w:left="760" w:right="1200"/>
        <w:spacing w:after="0" w:line="282" w:lineRule="auto"/>
        <w:rPr>
          <w:sz w:val="20"/>
          <w:szCs w:val="20"/>
          <w:color w:val="auto"/>
        </w:rPr>
      </w:pPr>
      <w:r>
        <w:rPr>
          <w:rFonts w:ascii="Times New Roman" w:cs="Times New Roman" w:eastAsia="Times New Roman" w:hAnsi="Times New Roman"/>
          <w:sz w:val="18"/>
          <w:szCs w:val="18"/>
          <w:u w:val="single" w:color="auto"/>
          <w:color w:val="auto"/>
        </w:rPr>
        <w:t>Panel A</w:t>
      </w:r>
      <w:r>
        <w:rPr>
          <w:rFonts w:ascii="Times New Roman" w:cs="Times New Roman" w:eastAsia="Times New Roman" w:hAnsi="Times New Roman"/>
          <w:sz w:val="18"/>
          <w:szCs w:val="18"/>
          <w:color w:val="auto"/>
        </w:rPr>
        <w:t>: As the RaniPill capsule exits the stomach and enters the small intestine, the higher pH environment of around 6.5 in the jejunum begins to dissolve the coating.</w:t>
      </w:r>
    </w:p>
    <w:p>
      <w:pPr>
        <w:spacing w:after="0" w:line="162" w:lineRule="exact"/>
        <w:rPr>
          <w:sz w:val="20"/>
          <w:szCs w:val="20"/>
          <w:color w:val="auto"/>
        </w:rPr>
      </w:pPr>
    </w:p>
    <w:p>
      <w:pPr>
        <w:ind w:left="760" w:right="1300"/>
        <w:spacing w:after="0" w:line="282" w:lineRule="auto"/>
        <w:rPr>
          <w:sz w:val="20"/>
          <w:szCs w:val="20"/>
          <w:color w:val="auto"/>
        </w:rPr>
      </w:pPr>
      <w:r>
        <w:rPr>
          <w:rFonts w:ascii="Times New Roman" w:cs="Times New Roman" w:eastAsia="Times New Roman" w:hAnsi="Times New Roman"/>
          <w:sz w:val="18"/>
          <w:szCs w:val="18"/>
          <w:u w:val="single" w:color="auto"/>
          <w:color w:val="auto"/>
        </w:rPr>
        <w:t>Panel B</w:t>
      </w:r>
      <w:r>
        <w:rPr>
          <w:rFonts w:ascii="Times New Roman" w:cs="Times New Roman" w:eastAsia="Times New Roman" w:hAnsi="Times New Roman"/>
          <w:sz w:val="18"/>
          <w:szCs w:val="18"/>
          <w:color w:val="auto"/>
        </w:rPr>
        <w:t>: Dissolution of the coating exposes a balloon in the RaniPill capsule to intestinal fluid which results in the balloon self-inflating.</w:t>
      </w:r>
    </w:p>
    <w:p>
      <w:pPr>
        <w:spacing w:after="0" w:line="162" w:lineRule="exact"/>
        <w:rPr>
          <w:sz w:val="20"/>
          <w:szCs w:val="20"/>
          <w:color w:val="auto"/>
        </w:rPr>
      </w:pPr>
    </w:p>
    <w:p>
      <w:pPr>
        <w:ind w:left="760" w:right="800"/>
        <w:spacing w:after="0" w:line="289" w:lineRule="auto"/>
        <w:rPr>
          <w:sz w:val="20"/>
          <w:szCs w:val="20"/>
          <w:color w:val="auto"/>
        </w:rPr>
      </w:pPr>
      <w:r>
        <w:rPr>
          <w:rFonts w:ascii="Times New Roman" w:cs="Times New Roman" w:eastAsia="Times New Roman" w:hAnsi="Times New Roman"/>
          <w:sz w:val="17"/>
          <w:szCs w:val="17"/>
          <w:u w:val="single" w:color="auto"/>
          <w:color w:val="auto"/>
        </w:rPr>
        <w:t>Panel C</w:t>
      </w:r>
      <w:r>
        <w:rPr>
          <w:rFonts w:ascii="Times New Roman" w:cs="Times New Roman" w:eastAsia="Times New Roman" w:hAnsi="Times New Roman"/>
          <w:sz w:val="17"/>
          <w:szCs w:val="17"/>
          <w:color w:val="auto"/>
        </w:rPr>
        <w:t>: Inflation of the balloon orients a microneedle contained within the balloon approximately perpendicular to the intestinal wall. The pressure in the balloon delivers drug through the microneedle, which is smaller than a grain of rice, into the intestinal wall. The microneedle dissolves in the moist tissue environment, and the drug is absorbed into the vasculature and thereby into the bloodstream.</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Panel D</w:t>
      </w:r>
      <w:r>
        <w:rPr>
          <w:rFonts w:ascii="Times New Roman" w:cs="Times New Roman" w:eastAsia="Times New Roman" w:hAnsi="Times New Roman"/>
          <w:sz w:val="18"/>
          <w:szCs w:val="18"/>
          <w:color w:val="auto"/>
        </w:rPr>
        <w:t>: The balloon immediately deflates upon microneedle delivery and is excreted through normal digestive processes.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right="1600" w:firstLine="1018"/>
        <w:spacing w:after="0" w:line="282" w:lineRule="auto"/>
        <w:rPr>
          <w:sz w:val="20"/>
          <w:szCs w:val="20"/>
          <w:color w:val="auto"/>
        </w:rPr>
      </w:pPr>
      <w:r>
        <w:rPr>
          <w:rFonts w:ascii="Times New Roman" w:cs="Times New Roman" w:eastAsia="Times New Roman" w:hAnsi="Times New Roman"/>
          <w:sz w:val="18"/>
          <w:szCs w:val="18"/>
          <w:color w:val="auto"/>
        </w:rPr>
        <w:t>The RaniPill GO operates similar to the RaniPill HC except that it delivers a dissolvable microneedle containing a solid microtablet of drug instead of delivering the drug payload in liquid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Features and advantages of the RaniPill capsule</w:t>
      </w:r>
    </w:p>
    <w:p>
      <w:pPr>
        <w:spacing w:after="0" w:line="229"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RaniPill capsule is a result of years of internal research activities to develop and optimize specialized components and systems that make up the RaniPill capsule. Several advanced features are included in the RaniPill capsule, providing what we believe to be significant and sustainable competitive advantages in the field of oral delivery of biologics. Some of the features and advantages of the RaniPill capsule are listed below.</w:t>
      </w:r>
    </w:p>
    <w:p>
      <w:pPr>
        <w:spacing w:after="0" w:line="174" w:lineRule="exact"/>
        <w:rPr>
          <w:sz w:val="20"/>
          <w:szCs w:val="20"/>
          <w:color w:val="auto"/>
        </w:rPr>
      </w:pPr>
    </w:p>
    <w:p>
      <w:pPr>
        <w:ind w:left="1280" w:right="80" w:hanging="374"/>
        <w:spacing w:after="0" w:line="261"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High bioavailability and high dosing accuracy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studies conducted to date have demonstrated that the RaniPill capsule delivers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biologics with high bioavailability and high dosing accuracy. This level of bioavailability is significantly higher than that of currently marketed chemistry-based oral biologics, the best attempts of which to our awareness have resulted in peptides being delivered with only low single-digit bioavailability.</w:t>
      </w:r>
    </w:p>
    <w:p>
      <w:pPr>
        <w:spacing w:after="0" w:line="179" w:lineRule="exact"/>
        <w:rPr>
          <w:rFonts w:ascii="Times New Roman" w:cs="Times New Roman" w:eastAsia="Times New Roman" w:hAnsi="Times New Roman"/>
          <w:sz w:val="18"/>
          <w:szCs w:val="18"/>
          <w:color w:val="auto"/>
        </w:rPr>
      </w:pPr>
    </w:p>
    <w:p>
      <w:pPr>
        <w:ind w:left="1280" w:right="520" w:hanging="374"/>
        <w:spacing w:after="0" w:line="284"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Protective coating avoids deployment in the stomach</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proprietary protective coating formulation is pH-sensitive, enabling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RaniPill capsule to maintain its integrity through the acidic environment in the stomach for deployment in the small intestine.</w:t>
      </w:r>
    </w:p>
    <w:p>
      <w:pPr>
        <w:spacing w:after="0" w:line="158" w:lineRule="exact"/>
        <w:rPr>
          <w:rFonts w:ascii="Times New Roman" w:cs="Times New Roman" w:eastAsia="Times New Roman" w:hAnsi="Times New Roman"/>
          <w:sz w:val="18"/>
          <w:szCs w:val="18"/>
          <w:color w:val="auto"/>
        </w:rPr>
      </w:pPr>
    </w:p>
    <w:p>
      <w:pPr>
        <w:ind w:left="1280" w:right="60" w:hanging="374"/>
        <w:spacing w:after="0" w:line="261"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Protection of the drug prior to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microneedle and drug are protected from intestinal fluid until delivery, and then the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injection of the microneedle into the intestinal wall and delivery of drug provides for little or no exposure of the microneedle or drug to intestinal fluid. This technique serves to overcome the body’s natural mechanisms that break down biologics in the harsh GI environment and thus block biologics from reaching the blood stream from within the intestine.</w:t>
      </w:r>
    </w:p>
    <w:p>
      <w:pPr>
        <w:spacing w:after="0" w:line="179" w:lineRule="exact"/>
        <w:rPr>
          <w:rFonts w:ascii="Times New Roman" w:cs="Times New Roman" w:eastAsia="Times New Roman" w:hAnsi="Times New Roman"/>
          <w:sz w:val="18"/>
          <w:szCs w:val="18"/>
          <w:color w:val="auto"/>
        </w:rPr>
      </w:pPr>
    </w:p>
    <w:p>
      <w:pPr>
        <w:ind w:left="1280" w:right="320" w:hanging="374"/>
        <w:spacing w:after="0" w:line="267"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Delivery in both fed and fasted states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RaniPill capsule is designed to deliver the drug payload regardless of whether the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ingests the RaniPill capsule with or without food, which we expect will allow for more flexible dosing regimens and improved patient adherence to a given regimen.</w:t>
      </w:r>
    </w:p>
    <w:p>
      <w:pPr>
        <w:spacing w:after="0" w:line="173" w:lineRule="exact"/>
        <w:rPr>
          <w:rFonts w:ascii="Times New Roman" w:cs="Times New Roman" w:eastAsia="Times New Roman" w:hAnsi="Times New Roman"/>
          <w:sz w:val="18"/>
          <w:szCs w:val="18"/>
          <w:color w:val="auto"/>
        </w:rPr>
      </w:pPr>
    </w:p>
    <w:p>
      <w:pPr>
        <w:ind w:left="1280" w:right="140" w:hanging="374"/>
        <w:spacing w:after="0" w:line="281"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Self-inflating balloon ensures reliable delivery</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The proprietary self-inflating balloon is designed to provide optimal pressure to deliver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payload. In addition, the novel design of the balloon positions the microneedle approximately perpendicular to the intestinal wall for reliable drug delivery, with greater than 90% cumulative drug delivery success observed with the latest version of the RaniPill capsule used in our Phase 1 clinical trials of RT-102 and RT-111. The self-inflating balloon has been designed to minimize GI discomfort.</w:t>
      </w:r>
    </w:p>
    <w:p>
      <w:pPr>
        <w:spacing w:after="0" w:line="164" w:lineRule="exact"/>
        <w:rPr>
          <w:rFonts w:ascii="Times New Roman" w:cs="Times New Roman" w:eastAsia="Times New Roman" w:hAnsi="Times New Roman"/>
          <w:sz w:val="17"/>
          <w:szCs w:val="17"/>
          <w:color w:val="auto"/>
        </w:rPr>
      </w:pPr>
    </w:p>
    <w:p>
      <w:pPr>
        <w:ind w:left="1280" w:right="400" w:hanging="374"/>
        <w:spacing w:after="0" w:line="284"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Drug-agnostic design provides a standardized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RaniPill capsule is designed to deliver any molecule irrespective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molecular mass. This allows a single platform design to be used with multiple drugs.</w:t>
      </w:r>
    </w:p>
    <w:p>
      <w:pPr>
        <w:spacing w:after="0" w:line="158" w:lineRule="exact"/>
        <w:rPr>
          <w:rFonts w:ascii="Times New Roman" w:cs="Times New Roman" w:eastAsia="Times New Roman" w:hAnsi="Times New Roman"/>
          <w:sz w:val="18"/>
          <w:szCs w:val="18"/>
          <w:color w:val="auto"/>
        </w:rPr>
      </w:pPr>
    </w:p>
    <w:p>
      <w:pPr>
        <w:ind w:left="1280" w:right="240" w:hanging="374"/>
        <w:spacing w:after="0" w:line="257"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Optimized dosing regimen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Based on confirmed patient preference for oral delivery alternatives, we expect better treatment adherence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oral dosing versus injections, thus enabling a more clinically-favorable dosing regimen. For example, the RaniPill capsule may enable a regimen of small, more frequent doses, versus larger less frequent doses for injections, to improve treatment adherence. In addition, small, more frequent dosing may allow for therapeutic exposures to be maintained within a narrow range, whereas larger less frequent injection dosing can lead to large variations in therapeutic exposure, which may contribute to adverse events, loss of efficacy, and increased propensity for immunogenic response.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RaniPill HC</w:t>
      </w:r>
    </w:p>
    <w:p>
      <w:pPr>
        <w:spacing w:after="0" w:line="229"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We continue to develop the RaniPill HC, a high-capacity RaniPill capsule designed to deliver drug payloads up to 200µL. As of January 1, 2025, we had tested more than 350 RaniPill HC devices in vivo including delivery of multiple different antibodies and peptides. We intend to initiate clinical testing of the RaniPill HC in mid-2025.</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left="1020"/>
        <w:spacing w:after="0"/>
        <w:rPr>
          <w:sz w:val="20"/>
          <w:szCs w:val="20"/>
          <w:color w:val="auto"/>
        </w:rPr>
      </w:pPr>
      <w:r>
        <w:rPr>
          <w:rFonts w:ascii="Times New Roman" w:cs="Times New Roman" w:eastAsia="Times New Roman" w:hAnsi="Times New Roman"/>
          <w:sz w:val="18"/>
          <w:szCs w:val="18"/>
          <w:u w:val="single" w:color="auto"/>
          <w:color w:val="auto"/>
        </w:rPr>
        <w:t>RT-114 Study</w:t>
      </w:r>
    </w:p>
    <w:p>
      <w:pPr>
        <w:spacing w:after="0" w:line="225" w:lineRule="exact"/>
        <w:rPr>
          <w:sz w:val="20"/>
          <w:szCs w:val="20"/>
          <w:color w:val="auto"/>
        </w:rPr>
      </w:pPr>
    </w:p>
    <w:p>
      <w:pPr>
        <w:ind w:right="120" w:firstLine="1018"/>
        <w:spacing w:after="0" w:line="256" w:lineRule="auto"/>
        <w:rPr>
          <w:sz w:val="20"/>
          <w:szCs w:val="20"/>
          <w:color w:val="auto"/>
        </w:rPr>
      </w:pPr>
      <w:r>
        <w:rPr>
          <w:rFonts w:ascii="Times New Roman" w:cs="Times New Roman" w:eastAsia="Times New Roman" w:hAnsi="Times New Roman"/>
          <w:sz w:val="18"/>
          <w:szCs w:val="18"/>
          <w:color w:val="auto"/>
        </w:rPr>
        <w:t>In March 2025, we announced preclinical data demonstrating bioequivalence of RT-114, a GLP-1/GLP-2 dual agonist (PG-102) delivered orally via the RaniPill HC, to subcutaneously administered PG-102. RT-114 yielded a relative bioavailability of 111% compared to PG-102 delivered subcutaneously with comparable pharmacokinetic profiles and weight loss. The RaniPill capsule was well tolerated with no changes in drug-related safety profile compared to subcutaneous delivery and was excreted without sequelae in all canines. RT-114 achieved a 90% delivery success rate (9 out of 10 canines). For information regarding the preclinical study and the RT-114 program, see the section titled “Our Pipeline Programs - RT-114: GLP-1/GLP-2 dual agonist for the treatment of obesity” for more information.”</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Semaglutide Study</w:t>
      </w:r>
    </w:p>
    <w:p>
      <w:pPr>
        <w:spacing w:after="0" w:line="225"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In February 2025, we announced results from a nonclinical pharmacokinetic and pharmacodynamic study of the GLP-1 agonist semaglutide administered via the RaniPill HC.</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Study Design</w:t>
      </w:r>
    </w:p>
    <w:p>
      <w:pPr>
        <w:spacing w:after="0" w:line="225"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The nonclinical pharmacokinetic and pharmacodynamic study was conducted to examine the effects of semaglutide delivered orally via the RaniPill (RT-116) versus a subcutaneous injection comparator group. The 2x2 crossover study was conducted in two parts with a period of four weeks separating the two groups to evaluate the PK, PD and safety of RT-116. Eight canines were randomized into two groups who received 0.5mg of semaglutide delivered via oral administration of the RaniPill HC (N=4) or subcutaneous injection (N=4). Endpoints included plasma drug concentrations, body weight, food intake, lipid profile, and safety.</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Data Highlights</w:t>
      </w:r>
    </w:p>
    <w:p>
      <w:pPr>
        <w:spacing w:after="0" w:line="225"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Semaglutide was successfully delivered in 7 of 8 canines that received the RaniPill capsule. Semaglutide administered via the RaniPill capsule was well tolerated with no serious adverse events. Cmax, Tmax, and AUC were comparable for semglutide administered via RaniPill capsule and subcutaneous administration of semaglutide. Oral administration via the RaniPill capsule demonstrated bioavailability and biological activity comparable to subcutaneous administration. The relative bioavailability of oral semaglutide was 107% versus subcutaneous administration. Both groups saw comparable weight loss which appeared to be driven by decreased food intake that coincided with rises in plasma drug levels thus indicating there is a PD effect to treatment. Both groups saw comparable moderate decreases in serum triglycerides and cholesterol.</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Previous Studies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September 2023, we announced three positive preclinical studies which support the development of the RaniPill HC device.</w:t>
      </w:r>
    </w:p>
    <w:p>
      <w:pPr>
        <w:spacing w:after="0" w:line="225" w:lineRule="exact"/>
        <w:rPr>
          <w:sz w:val="20"/>
          <w:szCs w:val="20"/>
          <w:color w:val="auto"/>
        </w:rPr>
      </w:pPr>
    </w:p>
    <w:p>
      <w:pPr>
        <w:jc w:val="both"/>
        <w:ind w:right="160" w:firstLine="1018"/>
        <w:spacing w:after="0" w:line="266" w:lineRule="auto"/>
        <w:rPr>
          <w:sz w:val="20"/>
          <w:szCs w:val="20"/>
          <w:color w:val="auto"/>
        </w:rPr>
      </w:pPr>
      <w:r>
        <w:rPr>
          <w:rFonts w:ascii="Times New Roman" w:cs="Times New Roman" w:eastAsia="Times New Roman" w:hAnsi="Times New Roman"/>
          <w:sz w:val="18"/>
          <w:szCs w:val="18"/>
          <w:color w:val="auto"/>
        </w:rPr>
        <w:t>Rani conducted two preclinical studies of the RaniPill HC containing 40ug of teriparatide. In the first study, two RaniPill HC capsules were orally administered to 5 awake canine subjects sequentially, with a second RaniPill HC capsule administered after the deployment of the previous device was confirmed. In the second study, a single RaniPill HC capsule was administered to ten awake canines.</w:t>
      </w:r>
    </w:p>
    <w:p>
      <w:pPr>
        <w:spacing w:after="0" w:line="17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RaniPill HC achieved 18/20 successful drug delivery of teriparatide in the two studies, resulting in a cumulative 90% success rate.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drug delivery was confirmed by positive drug signal for teriparatide in serum.</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used in these studies were separate iterations, and may not comprise all the same components expected in a final version.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also conducted an additional preclinical study of RaniPill HC containing Fe57 (iron) in 2 canine subjects.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RaniPill HC containing Fe57 showed a positive drug signal comparable to subcutaneous injection.</w:t>
      </w:r>
    </w:p>
    <w:p>
      <w:pPr>
        <w:spacing w:after="0" w:line="225"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In October and November 2023, we announced the completion of two preclinical studies of the RaniPill HC with antibodies, adalimumab and dupilumab. In the two studies, the RaniPill HC achieved an oral delivery success rate of 100% (10/10). In one study, we tracked the serum concentrations of adalimumab, following the oral administration of the enteric-coated RaniPill HC capsule containing 11mg of Humira (adalimumab) to four canine models. In the second study, we tracked the serum concentrations of</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60"/>
        <w:spacing w:after="0" w:line="266" w:lineRule="auto"/>
        <w:rPr>
          <w:sz w:val="20"/>
          <w:szCs w:val="20"/>
          <w:color w:val="auto"/>
        </w:rPr>
      </w:pPr>
      <w:r>
        <w:rPr>
          <w:rFonts w:ascii="Times New Roman" w:cs="Times New Roman" w:eastAsia="Times New Roman" w:hAnsi="Times New Roman"/>
          <w:sz w:val="18"/>
          <w:szCs w:val="18"/>
          <w:color w:val="auto"/>
        </w:rPr>
        <w:t>dupilumab, following the oral administration of the enteric-coated RaniPill HC capsule containing 16.5mg of dupilumab to six canine models. In both studies, the RaniPill HC was well tolerated, all animals remained healthy throughout the study period with no clinical findings or adverse events, and all device remnants were excreted normally without sequelae.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Pharmacokinetics of Adalimumab (11mg) Delivered Orally via RaniPill HC Capsules to Awake Canines (N=4)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180340</wp:posOffset>
            </wp:positionV>
            <wp:extent cx="3789045" cy="258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8904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All Data are Means ± SE</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Pharmacokinetics of Dupilumab (16.5mg) Delivered Orally via RaniPill HC Capsules to Awake Canines (N=6)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31590" cy="2288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315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color w:val="auto"/>
        </w:rPr>
        <w:t>All Data are Means ± SE</w:t>
      </w:r>
    </w:p>
    <w:p>
      <w:pPr>
        <w:spacing w:after="0" w:line="225" w:lineRule="exact"/>
        <w:rPr>
          <w:sz w:val="20"/>
          <w:szCs w:val="20"/>
          <w:color w:val="auto"/>
        </w:rPr>
      </w:pPr>
    </w:p>
    <w:p>
      <w:pPr>
        <w:ind w:right="400" w:firstLine="1018"/>
        <w:spacing w:after="0" w:line="282" w:lineRule="auto"/>
        <w:rPr>
          <w:sz w:val="20"/>
          <w:szCs w:val="20"/>
          <w:color w:val="auto"/>
        </w:rPr>
      </w:pPr>
      <w:r>
        <w:rPr>
          <w:rFonts w:ascii="Times New Roman" w:cs="Times New Roman" w:eastAsia="Times New Roman" w:hAnsi="Times New Roman"/>
          <w:sz w:val="18"/>
          <w:szCs w:val="18"/>
          <w:color w:val="auto"/>
        </w:rPr>
        <w:t>Preliminary preclinical testing supports the potential for RaniPill HC to have high reliability, and initial analysis of drug delivery via the RaniPill HC shows a potential for mimicking parenteral (subcutaneous) administration.</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60-Day GLP Study</w:t>
      </w:r>
    </w:p>
    <w:p>
      <w:pPr>
        <w:spacing w:after="0" w:line="229"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We conducted a preclinical GLP study evaluating the safety and tolerability of the RaniPill drug delivery platform, following 60-day repeat oral administration of the test article, RT-100, in healthy animals. RT-100 is an enteric-coated capsule identical to RT-102, but instead of PTH contained the pharmaceutical excipient mannitol. The control group received a RaniPill capsule (Mock-RP) of similar weight to RT-100 but filled with potato starch. 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study in humans confirming reliable deployment in fed and fasted states</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An initial clinical assessment of the RaniPill capsule (without a drug) was conducted to evaluate the safety and tolerability of the platform and to compare device performance in fed and fasted states in twenty healthy volunteers, divided into two groups of ten.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187"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The total transit time for the RaniPill capsule was longer in the fed group than in the fasted group because the capsule remained in the stomach longer in the fed group. However, food did not impact the deployment time of the RaniPill capsule. This was confirmed via radiographic tracking which showed successful balloon inflation, indicating both that the protective coating dissolved as designed and the balloon inflated as designed, regardless of the presence of matter in the lumen of the intestinal tract.</w:t>
      </w:r>
    </w:p>
    <w:p>
      <w:pPr>
        <w:spacing w:after="0" w:line="180"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No volunteers reported difficulty in swallowing the capsule, nor did any study participant report experiencing pain or sensing an awareness upon balloon deployment.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Regulatory Pathways</w:t>
      </w:r>
    </w:p>
    <w:p>
      <w:pPr>
        <w:spacing w:after="0" w:line="229"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Test, approval, manufacture, and sale of our products are subject to federal, state, local, and foreign statutes and regulations.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We detail the U.S. regulatory pathway in this section. In the United States, the FDA regulates biologic products such as ours under the Federal Food, Drug and Cosmetic Act (“FDCA”) and the Public Health Service Act (“PHSA”) and their implementing regulations. Other jurisdictions will have somewhat different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centers: CDRH, CBER, CDER, OCP</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Each of our product candidates includes the RaniPill platform and a biologic. The RaniPill platform, if marketed without a biologic, would be classified by the FDA as a device regulated by the Center for Devices and Radiological Health (“CDRH”). A biologic, if marketed without the RaniPill platform, would be classified by the FDA as either a “biological product” or a “drug.” Drugs and certain biological products, including monoclonal antibodies and proteins intended for therapeutic use, are regulated by the Center for Drug Evaluation and Research (“CDER”) and certain biological products, including vaccines, cellular products and gene therapy products, are regulated by the Center for Biologics Evaluation and Research (“CBER”). The classification as biological product or drug would depend on the FDA’s definition of “biological product” with respect to the active ingredient of a product candidate at the time a request for regulatory license or approval is submitted to the FDA to market that product candidate. The FDA currently defines a biological product as “a virus, therapeutic serum, toxin, antitoxin, vaccine, blood, blood component or derivative, allergenic product, protein, or analogous product, or arsphenamine or derivative of arsphenamine (or any other trivalent organic arsenic compound), applicable to the prevention, treatment, or cure of a disease or condition of human beings,” and defines a protein as an “alpha amino acid polymer with a specific, defined sequence that is greater than 40 amino acids in size.”</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Because our product candidates each include a device and a biologic, it is expected that each of our product candidates will be classified by the FDA as a combination product. The FDA is charged with assigning a center with primary jurisdiction, or a lead center, for review of a combination product. The designation of a lead center generally eliminates the need to receive approvals from more than one center. The determination of which center will be the lead center is based on the “primary mode of action” of the combination product, although the other centers may participate in review. The FDA has also established an Office of Combination Products, (“OCP”), which serves as a focal point for combination product issues for agency reviewers and industry. OCP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9"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It is expected that most of our product candidates will include a biologic within the FDA’s definition of “biological product” and some of our product candidates may include a biologic that will be considered a “drug.” CDER is the lead center for review of monoclonal antibodies and therapeutic proteins at this time, thus most of our product candidates will have CDER as the lead center.</w:t>
      </w:r>
    </w:p>
    <w:p>
      <w:pPr>
        <w:spacing w:after="0" w:line="176"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For each product candidate, we will perform numerous preclinical laboratory tests and animal studies, as well as perform human clinical trials. Preclinical laboratory tests, preclinical animal studies, and/or clinical trials may be ongoing concurrently for a product candidate in focused studies to assess various properties of a formulation and/or the platform of the product candidate. Animal studies require pre-approval by an independent institutional review board (“IRB”) or ethics committee. Human studies in the United States require pre-approval by the FDA. For FDA approval of a human trial, if the trial will involve a biologic alone then an IND application will be needed, and if the trial will involve the RaniPill platform alone then an investigational device exemption (“IDE”) application will be needed. For a clinical trial in which the RaniPill platform will be used in combination with a biologic, we must submit an IDE application if the lead center is CDRH or an IND application if the lead center is CBER or CDER. For the RaniPill platform used in combination with a biologic, it is expected that CBER or CDER will be the lead center. IND and IDE applications are discussed in more detail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or license to market the RaniPill capsule</w:t>
      </w:r>
    </w:p>
    <w:p>
      <w:pPr>
        <w:spacing w:after="0" w:line="229"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The FDA has specified a BLA path for seeking a license to market a biological product and a new drug application path for seeking approval to market a drug. It is expected that most of our product candidates will follow the BLA path while some may follow the NDA path.</w:t>
      </w:r>
    </w:p>
    <w:p>
      <w:pPr>
        <w:spacing w:after="0" w:line="162" w:lineRule="exact"/>
        <w:rPr>
          <w:sz w:val="20"/>
          <w:szCs w:val="20"/>
          <w:color w:val="auto"/>
        </w:rPr>
      </w:pPr>
    </w:p>
    <w:p>
      <w:pPr>
        <w:jc w:val="both"/>
        <w:ind w:right="100" w:firstLine="1018"/>
        <w:spacing w:after="0" w:line="272" w:lineRule="auto"/>
        <w:rPr>
          <w:sz w:val="20"/>
          <w:szCs w:val="20"/>
          <w:color w:val="auto"/>
        </w:rPr>
      </w:pPr>
      <w:r>
        <w:rPr>
          <w:rFonts w:ascii="Times New Roman" w:cs="Times New Roman" w:eastAsia="Times New Roman" w:hAnsi="Times New Roman"/>
          <w:sz w:val="17"/>
          <w:szCs w:val="17"/>
          <w:color w:val="auto"/>
        </w:rPr>
        <w:t>Our current pipeline includes well-characterized biologics that have been in clinical use for several years. We believe that we may be able to leverage the FDA’s prior conclusions of safety, purity, and potency for already-approved products in our own BLA or NDA. The degree to which we may be able to reduce the burden on our own development may depend on whether the API or drug substance is the same as the original approved product.</w:t>
      </w:r>
    </w:p>
    <w:p>
      <w:pPr>
        <w:spacing w:after="0" w:line="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Additionally, because certain products originally approved under an NDA have been reclassified by the FDA and would now follow a BLA pathway, it is unclear whether conclusions regarding such reclassified products can be leveraged in our BLA submissions. We intend to have the scope of the leverage that will be available from already-approved biologics clarified on a product-by-product basis for each product candidate in pre-IND meetings with the FDA.</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have completed a pre-IND meeting with the FDA with respect to RT-102. Following feedback from the meeting, we believe that a 505(b)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pathway is suitable for the development of RT-102 in the U.S.</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CBER and CDER may ask for additional testing for specific biologics, disease indications, or patient populations.</w:t>
      </w:r>
    </w:p>
    <w:p>
      <w:pPr>
        <w:spacing w:after="0" w:line="2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information regarding regulatory pathways is provided in the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section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Evaluation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ProGen Co., Ltd.</w:t>
      </w:r>
    </w:p>
    <w:p>
      <w:pPr>
        <w:spacing w:after="0" w:line="229" w:lineRule="exact"/>
        <w:rPr>
          <w:sz w:val="20"/>
          <w:szCs w:val="20"/>
          <w:color w:val="auto"/>
        </w:rPr>
      </w:pPr>
    </w:p>
    <w:p>
      <w:pPr>
        <w:ind w:right="280" w:firstLine="1018"/>
        <w:spacing w:after="0" w:line="261" w:lineRule="auto"/>
        <w:rPr>
          <w:sz w:val="20"/>
          <w:szCs w:val="20"/>
          <w:color w:val="auto"/>
        </w:rPr>
      </w:pPr>
      <w:r>
        <w:rPr>
          <w:rFonts w:ascii="Times New Roman" w:cs="Times New Roman" w:eastAsia="Times New Roman" w:hAnsi="Times New Roman"/>
          <w:sz w:val="18"/>
          <w:szCs w:val="18"/>
          <w:color w:val="auto"/>
        </w:rPr>
        <w:t>In June 2024, we entered into the ProGen Collaboration Agreement with ProGen. Under the ProGen Collaboration Agreement, the parties will collaborate to manufacture, develop, seek regulatory approvals for and, if approved, commercialize a product (RT-114) combining ProGen’s GLP-1/GLP-2 dual agonist compound, PG-102, and the RaniPill HC oral delivery device in the field of weight management (including without limitation obesity, weight reduction and weight maintenance) in humans.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Under the ProGen Collaboration Agreement, development costs, as well as operating profits and losses from the commercialization of the Product, will be equally shared by us and ProGen. We and ProGen each granted to the other party an exclusive right and license (except with respect to the other party’s affiliates and sublicensees) to certain intellectual property to develop RT-114 for weight management and an exclusive right and license to seek regulatory approval for, and to use, sell, offer to sell, import and commercialize RT-114 in their assigned territories. The parties share responsibility for the development of RT-114 worldwide, with Rani leading such development for preclinical activities through Phase 1 clinical trials. After initiation of the first Phase 2 clinical trial, we will lead development and commercialization of RT-114 in the United States, Canada, Europe (including the United Kingdom) and Australia, and ProGen will lead development and commercialization in all other countries.</w:t>
      </w:r>
    </w:p>
    <w:p>
      <w:pPr>
        <w:spacing w:after="0" w:line="18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Each party has the right to opt-out of the ProGen Collaboration (“Opt-Out”) at any time upon prior written notice to the other party. Following an Opt-Out, the continuing party shall have sole right to develop, conduct regulatory activities for and commercialize RT-114 on a worldwide basis. The Opt-Out party shall share all development costs and operating profit (or loss) through the effective date of the Opt-Out, and all costs to complete the conduct of any clinical trials of RT-114 that have been initiated prior to delivery of the Opt-Out notice, even if the costs are incurred or the trials are completed after the effective date of the Opt-Out. The continuing party shall pay to the Opt-Out party low single to mid-single digit royalties on net sales of RT-114 made after the Opt-Out date depending on when the Opt-Out occurs.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Celltrion license and supply agreements</w:t>
      </w:r>
    </w:p>
    <w:p>
      <w:pPr>
        <w:spacing w:after="0" w:line="229" w:lineRule="exact"/>
        <w:rPr>
          <w:sz w:val="20"/>
          <w:szCs w:val="20"/>
          <w:color w:val="auto"/>
        </w:rPr>
      </w:pPr>
    </w:p>
    <w:p>
      <w:pPr>
        <w:ind w:right="140" w:firstLine="1018"/>
        <w:spacing w:after="0" w:line="254" w:lineRule="auto"/>
        <w:rPr>
          <w:sz w:val="20"/>
          <w:szCs w:val="20"/>
          <w:color w:val="auto"/>
        </w:rPr>
      </w:pPr>
      <w:r>
        <w:rPr>
          <w:rFonts w:ascii="Times New Roman" w:cs="Times New Roman" w:eastAsia="Times New Roman" w:hAnsi="Times New Roman"/>
          <w:sz w:val="18"/>
          <w:szCs w:val="18"/>
          <w:color w:val="auto"/>
        </w:rPr>
        <w:t>In January 2023, we entered into a License and Supply Agreement with Celltrion regarding its ustekinumab biosimilar, CT-P43 (the “Ustekinumab Celltrion Agreement"). In June 2023, we entered into a License and Supply Agreement with Celltrion regarding its adalimumab biosimilar (the “Adalimumab Celltrion Agreement” and together with the Ustekinumab Celltrion Agreement, the “Celltrion Agreements”). Under the Celltrion Agreements, Celltrion grants us an exclusive, worldwide, royalty-free license to certain intellectual property to make, use, sell, offer for sale, import and otherwise exploit RT-111 and RT-105 and to use certain information to support the manufacture, development and commercialization of RT-111 and RT-</w:t>
      </w:r>
    </w:p>
    <w:p>
      <w:pPr>
        <w:spacing w:after="0" w:line="3" w:lineRule="exact"/>
        <w:rPr>
          <w:sz w:val="20"/>
          <w:szCs w:val="20"/>
          <w:color w:val="auto"/>
        </w:rPr>
      </w:pPr>
    </w:p>
    <w:p>
      <w:pPr>
        <w:jc w:val="both"/>
        <w:ind w:right="100" w:firstLine="8"/>
        <w:spacing w:after="0" w:line="253"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Celltrion will provide, and we will purchase, supply of ustekinumab biosimilar and adalimumab biosimilar at supply prices set forth in the respective Celltrion Agreement. We will obtain ustekiunmab biosimilar and adalimumab biosimilar exclusively from Celltrion for the manufacture, development and commercialization of RT-111 and RT-105, respectively, subject to a right to obtain supply from alternative sources under certain circumstances where Celltrion experiences supply disruption.</w:t>
      </w:r>
    </w:p>
    <w:p>
      <w:pPr>
        <w:spacing w:after="0" w:line="18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Under the Celltrion Agreements, we have sole right to manufacture, develop and commercialize RT-111 and RT-105 worldwide, subject to an exclusive right of first negotiation (“ROFN”) granted to Celltrion for each program. For each program, following our delivery to Celltrion of a data package consisting of topline safety information, pharmacokinetic results and device performance, and the raw data related to topline results from a Phase 1 clinical trial of such program that meets its primary endpoint(s), Celltrion will have 30 days to exercise its ROFN with respect to that program. If Celltrion timely exercises the ROFN, then Celltrion will have an exclusive period of 90 days to negotiate in good faith a definitive agreement with us for rights to clinically develop and commercialize the applicable program in territories selected by Celltrion. In the event Celltrion does not timely exercise the ROFN or Celltrion notifies us that it does not intend to exercise the ROFN or, after timely exercising the ROFN, notifies us that Celltrion withdraws its exercise of the ROFN, or the parties fail to enter into a definitive agreement for the development and commercialization of the applicable program within the exclusive negotiation period, then the ROFN regarding that program will terminate and we will have no further obligations under the Celltrion Agreements related to a ROFN for that program. The ROFN with respect to RT-111 has expired.</w:t>
      </w:r>
    </w:p>
    <w:p>
      <w:pPr>
        <w:spacing w:after="0" w:line="194"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The Celltrion Agreements allocate rights between the parties with respect to inventions generated in performance of the agreement for the manufacture, development and commercialization of each of RT-111 and RT-105, respectively. Celltrion will own intellectual property generated in the programs solely related to its ustekinumab biosimilar or adalimumab biosimilar, respectively. We will own all other intellectual property generated in the programs, and we grant Celltrion an exclusive, worldwide license under such intellectual property solely for use with its ustekinumab biosimilar or adalimumab biosimilar, respectively. We will own all data related to the research, development, manufacture, regulatory activities and commercialization of RT-111 and RT-105 conducted by us. The Celltrion Agreements also contain customary representations, warranties and covenants, and mutual indemnification provisions. We have a right to terminate each agreement for convenience subject to certain notice periods. Celltrion has a right to terminate each agreement if we do not achieve certain development milestones with respect to that agreement, and each party has certain rights to terminate the applicable agreement for material breach or safety concerns regarding the ustekinumab biosimilar or RT-111, or adalimumab biosimilar or RT-105, respectively.</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agreement</w:t>
      </w:r>
    </w:p>
    <w:p>
      <w:pPr>
        <w:spacing w:after="0" w:line="229"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In August 2024, we entered into a contract to conduct evaluation services of certain customer compounds for oral delivery using the RaniPill HC. This customer paid us an up-front payment of $0.6 million upon execution of the contract. Upon completion of the evaluation services, we are entitled to a final $0.6 million payment for an aggregate total of $1.2 million due under the contract. In addition, if agreed upon, the agreement allows for joint filing of certain intellectual property protection in which all associated expenses will be shared equally. The customer has the ability to terminate the agreement at any time by providing 10 days’ written notice after the effective date of the contract. The contract can be terminated for cause by either party based on uncured material breach by the other party. Upon early termination, all ongoing activities under the agreement and all mutual collaboration, development and commercialization licenses and sublicenses will terminate.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Quality Assurance</w:t>
      </w:r>
    </w:p>
    <w:p>
      <w:pPr>
        <w:spacing w:after="0" w:line="229"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We currently manufacture and assemble RaniPill capsules ourselves. We also inspect, package and ship finished products to support our clinical trials. We are intentionally pursuing a vertically integrated manufacturing strategy, which we believe offers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w:t>
      </w:r>
    </w:p>
    <w:p>
      <w:pPr>
        <w:spacing w:after="0" w:line="180"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Each RaniPill capsule is assembled through a process which involves a series of integrated, well-developed, and highly reproducible steps that have been optimized to consistently produce capsules of high reliability.</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154305</wp:posOffset>
            </wp:positionV>
            <wp:extent cx="5023485" cy="608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2348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Microtableting only applicable to drugs formulated for use in the RaniPill GO capsule.</w:t>
      </w:r>
    </w:p>
    <w:p>
      <w:pPr>
        <w:spacing w:after="0" w:line="225"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For the RaniPill GO, a drug API or drug substance combined with excipients specific to the drug API or drug substance is lyophilized and compressed into a solid microtablet form. The microtablet (in the case of RaniPill GO) or liquid drug (in the case of RaniPill HC) is sealed inside a microsyringe under aseptic conditions. The microsyringe is incorporated in the RaniPill capsule, which is given a protective coating. Each of these steps in the manufacturing process has been subjected to rigorous testing and process qualification procedures to ensure manufacturing consistency. In the case of ustekinumab for RT-111 and adalimumab for RT-105, we obtain supply of drug substance from Celltrion under the Celltrion Agreements. In the case of PG-102 for RT-114, we obtain supply of drug substance from ProGen under the ProGen Collaboration Agreement. For other APIs or drug substances, we rely on non-exclusive, third-party relationships with several manufacturers for the drug API or drug substance. We maintain in-house capabilities related to the aseptic manufacturing, following FDA Current Good Manufacturing Practice (“cGMP”) regulations for drugs that contain minimum requirements for the methods, facilities, and controls used in manufacturing, processing, and packing of a drug product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192"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key markets for our products, once approved, will be in the United States, Europe, and Asia.</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supply infrastructure</w:t>
      </w:r>
    </w:p>
    <w:p>
      <w:pPr>
        <w:spacing w:after="0" w:line="22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Development of our product candidates includes identifying sources that can provide consistent quality and increasing quantities of APIs or drug substance to meet our needs through in vitro studies, preclinical studies, and clinical trials, and later into commercialization. We currently do not have agreements in place for long-term supplies of any API or drug substance, other than ustekinumab biosimilar for RT-111, adalimumab biosimilar for RT-105 and PG-102 for RT-114. Availability of API or drug substance supply may inform our decisions regarding which product candidates present the best development opportunities.</w:t>
      </w:r>
    </w:p>
    <w:p>
      <w:pPr>
        <w:spacing w:after="0" w:line="210"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Currently we do not have any approved products. We intend to either develop the commercialization sales and supply infrastructure as our product candidates are approved, or partner with pharmaceutical companies or distributors for commercialization.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of approved products by third-party payors</w:t>
      </w:r>
    </w:p>
    <w:p>
      <w:pPr>
        <w:spacing w:after="0" w:line="229"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the payors. Decisions regarding whether to cover a product, the extent of coverage, and the amount of reimbursement to be provided are made separately, and these decisions are made on a plan-by-plan basis because there is no uniform policy for coverage and reimbursement. As a result, one payor’s decision to cover a particular product does not ensure that other payors will also provide coverage for the product, or that any of the reimbursement rates will be adequate.</w:t>
      </w:r>
    </w:p>
    <w:p>
      <w:pPr>
        <w:spacing w:after="0" w:line="187"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products to each payor separately, with no assurance that coverage and adequate reimbursement will be applied consistently or obtained in the first instance.</w:t>
      </w:r>
    </w:p>
    <w:p>
      <w:pPr>
        <w:spacing w:after="0" w:line="183"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treatment or procedure in which the product is used may not be available, which may impact physician utilization.</w:t>
      </w:r>
    </w:p>
    <w:p>
      <w:pPr>
        <w:spacing w:after="0" w:line="176" w:lineRule="exact"/>
        <w:rPr>
          <w:sz w:val="20"/>
          <w:szCs w:val="20"/>
          <w:color w:val="auto"/>
        </w:rPr>
      </w:pPr>
    </w:p>
    <w:p>
      <w:pPr>
        <w:ind w:right="120" w:firstLine="1018"/>
        <w:spacing w:after="0" w:line="281" w:lineRule="auto"/>
        <w:rPr>
          <w:sz w:val="20"/>
          <w:szCs w:val="20"/>
          <w:color w:val="auto"/>
        </w:rPr>
      </w:pPr>
      <w:r>
        <w:rPr>
          <w:rFonts w:ascii="Times New Roman" w:cs="Times New Roman" w:eastAsia="Times New Roman" w:hAnsi="Times New Roman"/>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when available. Third-party payors are increasingly challenging prices charged, examining medical necessity, and reviewing cost effectiveness in addition to questioning safety and efficacy. A decrease in, or decision to stop, payor reimbursement for a product could reduce physician prescribing of, and patient demand for, the product.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76" w:lineRule="exact"/>
        <w:rPr>
          <w:sz w:val="20"/>
          <w:szCs w:val="20"/>
          <w:color w:val="auto"/>
        </w:rPr>
      </w:pPr>
    </w:p>
    <w:p>
      <w:pPr>
        <w:jc w:val="both"/>
        <w:ind w:right="80" w:firstLine="1018"/>
        <w:spacing w:after="0" w:line="261" w:lineRule="auto"/>
        <w:rPr>
          <w:sz w:val="20"/>
          <w:szCs w:val="20"/>
          <w:color w:val="auto"/>
        </w:rPr>
      </w:pPr>
      <w:r>
        <w:rPr>
          <w:rFonts w:ascii="Times New Roman" w:cs="Times New Roman" w:eastAsia="Times New Roman" w:hAnsi="Times New Roman"/>
          <w:sz w:val="18"/>
          <w:szCs w:val="18"/>
          <w:color w:val="auto"/>
        </w:rPr>
        <w:t>Broadly speaking, we will face competition from current and future (generic or biosimilar) manufacturers of the branded injectable versions of our pipeline drugs, manufacturers such as AbbVie Inc., Eli Lilly and Company, and Johnson &amp; Johnson Innovative Medicine. However, we believe that oral biologics have the potential to take significant market share from current injectable therapies. We also believe that oral biologics have the potential to expand existing markets by an early reach into new patient populations that are averse to taking injections.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We are aware of certain other companies that are pursuing oral biologics through either device-based or chemistry-based technologies. We may also face competition from companies that develop oral small molecule therapeutics to the same biological targets as biologics incorporated into our RaniPill capsule. Early-stage device-based technologies such as the SOMA and LUMI from the Novo Nordisk-MIT collaboration were reported to be in early clinical and preclinical stages, respectively. Two other companies pursuing a device-based approach are Biograil ApS and Biora Therapeutics, Inc., both of which were reported to be in a preclinical stage of development. In December 2024, Biora announced that it is undertaking a Chapter 11 sale process. Chemistry-based oral delivery companies include, but are not limited to, Oramed Pharmaceuticals, Inc., Entera Bio Ltd., Protagonist Therapeutics, Inc., i2O Therapeutics, Intract Pharma, and two with recently approved oral peptide products – Mycapssa from Chiesi Farmaceutici SpA and Rybelsus from Novo Nordisk A/S. Chemistry-based approaches have limited applications because they work only for small peptides and, even then, with low (often less than 1%) bioavailability, far lower than injections. In contrast, our versatile technology is designed to deliver biologics, from small peptides to large proteins, irrespective of molecular mass and with bioavailability similar to that of injections.</w:t>
      </w:r>
    </w:p>
    <w:p>
      <w:pPr>
        <w:spacing w:after="0" w:line="194" w:lineRule="exact"/>
        <w:rPr>
          <w:sz w:val="20"/>
          <w:szCs w:val="20"/>
          <w:color w:val="auto"/>
        </w:rPr>
      </w:pPr>
    </w:p>
    <w:p>
      <w:pPr>
        <w:jc w:val="both"/>
        <w:ind w:right="100" w:firstLine="1018"/>
        <w:spacing w:after="0" w:line="266" w:lineRule="auto"/>
        <w:rPr>
          <w:sz w:val="20"/>
          <w:szCs w:val="20"/>
          <w:color w:val="auto"/>
        </w:rPr>
      </w:pPr>
      <w:r>
        <w:rPr>
          <w:rFonts w:ascii="Times New Roman" w:cs="Times New Roman" w:eastAsia="Times New Roman" w:hAnsi="Times New Roman"/>
          <w:sz w:val="18"/>
          <w:szCs w:val="18"/>
          <w:color w:val="auto"/>
        </w:rPr>
        <w:t>We could also face competition from implantable device companies, such as Vivani Medical Inc., and gene and cell therapy companies. Our product candidates aim to treat chronic diseases. As a result, we also compete with curative therapies on the basis that they cure the chronic disease we are intending to treat.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impact</w:t>
      </w:r>
    </w:p>
    <w:p>
      <w:pPr>
        <w:spacing w:after="0" w:line="229" w:lineRule="exact"/>
        <w:rPr>
          <w:sz w:val="20"/>
          <w:szCs w:val="20"/>
          <w:color w:val="auto"/>
        </w:rPr>
      </w:pPr>
    </w:p>
    <w:p>
      <w:pPr>
        <w:ind w:right="680" w:firstLine="1018"/>
        <w:spacing w:after="0" w:line="282" w:lineRule="auto"/>
        <w:rPr>
          <w:sz w:val="20"/>
          <w:szCs w:val="20"/>
          <w:color w:val="auto"/>
        </w:rPr>
      </w:pPr>
      <w:r>
        <w:rPr>
          <w:rFonts w:ascii="Times New Roman" w:cs="Times New Roman" w:eastAsia="Times New Roman" w:hAnsi="Times New Roman"/>
          <w:sz w:val="18"/>
          <w:szCs w:val="18"/>
          <w:color w:val="auto"/>
        </w:rPr>
        <w:t>We have instituted policies and procedures related to appropriate chemical and biological material handling, use, and disposal in our facilities, and we train our employees on these policies and procedures.</w:t>
      </w:r>
    </w:p>
    <w:p>
      <w:pPr>
        <w:spacing w:after="0" w:line="162" w:lineRule="exact"/>
        <w:rPr>
          <w:sz w:val="20"/>
          <w:szCs w:val="20"/>
          <w:color w:val="auto"/>
        </w:rPr>
      </w:pPr>
    </w:p>
    <w:p>
      <w:pPr>
        <w:ind w:right="380" w:firstLine="1018"/>
        <w:spacing w:after="0" w:line="266" w:lineRule="auto"/>
        <w:rPr>
          <w:sz w:val="20"/>
          <w:szCs w:val="20"/>
          <w:color w:val="auto"/>
        </w:rPr>
      </w:pPr>
      <w:r>
        <w:rPr>
          <w:rFonts w:ascii="Times New Roman" w:cs="Times New Roman" w:eastAsia="Times New Roman" w:hAnsi="Times New Roman"/>
          <w:sz w:val="18"/>
          <w:szCs w:val="18"/>
          <w:color w:val="auto"/>
        </w:rPr>
        <w:t>Regulations in certain jurisdictions may require us to submit with our marketing approval request an environmental impact assessment related to our biologics, our RaniPill platform, or both. Such assessments could cause significant expenditures. We may be able to reduce expenditures related to these assessments for biologics already approved for marketing.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protection for our current and future product candidates and the technologies used to develop and manufacture them. Our development efforts have enabled us to construct an extensive intellectual property portfolio that we believe provides us a competitive advantage.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For information regarding the risks related to our intellectual property, see the section titled </w:t>
      </w:r>
      <w:r>
        <w:rPr>
          <w:rFonts w:ascii="Times New Roman" w:cs="Times New Roman" w:eastAsia="Times New Roman" w:hAnsi="Times New Roman"/>
          <w:sz w:val="18"/>
          <w:szCs w:val="18"/>
          <w:i w:val="1"/>
          <w:iCs w:val="1"/>
          <w:color w:val="auto"/>
        </w:rPr>
        <w:t>“Risk Factors— Risks Related to Our Intellectual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United States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187"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Our initial patent family has a priority date in 2009, with patent term expected to extend into at least 2030 if all fees are paid. This patent family claims many device aspects of the RaniPill platform, including aspects of the RaniPill GO and certain aspects of the RaniPill HC, and the delivery of a wide variety of biologics using the RaniPill platform. As of January 1, 2025, this patent family included patents issued in the United States and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Hong Kong, and Japan.</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firstLine="749"/>
        <w:spacing w:after="0" w:line="266" w:lineRule="auto"/>
        <w:rPr>
          <w:sz w:val="20"/>
          <w:szCs w:val="20"/>
          <w:color w:val="auto"/>
        </w:rPr>
      </w:pPr>
      <w:r>
        <w:rPr>
          <w:rFonts w:ascii="Times New Roman" w:cs="Times New Roman" w:eastAsia="Times New Roman" w:hAnsi="Times New Roman"/>
          <w:sz w:val="18"/>
          <w:szCs w:val="18"/>
          <w:color w:val="auto"/>
        </w:rPr>
        <w:t>We also own several patent families directed to the RaniPill HC. These patent families have priority dates in 2020, 2022, 2023, 2024, and 2025, with patent term expected to extend into at least 2046 if all fees are paid. These patent families include claims directed to device aspects, devices containing specific biologics, methods of preparing such devices, and methods of delivering a wide variety of biologics using the RaniPill HC.</w:t>
      </w:r>
    </w:p>
    <w:p>
      <w:pPr>
        <w:spacing w:after="0" w:line="176" w:lineRule="exact"/>
        <w:rPr>
          <w:sz w:val="20"/>
          <w:szCs w:val="20"/>
          <w:color w:val="auto"/>
        </w:rPr>
      </w:pPr>
    </w:p>
    <w:p>
      <w:pPr>
        <w:jc w:val="both"/>
        <w:ind w:right="60" w:firstLine="1018"/>
        <w:spacing w:after="0" w:line="261" w:lineRule="auto"/>
        <w:rPr>
          <w:sz w:val="20"/>
          <w:szCs w:val="20"/>
          <w:color w:val="auto"/>
        </w:rPr>
      </w:pPr>
      <w:r>
        <w:rPr>
          <w:rFonts w:ascii="Times New Roman" w:cs="Times New Roman" w:eastAsia="Times New Roman" w:hAnsi="Times New Roman"/>
          <w:sz w:val="18"/>
          <w:szCs w:val="18"/>
          <w:color w:val="auto"/>
        </w:rPr>
        <w:t>Our microtablet patent family includes claims covering the microtablets delivered by the RaniPill GO. This patent family has a priority date in 2014, includes several dozen granted patents and pending patent applications, and is expected to have patent terms extending into at least 2035 if all fees are paid. As of January 1, 2025, this patent family included patents issued in the United States and other jurisdictions (i.e., Australia, Canada, China, India and Japan), with applications pending in the United States, Australia, Canada, China, Europe, and Japan.</w:t>
      </w:r>
    </w:p>
    <w:p>
      <w:pPr>
        <w:spacing w:after="0" w:line="180"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We own numerous additional patents and patent applications, with claims to additional biologics, pharmacologic properties of various biologics and other ingestible device technologies, with applications pending in the United States, Australia, Brazil, Canada, China, Europe, Hong Kong, India, Japan, Mexico, and South Korea. Patents in these families are expected to expire between the late 2030s and mid 2040s if all fees are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other proprietary information</w:t>
      </w:r>
    </w:p>
    <w:p>
      <w:pPr>
        <w:spacing w:after="0" w:line="229" w:lineRule="exact"/>
        <w:rPr>
          <w:sz w:val="20"/>
          <w:szCs w:val="20"/>
          <w:color w:val="auto"/>
        </w:rPr>
      </w:pPr>
    </w:p>
    <w:p>
      <w:pPr>
        <w:ind w:right="100" w:firstLine="1018"/>
        <w:spacing w:after="0" w:line="255" w:lineRule="auto"/>
        <w:rPr>
          <w:sz w:val="20"/>
          <w:szCs w:val="20"/>
          <w:color w:val="auto"/>
        </w:rPr>
      </w:pPr>
      <w:r>
        <w:rPr>
          <w:rFonts w:ascii="Times New Roman" w:cs="Times New Roman" w:eastAsia="Times New Roman" w:hAnsi="Times New Roman"/>
          <w:sz w:val="18"/>
          <w:szCs w:val="18"/>
          <w:color w:val="auto"/>
        </w:rPr>
        <w:t>We rely in part on keeping our trade secrets and other proprietary information confidential. We protect proprietary information by executing confidentiality agreements and intellectual property assignment agreements with employees, and consulting or other contractual agreements with consultants, scientific advisors, sponsored researchers, contractors, and other collaborators, prior to commencement of our relationship with them.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products such as those we are developing. We, along with our third-party contractors and/or collaboration partners, will be required to navigate the various preclinical, clinical, and commercial approval requirements of the governing regulatory authorities of the countries in which we wish to conduct studies or seek approval or licensure of our product candidates. Failure to comply with applicable regulations at any time during the product development process or approval process or after approval may result in delays to the conduct of a study, regulatory review, or commercialization authorization, or may subject an applicant to administrative or judicial actions. In the United States, such actions could include, among other actions, refusal to allow proceeding with clinical trials, imposition of a clinical hold, refusal to approve pending applications, withdrawal of an approval, license suspension or revocation,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Good Manufacturing Practices (“cGMP”)</w:t>
      </w:r>
    </w:p>
    <w:p>
      <w:pPr>
        <w:spacing w:after="0" w:line="22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To obtain marketing approval for a candidate product, we must finalize processes for manufacturing the product in commercial quantities in accordance with cGMP requirements. These processes must address design, monitoring, control, and maintenance of manufacturing processes and facilities, and the implemented processes must be capable of consistently producing quality batches of the product candidate. Our processes must, among other things, enable us to monitor several aspects of the interim and finished product, such as identity, purity, strength, quality, potency, and sterility as applicable. Additionally, stability studies must be conducted to demonstrate that the product candidate does not undergo unacceptable deterioration over its shelf life, and appropriate packaging must be selected and tested.</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229"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For each product candidate, we perform numerous laboratory tests and preclinical animal studies, as well as human clinical trials. Preclinical laboratory tests, preclinical animal studies, and/or clinical trials may be ongoing concurrently for a product candidate in focused studies to assess various properties of a formulation and/or platform of the product candidate. Animal studies require pre-approval by an independent Institutional Animal Care and Use Committee (“IACUC”). Human studies in the United States require pre-approval by the FDA and an independent IRB, requested by way of an IDE or IND for investigational products such as our product candidates.</w:t>
      </w:r>
    </w:p>
    <w:p>
      <w:pPr>
        <w:spacing w:after="0" w:line="210"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current Good Clinical Practices (“GCP”), which includes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Furthermore, an independent IRB or ethics committee for each site proposing to conduct the clinical trial must review and approve the plan for any clinical trial and its informed consent form before the clinical trial begins at that site, and an IRB or ethics committee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the trial is not being performed in accordance with the investigational plan or associated protocols,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the data safety monitoring board determines that there is an unacceptable safety risk for subjects, no demonstration of efficacy, or other grounds. There are also requirements governing the reporting of ongoing preclinical studies,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phases that may be performed sequentially, in overlapping time frames, or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207" w:lineRule="exact"/>
        <w:rPr>
          <w:sz w:val="20"/>
          <w:szCs w:val="20"/>
          <w:color w:val="auto"/>
        </w:rPr>
      </w:pPr>
    </w:p>
    <w:p>
      <w:pPr>
        <w:ind w:left="1280" w:right="80" w:hanging="367"/>
        <w:spacing w:after="0" w:line="261"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includes the initial introduction of an investigational new drug into humans. Phase 1 studies may be conducted in patients or normal volunteer subjects. These studies are designed to determine the metabolism and pharmacologic actions of the drug in humans, the side effects associated with increasing doses, and, if possible, to gain early evidence on effectiveness. The total number of subjects included in Phase 1 studies varies with the drug but is generally in the range of 20 to 80.</w:t>
      </w:r>
    </w:p>
    <w:p>
      <w:pPr>
        <w:spacing w:after="0" w:line="179" w:lineRule="exact"/>
        <w:rPr>
          <w:rFonts w:ascii="Times New Roman" w:cs="Times New Roman" w:eastAsia="Times New Roman" w:hAnsi="Times New Roman"/>
          <w:sz w:val="18"/>
          <w:szCs w:val="18"/>
          <w:color w:val="auto"/>
        </w:rPr>
      </w:pPr>
    </w:p>
    <w:p>
      <w:pPr>
        <w:ind w:left="1280" w:right="40" w:hanging="367"/>
        <w:spacing w:after="0" w:line="261"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conducted in a relatively small number of patients, usually involving no more than several hundred subjects.</w:t>
      </w:r>
    </w:p>
    <w:p>
      <w:pPr>
        <w:spacing w:after="0" w:line="179" w:lineRule="exact"/>
        <w:rPr>
          <w:rFonts w:ascii="Times New Roman" w:cs="Times New Roman" w:eastAsia="Times New Roman" w:hAnsi="Times New Roman"/>
          <w:sz w:val="18"/>
          <w:szCs w:val="18"/>
          <w:color w:val="auto"/>
        </w:rPr>
      </w:pPr>
    </w:p>
    <w:p>
      <w:pPr>
        <w:ind w:left="1280" w:right="160" w:hanging="367"/>
        <w:spacing w:after="0" w:line="261"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studies are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w:t>
      </w:r>
    </w:p>
    <w:p>
      <w:pPr>
        <w:spacing w:after="0" w:line="180" w:lineRule="exact"/>
        <w:rPr>
          <w:sz w:val="20"/>
          <w:szCs w:val="20"/>
          <w:color w:val="auto"/>
        </w:rPr>
      </w:pPr>
    </w:p>
    <w:p>
      <w:pPr>
        <w:ind w:right="40" w:firstLine="1018"/>
        <w:spacing w:after="0" w:line="282" w:lineRule="auto"/>
        <w:rPr>
          <w:sz w:val="20"/>
          <w:szCs w:val="20"/>
          <w:color w:val="auto"/>
        </w:rPr>
      </w:pPr>
      <w:r>
        <w:rPr>
          <w:rFonts w:ascii="Times New Roman" w:cs="Times New Roman" w:eastAsia="Times New Roman" w:hAnsi="Times New Roman"/>
          <w:sz w:val="18"/>
          <w:szCs w:val="18"/>
          <w:color w:val="auto"/>
        </w:rPr>
        <w:t>For each of our product candidates, we may conduct Phase 1, Phase 2, and Phase 3 clinical trials of our formulation, the RaniPill platform, or the formulation in combination with the RaniPill platform.</w:t>
      </w:r>
    </w:p>
    <w:p>
      <w:pPr>
        <w:spacing w:after="0" w:line="162"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In some cases, the FDA may require, or we may voluntarily pursue, additional clinical trials after a product is approved to gain more information about the product. These so-called Phase 4 studies may alternatively be made a condition to approval of the BLA or NDA. These trials are used to gain additional experience from the treatment of patients in the intended therapeutic indication and further document clinical benefit in the case of drugs approved under certain regulatory programs, such as accelerated approval regulations. Failure to exhibit due diligence with regard to conducting Phase 4 clinical trials could result in withdrawal of approval for the associated product.</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Progress reports detailing the results of the clinical trials, among other information, must be submitted at least annually to the FDA, and written IND or IDE safety reports must be submitted to the FDA and the investigators for serious and unexpected suspected adverse events, findings from other studies suggesting a significant risk to humans exposed to a particular or similar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products</w:t>
      </w:r>
    </w:p>
    <w:p>
      <w:pPr>
        <w:spacing w:after="0" w:line="229" w:lineRule="exact"/>
        <w:rPr>
          <w:sz w:val="20"/>
          <w:szCs w:val="20"/>
          <w:color w:val="auto"/>
        </w:rPr>
      </w:pPr>
    </w:p>
    <w:p>
      <w:pPr>
        <w:ind w:right="260" w:firstLine="1018"/>
        <w:spacing w:after="0" w:line="282" w:lineRule="auto"/>
        <w:rPr>
          <w:sz w:val="20"/>
          <w:szCs w:val="20"/>
          <w:color w:val="auto"/>
        </w:rPr>
      </w:pPr>
      <w:r>
        <w:rPr>
          <w:rFonts w:ascii="Times New Roman" w:cs="Times New Roman" w:eastAsia="Times New Roman" w:hAnsi="Times New Roman"/>
          <w:sz w:val="18"/>
          <w:szCs w:val="18"/>
          <w:color w:val="auto"/>
        </w:rPr>
        <w:t>Prior to initiating a clinical trial in the United States of an investigational product such as for one of our product candidates, the FDA must grant authorization to proceed. A request for authorization is made by way of an IND or IDE application as applicable for the clinical trial.</w:t>
      </w:r>
    </w:p>
    <w:p>
      <w:pPr>
        <w:spacing w:after="0" w:line="162"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new drug product to humans. The central focus of an IND submission is on the general investigational plan and the protocols to be used in associated preclinical studies and clinical trials. The IND also includes results of animal and in vitro studies already performed to assess toxicology, pharmacokinetics, pharmacology and pharmacodynamic characteristics of the product. The IND further includes chemistry, manufacturing, and controls information, and human data or literature to support the use of the investigational product.</w:t>
      </w:r>
    </w:p>
    <w:p>
      <w:pPr>
        <w:spacing w:after="0" w:line="183"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An IDE is a request for authorization from the FDA to allow an investigational device to be used in a clinical trial to collect safety and effectiveness data. The IDE application must be supported by appropriate data, such as animal and laboratory testing results, showing that it is safe to test the device in humans and that the testing protocol is scientifically sound.</w:t>
      </w:r>
    </w:p>
    <w:p>
      <w:pPr>
        <w:spacing w:after="0" w:line="176"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An IND or IDE must become effective before human clinical trials may begin. The IND or IDE automatically becomes effective 30 days after receipt by the FDA, unless the FDA, within the 30-day period, raises safety concerns or questions about the proposed clinical trial. In such a case, the IND or IDE may be placed on clinical hold to resolve any outstanding concerns or questions before the clinical trial can begin.</w:t>
      </w:r>
    </w:p>
    <w:p>
      <w:pPr>
        <w:spacing w:after="0" w:line="176" w:lineRule="exact"/>
        <w:rPr>
          <w:sz w:val="20"/>
          <w:szCs w:val="20"/>
          <w:color w:val="auto"/>
        </w:rPr>
      </w:pPr>
    </w:p>
    <w:p>
      <w:pPr>
        <w:jc w:val="both"/>
        <w:ind w:right="240" w:firstLine="1018"/>
        <w:spacing w:after="0" w:line="282" w:lineRule="auto"/>
        <w:rPr>
          <w:sz w:val="20"/>
          <w:szCs w:val="20"/>
          <w:color w:val="auto"/>
        </w:rPr>
      </w:pPr>
      <w:r>
        <w:rPr>
          <w:rFonts w:ascii="Times New Roman" w:cs="Times New Roman" w:eastAsia="Times New Roman" w:hAnsi="Times New Roman"/>
          <w:sz w:val="18"/>
          <w:szCs w:val="18"/>
          <w:color w:val="auto"/>
        </w:rPr>
        <w:t>The FDA’s approval of an IND or IDE does not bind the FDA to accept the results of the trial as sufficient to prove the stated conclusions, even if the trial meets its intended success criteria.</w:t>
      </w:r>
    </w:p>
    <w:p>
      <w:pPr>
        <w:spacing w:after="0" w:line="162" w:lineRule="exact"/>
        <w:rPr>
          <w:sz w:val="20"/>
          <w:szCs w:val="20"/>
          <w:color w:val="auto"/>
        </w:rPr>
      </w:pPr>
    </w:p>
    <w:p>
      <w:pPr>
        <w:jc w:val="both"/>
        <w:ind w:right="220" w:firstLine="1018"/>
        <w:spacing w:after="0" w:line="261" w:lineRule="auto"/>
        <w:rPr>
          <w:sz w:val="20"/>
          <w:szCs w:val="20"/>
          <w:color w:val="auto"/>
        </w:rPr>
      </w:pPr>
      <w:r>
        <w:rPr>
          <w:rFonts w:ascii="Times New Roman" w:cs="Times New Roman" w:eastAsia="Times New Roman" w:hAnsi="Times New Roman"/>
          <w:sz w:val="18"/>
          <w:szCs w:val="18"/>
          <w:color w:val="auto"/>
        </w:rPr>
        <w:t>All clinical trials must be conducted in accordance with FDA regulations that govern investigational product labeling, prohibit promotion, and specify an array of recordkeeping, reporting, and monitoring responsibilities of study sponsors and study investigators. Required records and reports are subject to inspection by the FDA. Clinical trials must further comply with FDA regulations that govern institutional review board approval, informed consent, and other human subject protections.</w:t>
      </w:r>
    </w:p>
    <w:p>
      <w:pPr>
        <w:spacing w:after="0" w:line="180" w:lineRule="exact"/>
        <w:rPr>
          <w:sz w:val="20"/>
          <w:szCs w:val="20"/>
          <w:color w:val="auto"/>
        </w:rPr>
      </w:pPr>
    </w:p>
    <w:p>
      <w:pPr>
        <w:ind w:right="740" w:firstLine="1018"/>
        <w:spacing w:after="0" w:line="282" w:lineRule="auto"/>
        <w:rPr>
          <w:sz w:val="20"/>
          <w:szCs w:val="20"/>
          <w:color w:val="auto"/>
        </w:rPr>
      </w:pPr>
      <w:r>
        <w:rPr>
          <w:rFonts w:ascii="Times New Roman" w:cs="Times New Roman" w:eastAsia="Times New Roman" w:hAnsi="Times New Roman"/>
          <w:sz w:val="18"/>
          <w:szCs w:val="18"/>
          <w:color w:val="auto"/>
        </w:rPr>
        <w:t>An amendment to the existing IND or IDE must be made for subsequent protocol changes and also for each successive clinical trial conducted during product development.</w:t>
      </w:r>
    </w:p>
    <w:p>
      <w:pPr>
        <w:spacing w:after="0" w:line="162" w:lineRule="exact"/>
        <w:rPr>
          <w:sz w:val="20"/>
          <w:szCs w:val="20"/>
          <w:color w:val="auto"/>
        </w:rPr>
      </w:pPr>
    </w:p>
    <w:p>
      <w:pPr>
        <w:jc w:val="both"/>
        <w:ind w:right="280" w:firstLine="1018"/>
        <w:spacing w:after="0" w:line="266" w:lineRule="auto"/>
        <w:rPr>
          <w:sz w:val="20"/>
          <w:szCs w:val="20"/>
          <w:color w:val="auto"/>
        </w:rPr>
      </w:pPr>
      <w:r>
        <w:rPr>
          <w:rFonts w:ascii="Times New Roman" w:cs="Times New Roman" w:eastAsia="Times New Roman" w:hAnsi="Times New Roman"/>
          <w:sz w:val="18"/>
          <w:szCs w:val="18"/>
          <w:color w:val="auto"/>
        </w:rPr>
        <w:t>Although the FDA Quality System Regulation does not fully apply to investigational products, the requirement for controls on design and development does apply. The sponsor also must manufacture the investigational product in conformity with the quality controls described in the IND or IDE application and any conditions of IND or IDE approval that FDA may impose with respect to manufacturing.</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BLA/NDA review process</w:t>
      </w:r>
    </w:p>
    <w:p>
      <w:pPr>
        <w:spacing w:after="0" w:line="22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product candidate for one or more specified indications and must contain proof of safety and efficacy for a drug or safety, purity, and potency for a biological product. The application may include both negative and ambiguous results of preclinical studies and clinical trials, as well as positive findings. Data may come from company-sponsored clinical trials intended to test the safety and efficacy of a product’s use and/or from a number of alternative sources, including studies initiated by investigators or cooperative clinical groups.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88"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(“PDUFA”) and the Biologics Price Competition and Innovation Act of 2009 (“BPCI”), as amended, each NDA or BLA must be accompanied by a user fee. User fees may be adjusted on an annual basis. PDUFA also imposes an annual program fee for each marketed human drug or biologic. Biosimilar User Fee Amendments impose a user fee for a biosimilar development program at the time of the first meeting with the FDA or the initial IND submission, whichever occurs first. This fee must be paid annually.</w:t>
      </w:r>
    </w:p>
    <w:p>
      <w:pPr>
        <w:spacing w:after="0" w:line="180"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and respond to the applicant, or six months if the submission is designated for priority review. The FDA does not always meet its PDUFA goal dates for standard and priority NDAs or BLAs, and the review process may be extended by FDA requests for additional information or clarification.</w:t>
      </w:r>
    </w:p>
    <w:p>
      <w:pPr>
        <w:spacing w:after="0" w:line="187"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specific deficiencies in the NDA or BLA identified by the FDA. A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 (PREA)</w:t>
      </w:r>
    </w:p>
    <w:p>
      <w:pPr>
        <w:spacing w:after="0" w:line="22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(“PREA”), a BLA or NDA submission or supplement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ind w:right="320"/>
        <w:spacing w:after="0" w:line="282" w:lineRule="auto"/>
        <w:rPr>
          <w:sz w:val="20"/>
          <w:szCs w:val="20"/>
          <w:color w:val="auto"/>
        </w:rPr>
      </w:pPr>
      <w:r>
        <w:rPr>
          <w:rFonts w:ascii="Times New Roman" w:cs="Times New Roman" w:eastAsia="Times New Roman" w:hAnsi="Times New Roman"/>
          <w:sz w:val="18"/>
          <w:szCs w:val="18"/>
          <w:color w:val="auto"/>
        </w:rPr>
        <w:t>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products that meet certain criteria. For example, presently the FDA has a fast-track designation, a priority review path, an accelerated approval path, and a breakthrough therapy designation. Any product submitted to the FDA for approval may be eligible for one or more of such FDA programs intended to expedite development and review. These expedited approvals do not change the standards for approval but may expedite the development or approval process. We may explore some of these opportunities for our product candidates as appropriate.</w:t>
      </w:r>
    </w:p>
    <w:p>
      <w:pPr>
        <w:spacing w:after="0" w:line="183" w:lineRule="exact"/>
        <w:rPr>
          <w:sz w:val="20"/>
          <w:szCs w:val="20"/>
          <w:color w:val="auto"/>
        </w:rPr>
      </w:pPr>
    </w:p>
    <w:p>
      <w:pPr>
        <w:ind w:left="760" w:right="200" w:hanging="378"/>
        <w:spacing w:after="0" w:line="258"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drugs may be eligible for fast-track designation if they are intended to treat a serious or life-threatening disease or condition and demonstrate the potential to address unmet medical needs for the disease or condition. Fast-track designation applies to the combination of the product and the specific indication for which it is being studied. The sponsor of a fast-track product has opportunities for more frequent interactions with the review team during product development, and the FDA may consider sections of the BLA or NDA for review on a rolling basis before the complete application is submitted.</w:t>
      </w:r>
    </w:p>
    <w:p>
      <w:pPr>
        <w:spacing w:after="0" w:line="183"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is eligible for priority review if it has the potential to provide safe and effective therapy where no satisfactory alternative therapy exists or to provide a significant improvement in the treatment, diagnosis or prevention of a disease compared to marketed products. The FDA will attempt to direct additional resources to the evaluation of a BLA or NDA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83" w:lineRule="exact"/>
        <w:rPr>
          <w:rFonts w:ascii="Times New Roman" w:cs="Times New Roman" w:eastAsia="Times New Roman" w:hAnsi="Times New Roman"/>
          <w:sz w:val="18"/>
          <w:szCs w:val="18"/>
          <w:color w:val="auto"/>
        </w:rPr>
      </w:pPr>
    </w:p>
    <w:p>
      <w:pPr>
        <w:ind w:left="760" w:right="20" w:hanging="378"/>
        <w:spacing w:after="0" w:line="25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intended to treat serious or life threatening diseases or conditions may be eligible for accelerated approval upon a determination that the product has an effect on a surrogate endpoint that is reasonably likely to predict clinical benefit, has an effect on a clinical endpoint that can be measured earlier than irreversible morbidity or mortality, or that is reasonably likely to predict an effect on irreversible morbidity or mortality or other clinical benefit, taking into account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8" w:lineRule="exact"/>
        <w:rPr>
          <w:rFonts w:ascii="Times New Roman" w:cs="Times New Roman" w:eastAsia="Times New Roman" w:hAnsi="Times New Roman"/>
          <w:sz w:val="18"/>
          <w:szCs w:val="18"/>
          <w:color w:val="auto"/>
        </w:rPr>
      </w:pPr>
    </w:p>
    <w:p>
      <w:pPr>
        <w:ind w:left="760" w:right="24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and Drug Administration Safety and Innovation Act established a category referred to as “breakthrough therapies.”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w:t>
      </w:r>
    </w:p>
    <w:p>
      <w:pPr>
        <w:spacing w:after="0" w:line="180" w:lineRule="exact"/>
        <w:rPr>
          <w:sz w:val="20"/>
          <w:szCs w:val="20"/>
          <w:color w:val="auto"/>
        </w:rPr>
      </w:pPr>
    </w:p>
    <w:p>
      <w:pPr>
        <w:ind w:right="180" w:firstLine="1018"/>
        <w:spacing w:after="0" w:line="282"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may decide that the time period for FDA review or approval will not be shortened.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cGMP, quality controls, record-keeping, reporting of adverse experiences, periodic reporting, product sampling and distribution, and advertising and promotion of the product. After approval, most changes to the approved product, including adding new indications or other labeling claims, are subject to prior FDA review and approval. There also are continuing user fee requirements, under which the FDA assesses an annual program fee for each approved product. The FDA regulations require that products be manufactured in specific approved facilities and in accordance with cGMP. Biologics manufacturers and their subcontractors are required to register their establishments with the FDA and certain state agencies, and are subject to periodic unannounced inspections by the FDA and certain state agencies for compliance with cGMP,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We are responsible for the selection and monitoring of qualified contract manufacturers, laboratories, and packagers, and, in certain circumstances, qualified suppliers to them. These facilities and, where applicable, their suppliers are subject to inspections by the FDA at any time,</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right="20"/>
        <w:spacing w:after="0" w:line="261" w:lineRule="auto"/>
        <w:rPr>
          <w:sz w:val="20"/>
          <w:szCs w:val="20"/>
          <w:color w:val="auto"/>
        </w:rPr>
      </w:pPr>
      <w:r>
        <w:rPr>
          <w:rFonts w:ascii="Times New Roman" w:cs="Times New Roman" w:eastAsia="Times New Roman" w:hAnsi="Times New Roman"/>
          <w:sz w:val="18"/>
          <w:szCs w:val="18"/>
          <w:color w:val="auto"/>
        </w:rPr>
        <w:t>and the discovery of violative conditions, including failure to conform to cGMP, could result in enforcement actions that interrupt the operation of any such facilities or the ability to distribute products manufactured, processed, or tested by them. Accordingly, we must continue to expend time, money, and effort on quality control for our own facilities and the facilities of others which contribute to the commercialization of our final product, to maintain compliance with cGMP and other aspects of regulatory compliance.</w:t>
      </w:r>
    </w:p>
    <w:p>
      <w:pPr>
        <w:spacing w:after="0" w:line="180"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risk evaluation and mitigation strategy (“REMS”) program. Other potential consequences include, among other things:</w:t>
      </w:r>
    </w:p>
    <w:p>
      <w:pPr>
        <w:spacing w:after="0" w:line="183" w:lineRule="exact"/>
        <w:rPr>
          <w:sz w:val="20"/>
          <w:szCs w:val="20"/>
          <w:color w:val="auto"/>
        </w:rPr>
      </w:pPr>
    </w:p>
    <w:p>
      <w:pPr>
        <w:ind w:left="1280" w:hanging="36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280" w:right="360" w:hanging="367"/>
        <w:spacing w:after="0" w:line="282"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225"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5" w:lineRule="exact"/>
        <w:rPr>
          <w:rFonts w:ascii="Times New Roman" w:cs="Times New Roman" w:eastAsia="Times New Roman" w:hAnsi="Times New Roman"/>
          <w:sz w:val="18"/>
          <w:szCs w:val="18"/>
          <w:color w:val="auto"/>
        </w:rPr>
      </w:pPr>
    </w:p>
    <w:p>
      <w:pPr>
        <w:ind w:left="1280" w:right="320" w:hanging="367"/>
        <w:spacing w:after="0" w:line="282"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and</w:t>
      </w:r>
    </w:p>
    <w:p>
      <w:pPr>
        <w:spacing w:after="0" w:line="161"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one or more of adverse publicity, warning letters, corrective advertising, civil penalties, criminal penalties, government investigation,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Orange Book; Purple Book</w:t>
      </w:r>
    </w:p>
    <w:p>
      <w:pPr>
        <w:spacing w:after="0" w:line="229"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The FDA publishes the Orange Book for products following the NDA pathway and the Purple Book for products following the BLA pathway. Our product candidates will be listed in the Orange Book after approval for marketing or listed in the Purple Book after license for marketing, as applicable.</w:t>
      </w:r>
    </w:p>
    <w:p>
      <w:pPr>
        <w:spacing w:after="0" w:line="176"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The Orange Book contains information about all FDA-approved drug products regulated by CDER and their exclusivities. The Orange Book also includes patent information. The applicant provides patent information to the FDA as part of its NDA, or after patent grant. Orange Book patent listing provides a 30 month stay of FDA approval of any generic submitted via an abbreviated new drug application (“ANDA”). An applicant submitting an ANDA must, for each patent listed against the approved drug in the Orange Book, either (i) state that the ANDA applicant is not seeking approval for a patented method of use, (ii) ask the FDA to delay approval until that patent is expired (a “Paragraph III” certification), or (iii) attest that the patent is invalid, unenforceable, or will not be infringed by the generic product (a “Paragraph IV” certification), which can trigger ANDA litigation over the associated patent.</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firstLine="1018"/>
        <w:spacing w:after="0" w:line="261" w:lineRule="auto"/>
        <w:rPr>
          <w:sz w:val="20"/>
          <w:szCs w:val="20"/>
          <w:color w:val="auto"/>
        </w:rPr>
      </w:pPr>
      <w:r>
        <w:rPr>
          <w:rFonts w:ascii="Times New Roman" w:cs="Times New Roman" w:eastAsia="Times New Roman" w:hAnsi="Times New Roman"/>
          <w:sz w:val="18"/>
          <w:szCs w:val="18"/>
          <w:color w:val="auto"/>
        </w:rPr>
        <w:t>The purple book contains information about all FDA-licensed biological products regulated by CDER, including licensed biosimilar and interchangeable products and their reference products, and FDA-licensed allergenic, cellular and gene therapy, hematologic, and vaccine products regulated by CBER. The Purple Book includes granted exclusivity information. The Purple Book also includes for each biological product a list of patents identified to a biosimilar applicant during biosimilar litigation under the BPCIA.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Exclusivities</w:t>
      </w:r>
    </w:p>
    <w:p>
      <w:pPr>
        <w:spacing w:after="0" w:line="229"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Some of our product candidates may be eligible for exclusivities provided under various FDA programs. Exclusivity refers to certain delays and prohibitions on approval of competitor drugs available under an applicable statute that take effect upon FDA’s approval of a biologic or drug, or of certain supplements to the BLA or NDA. Exclusivities do not convey any advantage in or shorten the duration of the regulatory review and approval process.</w:t>
      </w:r>
    </w:p>
    <w:p>
      <w:pPr>
        <w:spacing w:after="0" w:line="180" w:lineRule="exact"/>
        <w:rPr>
          <w:sz w:val="20"/>
          <w:szCs w:val="20"/>
          <w:color w:val="auto"/>
        </w:rPr>
      </w:pPr>
    </w:p>
    <w:p>
      <w:pPr>
        <w:ind w:right="340" w:firstLine="1018"/>
        <w:spacing w:after="0" w:line="266" w:lineRule="auto"/>
        <w:rPr>
          <w:sz w:val="20"/>
          <w:szCs w:val="20"/>
          <w:color w:val="auto"/>
        </w:rPr>
      </w:pPr>
      <w:r>
        <w:rPr>
          <w:rFonts w:ascii="Times New Roman" w:cs="Times New Roman" w:eastAsia="Times New Roman" w:hAnsi="Times New Roman"/>
          <w:sz w:val="18"/>
          <w:szCs w:val="18"/>
          <w:color w:val="auto"/>
        </w:rPr>
        <w:t>For an applicant to be able to take advantage of the Pediatric exclusivity, the FDA must make a written request for a pediatric study to be performed, although the applicant may request for the FDA to make the request for a pediatric study. After the study is performed, the applicant may request Pediatric exclusivity. If granted, 180 days of patent term are added to the patent term listed in the Orange Book.</w:t>
      </w:r>
    </w:p>
    <w:p>
      <w:pPr>
        <w:spacing w:after="0" w:line="17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With respect to other FDA exclusivity programs, in some cases the exclusivity programs will not apply to our product candidates due to our unique formulation or oral capsule technology, or it is unclear the extent to which they will apply, or they will not apply to most or all of the product candidates in our pipeline.</w:t>
      </w:r>
    </w:p>
    <w:p>
      <w:pPr>
        <w:spacing w:after="0" w:line="176"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For exclusivity programs that apply to our product candidates, we will consider pursuing such exclusivities at the appropriate time. However, we do not expect any of the exclusivities to provide us significant competitive advantage. Exclusivities granted to our competitors could block approval and/or commercialization of one or more of our product candidates, possibly for several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right="260" w:firstLine="1018"/>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(“HIPAA”), and similar foreign, federal, and state fraud and abuse, transparency, and data privacy and security laws.</w:t>
      </w:r>
    </w:p>
    <w:p>
      <w:pPr>
        <w:spacing w:after="0" w:line="180"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and so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87"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The U.S. federal Physician Payments Sunshine Act requires applicable manufacturers of prescription drugs, devices, biological products,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187" w:lineRule="exact"/>
        <w:rPr>
          <w:sz w:val="20"/>
          <w:szCs w:val="20"/>
          <w:color w:val="auto"/>
        </w:rPr>
      </w:pPr>
    </w:p>
    <w:p>
      <w:pPr>
        <w:ind w:right="40" w:firstLine="1018"/>
        <w:spacing w:after="0" w:line="274" w:lineRule="auto"/>
        <w:rPr>
          <w:sz w:val="20"/>
          <w:szCs w:val="20"/>
          <w:color w:val="auto"/>
        </w:rPr>
      </w:pPr>
      <w:r>
        <w:rPr>
          <w:rFonts w:ascii="Times New Roman" w:cs="Times New Roman" w:eastAsia="Times New Roman" w:hAnsi="Times New Roman"/>
          <w:sz w:val="17"/>
          <w:szCs w:val="17"/>
          <w:color w:val="auto"/>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(“HITECH”), and their implementing regulations, impose certain requirements on HIPAA covered entities, which include certain healthcare providers, healthcare clearinghouses, and health plans, and individuals and entities, known as business associates, and their covered subcontractors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73" w:lineRule="exact"/>
        <w:rPr>
          <w:sz w:val="20"/>
          <w:szCs w:val="20"/>
          <w:color w:val="auto"/>
        </w:rPr>
      </w:pPr>
    </w:p>
    <w:p>
      <w:pPr>
        <w:ind w:right="20" w:firstLine="1018"/>
        <w:spacing w:after="0" w:line="282"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law equivalents of each of the above federal laws, which, in some cases, differ from each other in significant ways, and may not have the same effect, complicating compliance efforts.</w:t>
      </w:r>
    </w:p>
    <w:p>
      <w:pPr>
        <w:spacing w:after="0" w:line="162"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 of non-compliance, disgorgement, imprisonment, contractual damages, reputational harm, diminished profits and market share, and the curtailment or restructuring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w:t>
      </w:r>
    </w:p>
    <w:p>
      <w:pPr>
        <w:spacing w:after="0" w:line="176"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 For example, the Patient Protection and Affordable Care Act, as amended by the Health Care and Education Reconciliation Act (collectively, the “ACA”), which was enacted in March 2010,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and annual fees based on pharmaceutical companies’ share of sales to federal health care programs. There have been executive, judicial and Congressional challenges and amendments to certain aspects of the ACA. For example, on August 16, 2022, the Inflation Reduction Act of 2022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additional challenges in the future. It is unclear how such challenges and the healthcare reform measures of the second Trump administration will impact the ACA, or the impact any changes to the ACA may have on our ability to commercialize products or the prices we are able to obtain.</w:t>
      </w:r>
    </w:p>
    <w:p>
      <w:pPr>
        <w:spacing w:after="0" w:line="197"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 aggregate reductions to Medicare payments to providers of 2% per fiscal year pursuant to the Budget Control Act of 2011, which began in April 2013 and, due to subsequent legislative amendments to the statute, including the Infrastructure Investment and Jobs Act, will remain in effect until 2032 unless additional Congressional action is taken. In addition, recently there has been heightened governmental scrutiny over the manner in which drug manufacturers set prices for their commercial products. At the federal level, the IRA, among other things, (i) directs the U.S. Department of Health and Human Services (“HHS”) to negotiate the price of certain high-expenditure single-source biologics that have been on the market for at least 11 years covered under Medicare (the “Medicare Drug Price Negotiation Program”) and (ii) imposes rebates under Medicare Part B and Medicare Part D to penalize price increases that outpace inflation. These provisions began to take effect progressively starting in fiscal year 2023. On August 15, 2024, HHS announced the agreed-upon prices of the first ten drugs that were subject to price negotiations, although the Medicare</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40"/>
        <w:spacing w:after="0" w:line="253" w:lineRule="auto"/>
        <w:rPr>
          <w:sz w:val="20"/>
          <w:szCs w:val="20"/>
          <w:color w:val="auto"/>
        </w:rPr>
      </w:pPr>
      <w:r>
        <w:rPr>
          <w:rFonts w:ascii="Times New Roman" w:cs="Times New Roman" w:eastAsia="Times New Roman" w:hAnsi="Times New Roman"/>
          <w:sz w:val="18"/>
          <w:szCs w:val="18"/>
          <w:color w:val="auto"/>
        </w:rPr>
        <w:t>Drug Price Negotiation Program is currently subject to legal challenges. On January 17, 2025, HHS selected fifteen additional products covered under Part D for price negotiation in 2024. Each year thereafter more Part B and Part D products will become subject to the Medicare Drug Price Negotiation Program.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to consider new payment and healthcare models to limit drug spending and eliminating the Biden administration’s executive order that directed HHS to establishing an artificial intelligence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obligations</w:t>
      </w:r>
    </w:p>
    <w:p>
      <w:pPr>
        <w:spacing w:after="0" w:line="256"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receive, process, generate, use, transfer, disclose, make accessible, protect, secure, dispose of, transmit, share and store (“process”) proprietary, confidential and sensitive information, including personal data, intellectual property, trade secret, clinical trial data, and proprietary information owned or controlled by ourselves or third parties (collectively, sensitive data). Our data processing activities subject us to numerous data privacy and security obligations, including federal, state, local, and foreign laws, regulations, guidance, industry standards, external and internal privacy and security policies, contractual requirements, and other obligations related to data privacy and security. Such obligations may include, without limitation, the Federal Trade Commission Act, U.S. state comprehensive privacy laws, the European Union’s General Data Protection Regulation 2016/679 (“EU GDPR”) and the United Kingdom’s GDPR (“UK GDPR”). Obligations related to the processing of personal data worldwide is rapidly evolving. The number and scope of data privacy and security laws, regulations and other obligations is changing, subject to differing applications and interpretations, and may be inconsistent among jurisdictions, or in conflict with other data processing obligations. Efforts to ensure that our current and future business operations and arrangements, including our relationship with our CROs, other vendors who process data on our behalf, and other third parties with whom we work comply with applicable data privacy and security obligations involve substantial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jc w:val="both"/>
        <w:ind w:right="38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2024, we had 105 full-time employees and one part-time employee. The majority of our employees are based at our facilities in San Jose and Fremont, California, with a contingent of employees based outside of California. None of our employees are represented by a labor union or are a party to a collective bargaining agreement and we believe that we have good relations with our employees.</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Organizational Transactions</w:t>
      </w:r>
    </w:p>
    <w:p>
      <w:pPr>
        <w:spacing w:after="0" w:line="256"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(“IPO”) of its Class A common stock, to facilitate certain organizational transactions, and to operate the business of Rani LLC and its consolidated subsidiary at such time, RMS. In connection with the IPO, we established a holding company structure with Rani Holdings as a holding company and its principal asset is the Class A common units (“Class A Units”) of Rani LLC that it owns. As the sole managing member of Rani LLC, Rani Holdings operates and controls all of Rani LLC’s operations, and through Rani LLC, conducts all of Rani LLC’s business.</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connection with the IPO, we were party to the following organizational transactions (the “Organizational Transactions”):</w:t>
      </w:r>
    </w:p>
    <w:p>
      <w:pPr>
        <w:spacing w:after="0" w:line="225" w:lineRule="exact"/>
        <w:rPr>
          <w:sz w:val="20"/>
          <w:szCs w:val="20"/>
          <w:color w:val="auto"/>
        </w:rPr>
      </w:pPr>
    </w:p>
    <w:p>
      <w:pPr>
        <w:ind w:left="1020" w:right="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Rani LLC’s operating agreement (the “Rani LLC Agreement”) to appoint Rani Holdings as the sole managing member of Rani LLC and effectuated an exchange of all outstanding interests in Rani LLC into Class A Units and an equal number of voting noneconomic Class B units.</w:t>
      </w:r>
    </w:p>
    <w:p>
      <w:pPr>
        <w:spacing w:after="0" w:line="175"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ten votes per share on all matters presented to the Company's stockholders, (iii) Class C common stock, which has no voting rights, except as otherwise required by law and (iv) preferred stock.</w:t>
      </w:r>
    </w:p>
    <w:p>
      <w:pPr>
        <w:spacing w:after="0" w:line="179"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holders of Class A Units tendered their Class A Units for shares of our Class A common stock. Certain holders of Class A Units continued to hold such Class A Units (“Continuing LLC Owners”) and received shares of our Class B common stock.</w:t>
      </w:r>
    </w:p>
    <w:p>
      <w:pPr>
        <w:spacing w:after="0" w:line="161"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are entitled to exchange, subject to the terms of the Rani LLC Agreement, the Class A Units they hold in Rani LLC, together with the shares they hold of our Class B common stock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canceled on a one-for-one basis if we, at the election of the Continuing LLC Owners, redeem or exchange such Paired Interest pursuant to the terms of the Rani LLC Agreement.</w:t>
      </w:r>
    </w:p>
    <w:p>
      <w:pPr>
        <w:spacing w:after="0" w:line="18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and tax receivable agreement (“Tax Receivable Agreement” or “TRA”) with certain of the Continuing LLC Owners.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180" w:firstLine="1018"/>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right="260" w:firstLine="1018"/>
        <w:spacing w:after="0" w:line="261" w:lineRule="auto"/>
        <w:rPr>
          <w:sz w:val="20"/>
          <w:szCs w:val="20"/>
          <w:color w:val="auto"/>
        </w:rPr>
      </w:pPr>
      <w:r>
        <w:rPr>
          <w:rFonts w:ascii="Times New Roman" w:cs="Times New Roman" w:eastAsia="Times New Roman" w:hAnsi="Times New Roman"/>
          <w:sz w:val="18"/>
          <w:szCs w:val="18"/>
          <w:color w:val="auto"/>
        </w:rPr>
        <w:t>Copies of our Annual Reports on Form 10-K, Quarterly Reports on Form 10-Q, Current Reports on Form 8-K, Proxy Statements, and all amendments to these reports, filed with or furnished to the Securities and Exchange Commission (“SEC”) pursuant to Section 13(a) or 15(d) of the Securities Exchange Act of 1934 as amended may be obtained from the SEC’s on-line database, which is located at www.sec.gov. Our common stock is traded on the Nasdaq Stock Market (“Nasdaq”) under the symbol “RANI.”</w:t>
      </w:r>
    </w:p>
    <w:p>
      <w:pPr>
        <w:spacing w:after="0" w:line="180" w:lineRule="exact"/>
        <w:rPr>
          <w:sz w:val="20"/>
          <w:szCs w:val="20"/>
          <w:color w:val="auto"/>
        </w:rPr>
      </w:pPr>
    </w:p>
    <w:p>
      <w:pPr>
        <w:ind w:right="180" w:firstLine="101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101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including our consolidated financial statements and related notes, as well as the other information in this report, and in our other public filings,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History, Financial Position and Capital Requirements</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commercialization efforts or other operations.</w:t>
      </w:r>
    </w:p>
    <w:p>
      <w:pPr>
        <w:spacing w:after="0" w:line="175"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We are in early clinical development with certain product candidates and have conducted or are in preclinical development with other product candidates. We intend to advance our product candidates into initial and later stages of clinical development, which requires significant capital. In addition, we are developing the RaniPill HC.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7"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As of December 31, 2024, our cash, cash equivalents and marketable securities totaled $27.6 million. Based on our available cash resources and current operating plan, there is substantial doubt regarding our ability to continue as a going concern for a period of one year after the date that our financial statements for the year ended December 31, 2024 are issued. Our existing capital resources, including the net proceeds from our IPO, the October Offering and July Offering,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192"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spacing w:after="0" w:line="162"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We may not be able to obtain additional funding on acceptable terms, or at all. As a result of geopolitical events, including the conflicts in Ukraine and Gaza, inflation, rising interest rates and other conditions, the global credit and financial markets have experienced volatility and disruptions. In addition, the report from our independent registered public accounting firm issued in connection with this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If we are unable to obtain funding on a timely basis, or to generate sufficient revenues, if at all, from collaboration arrangements, we may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w:t>
      </w:r>
    </w:p>
    <w:p>
      <w:pPr>
        <w:spacing w:after="0" w:line="207" w:lineRule="exact"/>
        <w:rPr>
          <w:sz w:val="20"/>
          <w:szCs w:val="20"/>
          <w:color w:val="auto"/>
        </w:rPr>
      </w:pPr>
    </w:p>
    <w:p>
      <w:pPr>
        <w:ind w:left="1020" w:right="6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curtail, delay or discontinue one or more of our research or development programs, the development of our oral delivery technology, including the RaniPill HC, the commercialization of any product candidates or cease operations altogether;</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collaborators for one or more of our product candidates at an earlier stage than otherwise would be desirable or on terms that are less favorable than might otherwise be available;</w:t>
      </w:r>
    </w:p>
    <w:p>
      <w:pPr>
        <w:spacing w:after="0" w:line="161"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product candidates that we otherwise would seek to develop or commercialize ourselves; or</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 expansion of our operations or refrain from pursuing business opportunities.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ind w:right="80" w:firstLine="1018"/>
        <w:spacing w:after="0" w:line="312" w:lineRule="auto"/>
        <w:rPr>
          <w:sz w:val="20"/>
          <w:szCs w:val="20"/>
          <w:color w:val="auto"/>
        </w:rPr>
      </w:pPr>
      <w:r>
        <w:rPr>
          <w:rFonts w:ascii="Times New Roman" w:cs="Times New Roman" w:eastAsia="Times New Roman" w:hAnsi="Times New Roman"/>
          <w:sz w:val="17"/>
          <w:szCs w:val="17"/>
          <w:color w:val="auto"/>
        </w:rPr>
        <w:t>Our efforts to raise additional funding may divert our management from their day-to-day activities, which may adversely affect our ability to develop the RaniPill platform, including the RaniPill HC, to progress development of our product candidates or to automate our manufacturing processes.</w:t>
      </w:r>
    </w:p>
    <w:p>
      <w:pPr>
        <w:spacing w:after="0" w:line="140"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Moreover, the terms of any financing may adversely affect the holdings or the rights of our stockholders and the issuance of additional securities, whether equity or debt, by us, or the possibility of such issuance, may cause the market price of our Class A common stock to decline. The sale of additional equity or convertible securities would dilute all of our stockholders. The incurrence of indebtedness would result in increased fixed payment obligations and we may be required to agree to certain restrictive covenants and other operating restrictions that could adversely impact our ability to conduct our business. The Lender already has a security interest in substantially all of our assets, including our intellectual property, which may prevent or limit our ability to incur additional indebtedness.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funding requirements and the timing of our need for additional capital are subject to change based on a number of factors, including:</w:t>
      </w:r>
    </w:p>
    <w:p>
      <w:pPr>
        <w:spacing w:after="0" w:line="22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and timing of our preclinical studies and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research pipeline;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development of the RaniPill HC device and other improvements or advancements to our delivery technologies;</w:t>
      </w:r>
    </w:p>
    <w:p>
      <w:pPr>
        <w:spacing w:after="0" w:line="225"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the RaniPill capsule;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225"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obtaining drug supply for, our product candidates, including for clinical and commercial supplies;</w:t>
      </w:r>
    </w:p>
    <w:p>
      <w:pPr>
        <w:spacing w:after="0" w:line="161"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commercial infrastructure, including establishing sales, marketing, and distribution capabilities;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225"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engineering personnel;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drugs and product candidates and other market developments;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 if approved;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data losses or other disruptions affecting our information systems;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and cost-containment measures we propose to implement;</w:t>
      </w:r>
    </w:p>
    <w:p>
      <w:pPr>
        <w:spacing w:after="0" w:line="225"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disruptions to and volatility in the credit and financial markets in the United States and worldwide from geopolitical conflicts or other such disruptions.</w:t>
      </w:r>
    </w:p>
    <w:p>
      <w:pPr>
        <w:spacing w:after="0" w:line="162"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We may seek additional capital due to favorable market conditions or strategic considerations, even if we believe we have sufficient funds for our current or future operating plans.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15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Biologics delivery is a highly speculative undertaking and involves a substantial degree of risk. We are an early clinical stage biopharmaceutical company with a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We are in early clinical development with a limited number of product candidates, and are in preclinical development with other product candidates.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oral therapeutic products.</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have incurred significant operating losses since our formation. Our net loss for the year ended December 31, 2024 was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 million. Our prior losses, combined with expected future losses, have had and will continue to have an adverse effect on our stockholders, deficit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The majority of our losses have resulted from expenses incurred in connection with research and development, manufacturing automation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scaleup, and establishing our intellectual property portfolio. All of our product candidates will require substantial additional development time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before we would be able to apply for or receive regulatory approvals and begin generating revenue from product sales. We expect to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incurring significant research, development, manufacturing and other expenses related to our ongoing business operations and product development, and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result, we expect to continue incurring losses for the foreseeable future. We also expect these losses to increase as we continue our development 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seek regulatory approvals for, our product candidates.</w:t>
      </w:r>
    </w:p>
    <w:p>
      <w:pPr>
        <w:spacing w:after="0" w:line="207"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do not anticipate generating revenue from sales of products for the foreseeable future, if ever, and our product candidates are in preclinical and early-stage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3"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5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are in early clinical development with a limited number of product candidates, and are in preclinical development with other product candidates.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440" w:firstLine="1018"/>
        <w:spacing w:after="0" w:line="282" w:lineRule="auto"/>
        <w:rPr>
          <w:sz w:val="20"/>
          <w:szCs w:val="20"/>
          <w:color w:val="auto"/>
        </w:rPr>
      </w:pPr>
      <w:r>
        <w:rPr>
          <w:rFonts w:ascii="Times New Roman" w:cs="Times New Roman" w:eastAsia="Times New Roman" w:hAnsi="Times New Roman"/>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6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outcomes from the continued development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or serious adverse events in preclinical studies or clinical trials of our product candidates;</w:t>
      </w:r>
    </w:p>
    <w:p>
      <w:pPr>
        <w:spacing w:after="0" w:line="225"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as well as the timeliness of obtaining, additional funding to develop, and potentially manufacture and commercialize our product candidates and develop the RaniPill HC;</w:t>
      </w:r>
    </w:p>
    <w:p>
      <w:pPr>
        <w:spacing w:after="0" w:line="16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to our specifications and in a timely manner to support our preclinical studies and clinical trials, and, if approved, commercialization;</w:t>
      </w:r>
    </w:p>
    <w:p>
      <w:pPr>
        <w:spacing w:after="0" w:line="16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6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directed against the same biologic target or therapeutic indications of our product candidates as well as new products that may receive marketing approval;</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review and approval of our product candidates;</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that receive regulatory approval, if any, including perception of the safety and efficacy of the oral delivery of biologics;</w:t>
      </w:r>
    </w:p>
    <w:p>
      <w:pPr>
        <w:spacing w:after="0" w:line="16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collaboration agreements with third parties who may desire to license our oral delivery technology for use with their own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commercial reach by selectively entering into strategic partnerships on favorable terms or at all;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 directly or through collaborations with third parties;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or healthcare providers to obtain coverage or sufficient reimbursement for our products;</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in accordance with current Good Manufacturing Practices, for the conduct of preclinical studies and clinical trials and, if approved, for successful commercialization;</w:t>
      </w:r>
    </w:p>
    <w:p>
      <w:pPr>
        <w:spacing w:after="0" w:line="161"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infrastructure and adequately manage our future growth;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with appropriate expertise and experience to manage our business effectively.</w:t>
      </w:r>
    </w:p>
    <w:p>
      <w:pPr>
        <w:spacing w:after="0" w:line="225"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5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the RaniPill HC or our product candidates that we otherwise would seek to develop or commercialize ourselves or potentially reserve for future potential arrangements when we might be able to achieve more favorable terms.</w:t>
      </w:r>
    </w:p>
    <w:p>
      <w:pPr>
        <w:spacing w:after="0" w:line="1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indebtedness contains restrictions that limit our flexibility in operating our business. In addition, we may be required to make a prepayment or repay our outstanding indebtedness earlier than we expect.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August 2022, we entered into the Loan Agreement with the Lender for term loans (the “Loans”) in an aggregate principal amount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million. A Loan of $30.0 million was committed at closing, with $15.0 million funded immediately and $15.0 million available to be drawn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2022 and December 31, 2022, which was drawn in December 2022. The remaining $15.0 million of Loans was uncommitted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conditions and is no longer available under the Loan Agreement. The Loan Agreement contains various covenants that limit our ability to engage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types of transactions. These covenants limit our ability to, among other things:</w:t>
      </w:r>
    </w:p>
    <w:p>
      <w:pPr>
        <w:spacing w:after="0" w:line="20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certain debt;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acquire all or substantially all of the capital stock or property of another entity;</w:t>
      </w:r>
    </w:p>
    <w:p>
      <w:pPr>
        <w:spacing w:after="0" w:line="225"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or series of related transactions that would be deemed to result in a change in control of us under the terms of the agreement;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organizational structure or type;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transfer, or dispose of certain assets;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certain types of liens on our assets;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 transactions with affiliates.</w:t>
      </w:r>
    </w:p>
    <w:p>
      <w:pPr>
        <w:spacing w:after="0" w:line="225" w:lineRule="exact"/>
        <w:rPr>
          <w:sz w:val="20"/>
          <w:szCs w:val="20"/>
          <w:color w:val="auto"/>
        </w:rPr>
      </w:pPr>
    </w:p>
    <w:p>
      <w:pPr>
        <w:ind w:right="380" w:firstLine="1018"/>
        <w:spacing w:after="0" w:line="282" w:lineRule="auto"/>
        <w:rPr>
          <w:sz w:val="20"/>
          <w:szCs w:val="20"/>
          <w:color w:val="auto"/>
        </w:rPr>
      </w:pPr>
      <w:r>
        <w:rPr>
          <w:rFonts w:ascii="Times New Roman" w:cs="Times New Roman" w:eastAsia="Times New Roman" w:hAnsi="Times New Roman"/>
          <w:sz w:val="18"/>
          <w:szCs w:val="18"/>
          <w:color w:val="auto"/>
        </w:rPr>
        <w:t>The restrictive covenants in the Loan Agreement could prevent us from pursuing business opportunities that we or our stockholders may consider beneficial.</w:t>
      </w:r>
    </w:p>
    <w:p>
      <w:pPr>
        <w:spacing w:after="0" w:line="162"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Loan Agreement. An event of default will also occur if, among other things, a material adverse effect in our business, operations, or condition occurs, which could potentially include a material impairment of the prospect of our repayment of any portion of the amounts we owe under the Loan Agreement. In the case of a continuing event of default under the Loan Agreement, the Lender could elect to declare all amounts outstanding to be immediately due and payable, proceed against the collateral in which we granted the Lender a security interest under the Loan Agreement, or otherwise exercise the rights of a secured creditor. Amounts outstanding under the Loan Agreement are secured by substantially all of our existing and future assets, including intellectual property.</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We may not have enough available cash or be able to raise additional funds on satisfactory terms, if at all, through equity or debt financings to repay or refinance our indebtedness at the time any such repayment is required. In such an event, we may be required to delay, limit, reduce, or terminate our product development or commercialization efforts. Our business, financial condition, and results of operations could be materially adversely affected as a result.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restructuring actions that we undertake may not deliver the expected results and these actions may adversely affect our business operations.</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We may undertake various restructuring activities in an effort to better align our resources, organizational structure and costs with our strategic priorities, including streamlining of business operations and development program priorities and reduction in force. The estimates of costs that we may expect to incur in connection with the restructuring and the timing thereof are subject to a number of assumptions and actual results may differ materially from estimates. We may also incur other charges or cash expenditures not contemplated in connection with a restructuring due to unanticipated events that may occur, including in connection with the implementation of a restructuring. In connection with such activities, we may experience a disruption in our ability to perform functions critical to our strategy or business objectives. While we strive to reduce the negative impact of restructuring actions, such actions could result in significant disruptions to our operations, including adversely affecting our clinical program development, technology platform development, the successful implementation and completion of our strategic objectives and the results of our operations. We expect to continue to actively manage our costs. However, if we do not fully realize or maintain the anticipated benefits of our restructuring plans and cost reduction initiatives, our business could be adversely affected. Restructuring activities may also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results of operations or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225"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57"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We are in the early stages of our development efforts and have only a limited number of product candidates in early clinical development. Other product candidates are still in preclinical stage. We will need to progress our product candidates through Investigational New Drug (IND)-enabling studies and submit INDs to the FDA or equivalent regulatory filings to foreign regulatory authorities prior to initiating their clinical development. None of our product candidates have advanced into a pivotal study.</w:t>
      </w:r>
    </w:p>
    <w:p>
      <w:pPr>
        <w:spacing w:after="0" w:line="180"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76" w:lineRule="exact"/>
        <w:rPr>
          <w:sz w:val="20"/>
          <w:szCs w:val="20"/>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clinical trials and completion of preclinical studies and clinical trials with favorable results;</w:t>
      </w:r>
    </w:p>
    <w:p>
      <w:pPr>
        <w:spacing w:after="0" w:line="225" w:lineRule="exact"/>
        <w:rPr>
          <w:rFonts w:ascii="Times New Roman" w:cs="Times New Roman" w:eastAsia="Times New Roman" w:hAnsi="Times New Roman"/>
          <w:sz w:val="18"/>
          <w:szCs w:val="18"/>
          <w:color w:val="auto"/>
        </w:rPr>
      </w:pPr>
    </w:p>
    <w:p>
      <w:pPr>
        <w:ind w:left="1400" w:right="340" w:hanging="374"/>
        <w:spacing w:after="0" w:line="282" w:lineRule="auto"/>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225" w:lineRule="exact"/>
        <w:rPr>
          <w:rFonts w:ascii="Times New Roman" w:cs="Times New Roman" w:eastAsia="Times New Roman" w:hAnsi="Times New Roman"/>
          <w:sz w:val="18"/>
          <w:szCs w:val="18"/>
          <w:color w:val="auto"/>
        </w:rPr>
      </w:pPr>
    </w:p>
    <w:p>
      <w:pPr>
        <w:ind w:left="1400" w:right="180" w:hanging="374"/>
        <w:spacing w:after="0" w:line="282" w:lineRule="auto"/>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BLAs or NDAs, from the FDA, and maintaining such approvals;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and securing adequate supply of drugs for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automation of our manufacturing machinery and procedures;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multiple suppliers for our critical manufacturing materials;</w:t>
      </w:r>
    </w:p>
    <w:p>
      <w:pPr>
        <w:spacing w:after="0" w:line="225" w:lineRule="exact"/>
        <w:rPr>
          <w:rFonts w:ascii="Times New Roman" w:cs="Times New Roman" w:eastAsia="Times New Roman" w:hAnsi="Times New Roman"/>
          <w:sz w:val="18"/>
          <w:szCs w:val="18"/>
          <w:color w:val="auto"/>
        </w:rPr>
      </w:pPr>
    </w:p>
    <w:p>
      <w:pPr>
        <w:ind w:left="1400" w:right="540" w:hanging="374"/>
        <w:spacing w:after="0" w:line="282" w:lineRule="auto"/>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or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and shelf life of our products following approval;</w:t>
      </w:r>
    </w:p>
    <w:p>
      <w:pPr>
        <w:spacing w:after="0" w:line="225" w:lineRule="exact"/>
        <w:rPr>
          <w:rFonts w:ascii="Times New Roman" w:cs="Times New Roman" w:eastAsia="Times New Roman" w:hAnsi="Times New Roman"/>
          <w:sz w:val="18"/>
          <w:szCs w:val="18"/>
          <w:color w:val="auto"/>
        </w:rPr>
      </w:pPr>
    </w:p>
    <w:p>
      <w:pPr>
        <w:ind w:left="1400" w:right="420" w:hanging="374"/>
        <w:spacing w:after="0" w:line="282" w:lineRule="auto"/>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our products and technology.</w:t>
      </w:r>
    </w:p>
    <w:p>
      <w:pPr>
        <w:spacing w:after="0" w:line="225"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or potential collaborators.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5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Our business and future profitability is substantially dependent on our ability to successfully develop, obtain regulatory approval for and then successfully commercialize our product candidates.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400" w:hanging="374"/>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400" w:right="80" w:hanging="374"/>
        <w:spacing w:after="0" w:line="282"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161" w:lineRule="exact"/>
        <w:rPr>
          <w:rFonts w:ascii="Times New Roman" w:cs="Times New Roman" w:eastAsia="Times New Roman" w:hAnsi="Times New Roman"/>
          <w:sz w:val="18"/>
          <w:szCs w:val="18"/>
          <w:color w:val="auto"/>
        </w:rPr>
      </w:pPr>
    </w:p>
    <w:p>
      <w:pPr>
        <w:ind w:left="1400" w:right="20" w:hanging="374"/>
        <w:spacing w:after="0" w:line="282"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1400" w:right="240" w:hanging="374"/>
        <w:spacing w:after="0" w:line="282"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left="1400" w:right="420" w:hanging="374"/>
        <w:spacing w:after="0" w:line="282"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62"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76"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87" w:lineRule="exact"/>
        <w:rPr>
          <w:sz w:val="20"/>
          <w:szCs w:val="20"/>
          <w:color w:val="auto"/>
        </w:rPr>
      </w:pPr>
    </w:p>
    <w:p>
      <w:pPr>
        <w:jc w:val="both"/>
        <w:ind w:right="160" w:firstLine="1018"/>
        <w:spacing w:after="0" w:line="266" w:lineRule="auto"/>
        <w:rPr>
          <w:sz w:val="20"/>
          <w:szCs w:val="20"/>
          <w:color w:val="auto"/>
        </w:rPr>
      </w:pPr>
      <w:r>
        <w:rPr>
          <w:rFonts w:ascii="Times New Roman" w:cs="Times New Roman" w:eastAsia="Times New Roman" w:hAnsi="Times New Roman"/>
          <w:sz w:val="18"/>
          <w:szCs w:val="18"/>
          <w:color w:val="auto"/>
        </w:rPr>
        <w:t>We have not previously submitted a BLA, or a marketing authorization application,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5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trials of RT-102 and RT-111 do not ensure that future Phase 2 or later clinical trials of these product candidates will have similar results or be successful. In the Phase 1 clinical trials of RT-102 and RT-111, we tested the RaniPill capsule in a limited number of healthy volunteers. While we have not observed any serious adverse events as a result of these clinical trials, we have not widely tested the RaniPill capsule in humans and cannot be certain how the RaniPill capsule will perform when more widely tested in humans in any additional or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w:t>
      </w:r>
    </w:p>
    <w:p>
      <w:pPr>
        <w:spacing w:after="0" w:line="190"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83" w:lineRule="exact"/>
        <w:rPr>
          <w:sz w:val="20"/>
          <w:szCs w:val="20"/>
          <w:color w:val="auto"/>
        </w:rPr>
      </w:pPr>
    </w:p>
    <w:p>
      <w:pPr>
        <w:ind w:right="120" w:firstLine="1018"/>
        <w:spacing w:after="0" w:line="282" w:lineRule="auto"/>
        <w:rPr>
          <w:sz w:val="20"/>
          <w:szCs w:val="20"/>
          <w:color w:val="auto"/>
        </w:rPr>
      </w:pPr>
      <w:r>
        <w:rPr>
          <w:rFonts w:ascii="Times New Roman" w:cs="Times New Roman" w:eastAsia="Times New Roman" w:hAnsi="Times New Roman"/>
          <w:sz w:val="18"/>
          <w:szCs w:val="18"/>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62" w:lineRule="exact"/>
        <w:rPr>
          <w:sz w:val="20"/>
          <w:szCs w:val="20"/>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to commence a clinical trial;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or negligence on the part of consultants or contractors;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or ethics committee approval at each site;</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clinical trial’s protocol or dropping out of a clinical trial;</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1400" w:hanging="374"/>
        <w:spacing w:after="0"/>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or</w:t>
      </w:r>
    </w:p>
    <w:p>
      <w:pPr>
        <w:spacing w:after="0" w:line="225" w:lineRule="exact"/>
        <w:rPr>
          <w:rFonts w:ascii="Times New Roman" w:cs="Times New Roman" w:eastAsia="Times New Roman" w:hAnsi="Times New Roman"/>
          <w:sz w:val="18"/>
          <w:szCs w:val="18"/>
          <w:color w:val="auto"/>
        </w:rPr>
      </w:pPr>
    </w:p>
    <w:p>
      <w:pPr>
        <w:ind w:left="1400" w:right="80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our preclinical studies and clinical trials, including product candidates manufactured in accordance with our specifications.</w:t>
      </w:r>
    </w:p>
    <w:p>
      <w:pPr>
        <w:spacing w:after="0" w:line="162"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In addition, we could encounter delays if a clinical trial is modified, suspended or terminated by us, by the IRBs or ethics committees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90"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Moreover,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the integrity of data from our clinical trials may be compromised or not accepted by the FDA or comparable foreign regulatory authorities, which would represent a significant setback for the applicable program.</w:t>
      </w:r>
    </w:p>
    <w:p>
      <w:pPr>
        <w:spacing w:after="0" w:line="180" w:lineRule="exact"/>
        <w:rPr>
          <w:sz w:val="20"/>
          <w:szCs w:val="20"/>
          <w:color w:val="auto"/>
        </w:rPr>
      </w:pPr>
    </w:p>
    <w:p>
      <w:pPr>
        <w:jc w:val="both"/>
        <w:ind w:right="580" w:firstLine="1018"/>
        <w:spacing w:after="0" w:line="266" w:lineRule="auto"/>
        <w:rPr>
          <w:sz w:val="20"/>
          <w:szCs w:val="20"/>
          <w:color w:val="auto"/>
        </w:rPr>
      </w:pPr>
      <w:r>
        <w:rPr>
          <w:rFonts w:ascii="Times New Roman" w:cs="Times New Roman" w:eastAsia="Times New Roman" w:hAnsi="Times New Roman"/>
          <w:sz w:val="18"/>
          <w:szCs w:val="18"/>
          <w:color w:val="auto"/>
        </w:rPr>
        <w:t>For the foregoing reasons, our ongoing and planned preclinical studies and clinical trials may not be successful. Any safety concerns observed in any one of our clinical trials in our targeted or contemplated indications could limit the prospects for regulatory approval of our product candidates in those and other indications, which could have an adverse effect on our business, financial condition and results of operations.</w:t>
      </w:r>
    </w:p>
    <w:p>
      <w:pPr>
        <w:spacing w:after="0" w:line="17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175"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develop microtablets of drugs for use in the RaniPill GO and may need to develop or modify formulations of drugs for use in the RaniPill HC or future versions of the RaniPill capsule.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59"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a limited number of product candidates in early clinical development. Other product candidates are still in the preclinical stage.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right="600" w:firstLine="1018"/>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62" w:lineRule="exact"/>
        <w:rPr>
          <w:sz w:val="20"/>
          <w:szCs w:val="20"/>
          <w:color w:val="auto"/>
        </w:rPr>
      </w:pPr>
    </w:p>
    <w:p>
      <w:pPr>
        <w:ind w:left="1400" w:right="300" w:hanging="374"/>
        <w:spacing w:after="0" w:line="282"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the design or implementation of our clinical trials or the risks and benefits of the product candidate;</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225" w:lineRule="exact"/>
        <w:rPr>
          <w:rFonts w:ascii="Times New Roman" w:cs="Times New Roman" w:eastAsia="Times New Roman" w:hAnsi="Times New Roman"/>
          <w:sz w:val="18"/>
          <w:szCs w:val="18"/>
          <w:color w:val="auto"/>
        </w:rPr>
      </w:pPr>
    </w:p>
    <w:p>
      <w:pPr>
        <w:ind w:left="1400" w:right="160" w:hanging="374"/>
        <w:spacing w:after="0" w:line="282"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contract research organizations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IRBs;</w:t>
      </w:r>
    </w:p>
    <w:p>
      <w:pPr>
        <w:spacing w:after="0" w:line="225" w:lineRule="exact"/>
        <w:rPr>
          <w:rFonts w:ascii="Times New Roman" w:cs="Times New Roman" w:eastAsia="Times New Roman" w:hAnsi="Times New Roman"/>
          <w:sz w:val="18"/>
          <w:szCs w:val="18"/>
          <w:color w:val="auto"/>
        </w:rPr>
      </w:pPr>
    </w:p>
    <w:p>
      <w:pPr>
        <w:ind w:left="1400" w:right="40" w:hanging="374"/>
        <w:spacing w:after="0" w:line="282"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volunteers or withdrawing their approval of the trial;</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400" w:right="160" w:hanging="374"/>
        <w:spacing w:after="0" w:line="282"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or obtaining sufficient quantities of other therapies or active pharmaceutical ingredients for use in clinical trials;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volunteers failing to enroll or remain in our trial at the rate we expect, or failing to return for post-treatment follow-up;</w:t>
      </w:r>
    </w:p>
    <w:p>
      <w:pPr>
        <w:spacing w:after="0" w:line="225" w:lineRule="exact"/>
        <w:rPr>
          <w:rFonts w:ascii="Times New Roman" w:cs="Times New Roman" w:eastAsia="Times New Roman" w:hAnsi="Times New Roman"/>
          <w:sz w:val="18"/>
          <w:szCs w:val="18"/>
          <w:color w:val="auto"/>
        </w:rPr>
      </w:pPr>
    </w:p>
    <w:p>
      <w:pPr>
        <w:ind w:left="1400" w:right="200" w:hanging="374"/>
        <w:spacing w:after="0" w:line="282"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volunteers choosing an alternative treatment for the indication for which we are developing our product candidates, or participating in competing clinical trials;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volunteers experiencing severe or unexpected drug-related or device-related adverse effects;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of the same class of agents conducted by other companies;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225" w:lineRule="exact"/>
        <w:rPr>
          <w:rFonts w:ascii="Times New Roman" w:cs="Times New Roman" w:eastAsia="Times New Roman" w:hAnsi="Times New Roman"/>
          <w:sz w:val="18"/>
          <w:szCs w:val="18"/>
          <w:color w:val="auto"/>
        </w:rPr>
      </w:pPr>
    </w:p>
    <w:p>
      <w:pPr>
        <w:ind w:left="1400" w:right="80" w:hanging="374"/>
        <w:spacing w:after="0" w:line="266"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7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or product formulation that may be necessary or desired;</w:t>
      </w:r>
    </w:p>
    <w:p>
      <w:pPr>
        <w:spacing w:after="0" w:line="225"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61" w:lineRule="exact"/>
        <w:rPr>
          <w:rFonts w:ascii="Times New Roman" w:cs="Times New Roman" w:eastAsia="Times New Roman" w:hAnsi="Times New Roman"/>
          <w:sz w:val="18"/>
          <w:szCs w:val="18"/>
          <w:color w:val="auto"/>
        </w:rPr>
      </w:pPr>
    </w:p>
    <w:p>
      <w:pPr>
        <w:ind w:left="1400" w:right="140" w:hanging="374"/>
        <w:spacing w:after="0" w:line="282"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1400" w:right="80" w:hanging="374"/>
        <w:spacing w:after="0" w:line="266" w:lineRule="auto"/>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6"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Regulatory authorities may require that filings related to the commencement, continuation or termination of a clinical trial be submitted through specific electronic systems or in a specific manner (e.g. format), which may differ from one jurisdiction to another. We may seek to conduct a clinical trial in multiple jurisdictions in an effort to enroll sufficient numbers of patients or to do so in a timely manner or for other reasons. Meeting the requirements of various regulatory agencies could be costly and any delay in meeting, or inability to meet, the regulatory requirements of different jurisdictions regarding submissions could delay or negatively impact our ability to initiate or complete our clinical trials as planned. Any failure or inability by us to submit required regulatory documents for our planned or future clinical trials or any failure or inability to do so in the required manner could delay or prevent us from initiating or completing our planned or future clinical trials when we are otherwise ready or at all.</w:t>
      </w:r>
    </w:p>
    <w:p>
      <w:pPr>
        <w:spacing w:after="0" w:line="18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92" w:lineRule="exact"/>
        <w:rPr>
          <w:sz w:val="20"/>
          <w:szCs w:val="20"/>
          <w:color w:val="auto"/>
        </w:rPr>
      </w:pPr>
    </w:p>
    <w:p>
      <w:pPr>
        <w:ind w:right="360" w:firstLine="1018"/>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and data protection regulations, as well as political and economic risks relevant to such foreign countries.</w:t>
      </w:r>
    </w:p>
    <w:p>
      <w:pPr>
        <w:spacing w:after="0" w:line="180"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9"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87"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0"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5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83"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80"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75"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87"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For example, in our Phase 1 clinical trial of RT-102,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testing and analysis may reveal adverse events inconsistent with the safety profile observed to date.</w:t>
      </w:r>
    </w:p>
    <w:p>
      <w:pPr>
        <w:spacing w:after="0" w:line="180" w:lineRule="exact"/>
        <w:rPr>
          <w:sz w:val="20"/>
          <w:szCs w:val="20"/>
          <w:color w:val="auto"/>
        </w:rPr>
      </w:pPr>
    </w:p>
    <w:p>
      <w:pPr>
        <w:jc w:val="both"/>
        <w:ind w:right="260" w:firstLine="1018"/>
        <w:spacing w:after="0" w:line="266" w:lineRule="auto"/>
        <w:rPr>
          <w:sz w:val="20"/>
          <w:szCs w:val="20"/>
          <w:color w:val="auto"/>
        </w:rPr>
      </w:pPr>
      <w:r>
        <w:rPr>
          <w:rFonts w:ascii="Times New Roman" w:cs="Times New Roman" w:eastAsia="Times New Roman" w:hAnsi="Times New Roman"/>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7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76"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which could significantly harm our business and prospects. Also, any undesirable side effects caused by or safety concerns related to our delivery device apart from a drug or biologic could delay, limit or prevent us from developing and commercializing any product candidates.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conducted limited early clinical development, have not submitted an IND to the FDA and we have never conducted later-stage clinical trials or submitted a BLA or NDA, and may be unable to do so for any of our product candidates.</w:t>
      </w:r>
    </w:p>
    <w:p>
      <w:pPr>
        <w:spacing w:after="0" w:line="159" w:lineRule="exact"/>
        <w:rPr>
          <w:sz w:val="20"/>
          <w:szCs w:val="20"/>
          <w:color w:val="auto"/>
        </w:rPr>
      </w:pPr>
    </w:p>
    <w:p>
      <w:pPr>
        <w:ind w:right="40" w:firstLine="1018"/>
        <w:spacing w:after="0" w:line="252" w:lineRule="auto"/>
        <w:rPr>
          <w:sz w:val="20"/>
          <w:szCs w:val="20"/>
          <w:color w:val="auto"/>
        </w:rPr>
      </w:pPr>
      <w:r>
        <w:rPr>
          <w:rFonts w:ascii="Times New Roman" w:cs="Times New Roman" w:eastAsia="Times New Roman" w:hAnsi="Times New Roman"/>
          <w:sz w:val="18"/>
          <w:szCs w:val="18"/>
          <w:color w:val="auto"/>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or NDA is a complicated process. As an organization, we have conducted Phase 1 clinical trials in Australia. We have not previously conducted any later stage or pivotal clinical trials, have limited experience as a company in preparing, submitting and prosecuting regulatory filings and have not previously submitted a BLA, NDA or other comparable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limited interactions with the FDA, and we have never filed an IND. We cannot be certain how many clinical trials of our product candidates will be required or how such trials will have to be designed. For example, we anticipate relying on data developed on the RaniPill platform to enable shortened or more efficient development for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or NDAs for and commercializing our product candidates.</w:t>
      </w:r>
    </w:p>
    <w:p>
      <w:pPr>
        <w:spacing w:after="0" w:line="1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59"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225" w:lineRule="exact"/>
        <w:rPr>
          <w:sz w:val="20"/>
          <w:szCs w:val="20"/>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400" w:right="20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161" w:lineRule="exact"/>
        <w:rPr>
          <w:rFonts w:ascii="Times New Roman" w:cs="Times New Roman" w:eastAsia="Times New Roman" w:hAnsi="Times New Roman"/>
          <w:sz w:val="18"/>
          <w:szCs w:val="18"/>
          <w:color w:val="auto"/>
        </w:rPr>
      </w:pPr>
    </w:p>
    <w:p>
      <w:pPr>
        <w:ind w:left="1400" w:right="2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161" w:lineRule="exact"/>
        <w:rPr>
          <w:rFonts w:ascii="Times New Roman" w:cs="Times New Roman" w:eastAsia="Times New Roman" w:hAnsi="Times New Roman"/>
          <w:sz w:val="18"/>
          <w:szCs w:val="18"/>
          <w:color w:val="auto"/>
        </w:rPr>
      </w:pPr>
    </w:p>
    <w:p>
      <w:pPr>
        <w:ind w:left="1400" w:right="22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225" w:lineRule="exact"/>
        <w:rPr>
          <w:rFonts w:ascii="Times New Roman" w:cs="Times New Roman" w:eastAsia="Times New Roman" w:hAnsi="Times New Roman"/>
          <w:sz w:val="18"/>
          <w:szCs w:val="18"/>
          <w:color w:val="auto"/>
        </w:rPr>
      </w:pPr>
    </w:p>
    <w:p>
      <w:pPr>
        <w:ind w:left="1400" w:right="20" w:hanging="374"/>
        <w:spacing w:after="0" w:line="266"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7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225" w:lineRule="exact"/>
        <w:rPr>
          <w:rFonts w:ascii="Times New Roman" w:cs="Times New Roman" w:eastAsia="Times New Roman" w:hAnsi="Times New Roman"/>
          <w:sz w:val="18"/>
          <w:szCs w:val="18"/>
          <w:color w:val="auto"/>
        </w:rPr>
      </w:pPr>
    </w:p>
    <w:p>
      <w:pPr>
        <w:ind w:left="1400" w:right="32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161" w:lineRule="exact"/>
        <w:rPr>
          <w:rFonts w:ascii="Times New Roman" w:cs="Times New Roman" w:eastAsia="Times New Roman" w:hAnsi="Times New Roman"/>
          <w:sz w:val="18"/>
          <w:szCs w:val="18"/>
          <w:color w:val="auto"/>
        </w:rPr>
      </w:pPr>
    </w:p>
    <w:p>
      <w:pPr>
        <w:ind w:left="1400" w:right="50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our third-party manufacturers with which we contract for clinical and commercial supplies;</w:t>
      </w:r>
    </w:p>
    <w:p>
      <w:pPr>
        <w:spacing w:after="0" w:line="161" w:lineRule="exact"/>
        <w:rPr>
          <w:rFonts w:ascii="Times New Roman" w:cs="Times New Roman" w:eastAsia="Times New Roman" w:hAnsi="Times New Roman"/>
          <w:sz w:val="18"/>
          <w:szCs w:val="18"/>
          <w:color w:val="auto"/>
        </w:rPr>
      </w:pPr>
    </w:p>
    <w:p>
      <w:pPr>
        <w:ind w:left="1400" w:right="160" w:hanging="374"/>
        <w:spacing w:after="0" w:line="282" w:lineRule="auto"/>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such authorities may significantly change in a manner rendering our or any of our potential future collaborators’ clinical data insufficient for approval; or</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right="280" w:firstLine="1018"/>
        <w:spacing w:after="0" w:line="258"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75"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indications and development programs. We also plan to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drug formulations for use in the RaniPill capsule. While we intend to focus on well-characterized molecules with attractive commercial characteristics, focusing both on drug delivery and formulation will require substantial resource and attention. In addition, we are developing a device with a payload capacity up to 20 mg, RaniPill HC, and in the future we may seek to develop other variations of the RaniPill capsule. In such cases, we need to redesign and conduct additional preclinical and clinical studies of any new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87"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59"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89" w:lineRule="exact"/>
        <w:rPr>
          <w:sz w:val="20"/>
          <w:szCs w:val="20"/>
          <w:color w:val="auto"/>
        </w:rPr>
      </w:pPr>
    </w:p>
    <w:p>
      <w:pPr>
        <w:ind w:right="120" w:firstLine="10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87"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candidates comprising a biologic or drug within the RaniPill capsule employ novel technologies that have not yet been approved by the FDA or comparable foreign regulatory authorities, and we anticipate that our applications will have to be submitted as original, standalone BLAs or NDAs. These regulatory authorities have limited experience in evaluating our technologies and product candidates. Our novel technologies also make it difficult to predict the time and cost of product candidate development.</w:t>
      </w:r>
    </w:p>
    <w:p>
      <w:pPr>
        <w:spacing w:after="0" w:line="180"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We are developing product candidates based on novel technologies, and we, directly or with potential collaboration partners, intend to understand and deliver the requisite demonstration of safety and efficacy that the FDA and comparable foreign regulatory authorities may seek for the approval of our product candidates, which comprise a biologic or drug within the RaniPill capsule. It is possible that the regulatory approval process may take significant time and resources and require deliverables from independent third parties not under our control. For some of our product candidates, the regulatory approval path and requirements may not be clear or may change, which could add significant delay and expense. For example, although we have engaged in pre-submission meetings with the FDA, we have limited feedback from the FDA on the clinical trials that will be necessary to support BLA or NDA submissions for any of our product candidates. The FDA or regulatory authorities outside the U.S. may require more or different data or documentation regarding the RaniPill technology or our product candidates than we generate or anticipate, which could cause delays to planned clinical activities. Delays or failure to obtain regulatory approval of any of the product candidates that we or potential collaboration partners develop using our novel technologies would adversely affect our business.</w:t>
      </w:r>
    </w:p>
    <w:p>
      <w:pPr>
        <w:spacing w:after="0" w:line="194"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In addition, we are still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clinical data on our product candidates to indicate whether they are safe or effective for long-term use in humans.</w:t>
      </w:r>
    </w:p>
    <w:p>
      <w:pPr>
        <w:spacing w:after="0" w:line="22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trials, we tested the RaniPill capsule in a limited number of healthy volunteers. While we have not observed any serious adverse events as a result of these preclinical studies or our clinical trials, we have not widely tested the RaniPill capsule in humans and cannot be certain how the RaniPill capsule will perform when more widely tested in humans in any later clinical trials.</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If treatment with any of our product candidates in our ongoing or future clinical trials results in concerns about their safety or efficacy, we and/or any collaboration partners may be unable to successfully develop or commercialize any or all of our product candidates or enter into collaborations with respect to our product candidates.</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59"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We have conducted and may in the future choose to conduct one or more clinical trials outside the United States. For example, we have conducted Phase 1 clinical trials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or potential collaboration partners may develop not receiving approval for commercialization in the applicable jurisdiction.</w:t>
      </w:r>
    </w:p>
    <w:p>
      <w:pPr>
        <w:spacing w:after="0" w:line="19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Negative results arising from ProGen’s development or future commercialization of PG-102, the therapeutic compound used in RT-114, could have materially adverse effects on our development of RT-114, or limit the commercial profile or an approved label for or result in limiting the commercial opportunity for RT-114, if approved.</w:t>
      </w:r>
    </w:p>
    <w:p>
      <w:pPr>
        <w:spacing w:after="0" w:line="175"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The therapeutic compound utilized in RT-114 is a GLP-1/GLP-2 dual agonist from ProGen known as PG-102. ProGen is developing PG-102, independent of our collaboration, as a subcutaneous injection for obesity and type-II diabetes. ProGen may develop PG-102 for other indications. If ProGen’s clinical or preclinical testing of PG-102 results in data that is negative, or perceived to be negative, including without limitation safety concerns, adverse events or uncompetitive or poor efficacy data, or if ProGen encounters challenges obtaining regulatory approval for or commercial success with PG-102, such results could materially adversely affect the development, potential for regulatory approval for and/or commercial opportunity of RT-114, since RT-114 utilizes the same compound. In addition, if ProGen, itself or through a partner, succeeds in developing, obtaining regulatory approval for, and commercializing PG-102 outside of our collaboration, that product could compete with RT-114 and have a material adverse effect on the commercial opportunity for RT-114.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80"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76"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firstLine="1018"/>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92" w:lineRule="exact"/>
        <w:rPr>
          <w:sz w:val="20"/>
          <w:szCs w:val="20"/>
          <w:color w:val="auto"/>
        </w:rPr>
      </w:pPr>
    </w:p>
    <w:p>
      <w:pPr>
        <w:ind w:right="280" w:firstLine="1018"/>
        <w:spacing w:after="0" w:line="261" w:lineRule="auto"/>
        <w:rPr>
          <w:sz w:val="20"/>
          <w:szCs w:val="20"/>
          <w:color w:val="auto"/>
        </w:rPr>
      </w:pPr>
      <w:r>
        <w:rPr>
          <w:rFonts w:ascii="Times New Roman" w:cs="Times New Roman" w:eastAsia="Times New Roman" w:hAnsi="Times New Roman"/>
          <w:sz w:val="18"/>
          <w:szCs w:val="18"/>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80" w:lineRule="exact"/>
        <w:rPr>
          <w:sz w:val="20"/>
          <w:szCs w:val="20"/>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that would result in adverse publicity;</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ind w:right="200" w:firstLine="101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75"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180" w:lineRule="exact"/>
        <w:rPr>
          <w:sz w:val="20"/>
          <w:szCs w:val="20"/>
          <w:color w:val="auto"/>
        </w:rPr>
      </w:pPr>
    </w:p>
    <w:p>
      <w:pPr>
        <w:ind w:left="1400" w:right="80" w:hanging="374"/>
        <w:spacing w:after="0" w:line="282" w:lineRule="auto"/>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or perceived advantages or disadvantages of the oral delivery of biologics as compared to subcutaneous or IV injections of biologics;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 compared to alternative treatments;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shelf-life of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 candidates for sale at competitive prices;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the RaniPill capsule;</w:t>
      </w:r>
    </w:p>
    <w:p>
      <w:pPr>
        <w:spacing w:after="0" w:line="225" w:lineRule="exact"/>
        <w:rPr>
          <w:rFonts w:ascii="Times New Roman" w:cs="Times New Roman" w:eastAsia="Times New Roman" w:hAnsi="Times New Roman"/>
          <w:sz w:val="18"/>
          <w:szCs w:val="18"/>
          <w:color w:val="auto"/>
        </w:rPr>
      </w:pPr>
    </w:p>
    <w:p>
      <w:pPr>
        <w:ind w:left="1400" w:right="420" w:hanging="374"/>
        <w:spacing w:after="0" w:line="282" w:lineRule="auto"/>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use of the RaniPill capsule and to prescribe biologics that utilize the RaniPill capsule;</w:t>
      </w:r>
    </w:p>
    <w:p>
      <w:pPr>
        <w:spacing w:after="0" w:line="225" w:lineRule="exact"/>
        <w:rPr>
          <w:rFonts w:ascii="Times New Roman" w:cs="Times New Roman" w:eastAsia="Times New Roman" w:hAnsi="Times New Roman"/>
          <w:sz w:val="18"/>
          <w:szCs w:val="18"/>
          <w:color w:val="auto"/>
        </w:rPr>
      </w:pPr>
    </w:p>
    <w:p>
      <w:pPr>
        <w:ind w:left="1400" w:right="120" w:hanging="374"/>
        <w:spacing w:after="0" w:line="282" w:lineRule="auto"/>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medical community to offer patients our product candidates in addition to or in the place of current subcutaneous and IV injectable therapies;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 and third-party coverage and adequate reimbursement;</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supply to meet patients’ demand;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 or treatments.</w:t>
      </w:r>
    </w:p>
    <w:p>
      <w:pPr>
        <w:spacing w:after="0" w:line="225"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5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8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5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left="1020"/>
        <w:spacing w:after="0"/>
        <w:rPr>
          <w:sz w:val="20"/>
          <w:szCs w:val="20"/>
          <w:color w:val="auto"/>
        </w:rPr>
      </w:pPr>
      <w:r>
        <w:rPr>
          <w:rFonts w:ascii="Times New Roman" w:cs="Times New Roman" w:eastAsia="Times New Roman" w:hAnsi="Times New Roman"/>
          <w:sz w:val="18"/>
          <w:szCs w:val="18"/>
          <w:color w:val="auto"/>
        </w:rPr>
        <w:t>Factors payors consider in determining reimbursement are based on whether the product is:</w:t>
      </w:r>
    </w:p>
    <w:p>
      <w:pPr>
        <w:spacing w:after="0" w:line="225" w:lineRule="exact"/>
        <w:rPr>
          <w:sz w:val="20"/>
          <w:szCs w:val="20"/>
          <w:color w:val="auto"/>
        </w:rPr>
      </w:pPr>
    </w:p>
    <w:p>
      <w:pPr>
        <w:ind w:left="1400" w:hanging="37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183"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Certain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4" w:lineRule="exact"/>
        <w:rPr>
          <w:sz w:val="20"/>
          <w:szCs w:val="20"/>
          <w:color w:val="auto"/>
        </w:rPr>
      </w:pPr>
    </w:p>
    <w:p>
      <w:pPr>
        <w:ind w:right="280" w:firstLine="1018"/>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59" w:lineRule="exact"/>
        <w:rPr>
          <w:sz w:val="20"/>
          <w:szCs w:val="20"/>
          <w:color w:val="auto"/>
        </w:rPr>
      </w:pPr>
    </w:p>
    <w:p>
      <w:pPr>
        <w:jc w:val="both"/>
        <w:ind w:right="240" w:firstLine="1018"/>
        <w:spacing w:after="0" w:line="266" w:lineRule="auto"/>
        <w:rPr>
          <w:sz w:val="20"/>
          <w:szCs w:val="20"/>
          <w:color w:val="auto"/>
        </w:rPr>
      </w:pPr>
      <w:r>
        <w:rPr>
          <w:rFonts w:ascii="Times New Roman" w:cs="Times New Roman" w:eastAsia="Times New Roman" w:hAnsi="Times New Roman"/>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76" w:lineRule="exact"/>
        <w:rPr>
          <w:sz w:val="20"/>
          <w:szCs w:val="20"/>
          <w:color w:val="auto"/>
        </w:rPr>
      </w:pPr>
    </w:p>
    <w:p>
      <w:pPr>
        <w:ind w:right="180" w:firstLine="1018"/>
        <w:spacing w:after="0" w:line="258"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3" w:lineRule="exact"/>
        <w:rPr>
          <w:sz w:val="20"/>
          <w:szCs w:val="20"/>
          <w:color w:val="auto"/>
        </w:rPr>
      </w:pPr>
    </w:p>
    <w:p>
      <w:pPr>
        <w:ind w:right="300" w:firstLine="1018"/>
        <w:spacing w:after="0" w:line="258" w:lineRule="auto"/>
        <w:rPr>
          <w:sz w:val="20"/>
          <w:szCs w:val="20"/>
          <w:color w:val="auto"/>
        </w:rPr>
      </w:pPr>
      <w:r>
        <w:rPr>
          <w:rFonts w:ascii="Times New Roman" w:cs="Times New Roman" w:eastAsia="Times New Roman" w:hAnsi="Times New Roman"/>
          <w:sz w:val="18"/>
          <w:szCs w:val="18"/>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240" w:firstLine="1018"/>
        <w:spacing w:after="0" w:line="258" w:lineRule="auto"/>
        <w:rPr>
          <w:sz w:val="20"/>
          <w:szCs w:val="20"/>
          <w:color w:val="auto"/>
        </w:rPr>
      </w:pPr>
      <w:r>
        <w:rPr>
          <w:rFonts w:ascii="Times New Roman" w:cs="Times New Roman" w:eastAsia="Times New Roman" w:hAnsi="Times New Roman"/>
          <w:sz w:val="18"/>
          <w:szCs w:val="18"/>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w:t>
      </w:r>
    </w:p>
    <w:p>
      <w:pPr>
        <w:spacing w:after="0" w:line="183"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We face competition from current and future (generic and biosimilars) manufacturers of subcutaneous and IV injectable versions of our product candidates, such as AbbVie Inc., Eli Lilly and Company, Janssen Biotech, Inc., as well as obesity treatments from Eli Lilly and Company, Novo Nordisk, ProGen and others. We may also face competition from companies that develop oral small molecule therapeutics to the same biological targets as the biologics incorporated into our RaniPill capsule, as well as device-based technologies such as the SOMA and LUMI from the Novo Nordisk-MIT collaboration and devices being developed by Biograil ApS and Biora Therapeutics, Inc. In December 2024, Biora announced that it is undertaking a Chapter 11 sale process. Additionally, we face competition from companies that are pursuing the development and manufacture of oral biologics, including Oramed Pharmaceuticals, Inc., Entera Bio Ltd., Protagonist Therapeutics, Inc., Chiesi Farmaceutici SpA, i2O Therapeutics, Intract Pharma, and Novo Nordisk A/S. We also face competition from implantable device companies, such as Vivani Medical Inc., and gene and cell therapy companies. Further, our product candidates aim to treat chronic diseases. As a result, we also compete with curative therapies on the basis that they cure the chronic disease we are intending to treat. We believe that our ability to successfully compete will depend on, among other things:</w:t>
      </w:r>
    </w:p>
    <w:p>
      <w:pPr>
        <w:spacing w:after="0" w:line="194" w:lineRule="exact"/>
        <w:rPr>
          <w:sz w:val="20"/>
          <w:szCs w:val="20"/>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product candidates, in particular compared to marketed products and products in late-stage development;</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regulatory approval, if at all;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commercialize and market any of our product candidates that receive regulatory approval;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including in comparison to branded or generic competitors;</w:t>
      </w:r>
    </w:p>
    <w:p>
      <w:pPr>
        <w:spacing w:after="0" w:line="225" w:lineRule="exact"/>
        <w:rPr>
          <w:rFonts w:ascii="Times New Roman" w:cs="Times New Roman" w:eastAsia="Times New Roman" w:hAnsi="Times New Roman"/>
          <w:sz w:val="18"/>
          <w:szCs w:val="18"/>
          <w:color w:val="auto"/>
        </w:rPr>
      </w:pPr>
    </w:p>
    <w:p>
      <w:pPr>
        <w:ind w:left="1400" w:right="80" w:hanging="374"/>
        <w:spacing w:after="0" w:line="282" w:lineRule="auto"/>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our intellectual property rights related to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infringing on the intellectual property rights of others;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and sell commercial quantities of any of our product candidates that receive regulatory approval; and</w:t>
      </w:r>
    </w:p>
    <w:p>
      <w:pPr>
        <w:spacing w:after="0" w:line="225" w:lineRule="exact"/>
        <w:rPr>
          <w:rFonts w:ascii="Times New Roman" w:cs="Times New Roman" w:eastAsia="Times New Roman" w:hAnsi="Times New Roman"/>
          <w:sz w:val="18"/>
          <w:szCs w:val="18"/>
          <w:color w:val="auto"/>
        </w:rPr>
      </w:pPr>
    </w:p>
    <w:p>
      <w:pPr>
        <w:ind w:left="1400" w:right="160" w:hanging="374"/>
        <w:spacing w:after="0" w:line="282" w:lineRule="auto"/>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62"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75"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59" w:lineRule="exact"/>
        <w:rPr>
          <w:sz w:val="20"/>
          <w:szCs w:val="20"/>
          <w:color w:val="auto"/>
        </w:rPr>
      </w:pPr>
    </w:p>
    <w:p>
      <w:pPr>
        <w:ind w:right="40" w:firstLine="1018"/>
        <w:spacing w:after="0" w:line="252" w:lineRule="auto"/>
        <w:rPr>
          <w:sz w:val="20"/>
          <w:szCs w:val="20"/>
          <w:color w:val="auto"/>
        </w:rPr>
      </w:pPr>
      <w:r>
        <w:rPr>
          <w:rFonts w:ascii="Times New Roman" w:cs="Times New Roman" w:eastAsia="Times New Roman" w:hAnsi="Times New Roman"/>
          <w:sz w:val="18"/>
          <w:szCs w:val="18"/>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RT-114, an oral administration of a dual GLP-1/GLP-2 agonist for the treatment of obesity, for which we estimate that 20% of the U.S, adult population in 2024 was living with obesity; RT-102, an oral administration of PTH for the treatment of osteoporosis, for which we estimate the patient population is approximately ten million in the United States as of 2018; and RT-111 for the treatment of inflammatory conditions, for which we estimate the patient population to be seven million for psoriasis and three million for Crohn’s disease or ulcerative colitis in the United States as of 2021. These estimates, and estimates for our other product candidates,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regulatory approval for our product candidates because they are combination products.</w:t>
      </w:r>
    </w:p>
    <w:p>
      <w:pPr>
        <w:spacing w:after="0" w:line="229"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59"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European Economic Area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development, manufacturing and/or commercialization collaborations, and any potential partner may not devote sufficient resources to our product candidates or may otherwise fail in development, manufacturing and/or commercialization efforts, which could adversely affect our ability to develop certain of our product candidates and adversely affect our financial condition and operating results.</w:t>
      </w:r>
    </w:p>
    <w:p>
      <w:pPr>
        <w:spacing w:after="0" w:line="157"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In the past, we have entered into agreements with ProGen, Celltrion and certain other pharmaceutical companies concerning the evaluation, formulation, manufacture and/or commercialization of oral versions of certain molecules. In June 2024, we entered into a Collaboration Agreement with ProGen for the development, manufacture and commercialization of RT-114, an oral version of a GLP-1/GLP-2 dual agonist in the RaniPill HC capsule, worldwide. In January and July 2023, we entered into License and Supply Agreements with Celltrion, under which we receive supply of ustekinumab biosimilar for RT-111 and adalimumab biosimilar for RT-105. Celltrion received rights of first negotiation to obtain development and commercialization rights for RT-111and RT-105 after completion of a Phase 1 clinical trial for the respective molecule that meets its primary endpoint(s). The right of first negotiation with respect to RT-111 has expired. If ProGen does not adequately resource or support our collaboration for the development, manufacture and commercialization of RT-114, including providing timely supply of GLP-1/GLP-2 dual agonist for use in RT-114, our ability to develop, manufacture and/or commercialize RT-114 may be adversely affected. Further, if we and Celltrion enter into an agreement granting Celltrion development and commercialization rights for RT-111 or RT-105, we may be reliant on Celltrion to develop and commercialize the applicable product(s) in certain countries or worldwide.</w:t>
      </w:r>
    </w:p>
    <w:p>
      <w:pPr>
        <w:spacing w:after="0" w:line="192"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Future evaluation agreements, supply agreements or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3" w:name="page64"/>
    <w:bookmarkEnd w:id="63"/>
    <w:p>
      <w:pPr>
        <w:ind w:right="120" w:firstLine="1018"/>
        <w:spacing w:after="0" w:line="254" w:lineRule="auto"/>
        <w:rPr>
          <w:sz w:val="20"/>
          <w:szCs w:val="20"/>
          <w:color w:val="auto"/>
        </w:rPr>
      </w:pPr>
      <w:r>
        <w:rPr>
          <w:rFonts w:ascii="Times New Roman" w:cs="Times New Roman" w:eastAsia="Times New Roman" w:hAnsi="Times New Roman"/>
          <w:sz w:val="18"/>
          <w:szCs w:val="18"/>
          <w:color w:val="auto"/>
        </w:rPr>
        <w:t>We believe our product candidates are biologic-device combination products that we anticipate will be regulated under the biologic regulations of the FDA based on their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or NDA to the FDA.</w:t>
      </w:r>
    </w:p>
    <w:p>
      <w:pPr>
        <w:spacing w:after="0" w:line="188"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and manufacture of a product candidate under a collaboration, and the payments we receive from our partner may be insufficient to cover the cost of this work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87"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189"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payment of royalties or other payments we believe are due pursuant to the applicable collaboration arrangement;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a partner inside or outside our collaboration which could negatively impact our rights or benefits under our collaboration; or</w:t>
      </w:r>
    </w:p>
    <w:p>
      <w:pPr>
        <w:spacing w:after="0" w:line="225"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62" w:lineRule="exact"/>
        <w:rPr>
          <w:sz w:val="20"/>
          <w:szCs w:val="20"/>
          <w:color w:val="auto"/>
        </w:rPr>
      </w:pPr>
    </w:p>
    <w:p>
      <w:pPr>
        <w:jc w:val="both"/>
        <w:ind w:right="160" w:firstLine="1018"/>
        <w:spacing w:after="0" w:line="266" w:lineRule="auto"/>
        <w:rPr>
          <w:sz w:val="20"/>
          <w:szCs w:val="20"/>
          <w:color w:val="auto"/>
        </w:rPr>
      </w:pPr>
      <w:r>
        <w:rPr>
          <w:rFonts w:ascii="Times New Roman" w:cs="Times New Roman" w:eastAsia="Times New Roman" w:hAnsi="Times New Roman"/>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75"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76"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92"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collaboration agreement with ProGen Co., Ltd. includes certain restrictions and obligations that may limit our flexibility in developing and commercializing RT-114 or require us to bear costs we otherwise would not incur or did not expect to incur.</w:t>
      </w:r>
    </w:p>
    <w:p>
      <w:pPr>
        <w:spacing w:after="0" w:line="15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In June 2024, we entered into a Collaboration Agreement with ProGen for the worldwide development and commercialization of RT-114, a GLP-1/GLP-2 dual agonist in the RaniPill® HC capsule, for weight management. Under the terms of the ProGen Agreement, the parties will share equally the costs and revenues from development and commercialization of RT-114. Each party has certain rights, restrictions and obligations under the ProGen Agreement with respect to the development, manufacture and commercialization of RT-114, including certain rights to provide input on or approve activities of the other party or costs related thereto. As a result, we may not be able to develop and commercialize RT-114 in the manner or timeframe we believe to be most advantageous, and may be obligated to share costs that we otherwise would not incur. In addition, under the terms of the ProGen Agreement, each party has the right to opt-out of the collaboration, including the cost and revenue sharing, for RT-114, in which case the continuing party would bear all costs for further development, manufacture and commercialization of RT-114, other than certain costs already then-approved, and receive all future revenues from the program, subject to a low-to-mid single-digit royalty to the other party, depending on when the opt-out occurred. ProGen is a clinical-stage company and does not currently generate revenues from any marketed products. If ProGen were to opt-out, we would bear all such costs for further development, manufacture and commercialization of RT-114, which we may not be able to do in a timely manner or at all. In such an event, the development, manufacture and/or commercialization of RT-114 could be significantly disrupted and delayed and we may be required to abandon certain activities related to this or other product candidates to address the loss of expected cost-sharing by ProGen.</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key materials used in our manufacturing processes as well as for the manufacturing of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175"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rely on third-party suppliers for the supply of the raw materials and APIs or drug substances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 and for use in our clinical trials. For example, ProGen manufactures, or uses a third party to manufacture, the drug substance used in RT-114 and Celltrion manufactures, or uses a third party to manufacture, the drug substances for RT-111 and RT-105.</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100" w:firstLine="1018"/>
        <w:spacing w:after="0" w:line="253" w:lineRule="auto"/>
        <w:rPr>
          <w:sz w:val="20"/>
          <w:szCs w:val="20"/>
          <w:color w:val="auto"/>
        </w:rPr>
      </w:pPr>
      <w:r>
        <w:rPr>
          <w:rFonts w:ascii="Times New Roman" w:cs="Times New Roman" w:eastAsia="Times New Roman" w:hAnsi="Times New Roman"/>
          <w:sz w:val="18"/>
          <w:szCs w:val="18"/>
          <w:color w:val="auto"/>
        </w:rPr>
        <w:t>Our dependence on these third parties and the challenges we may face in obtaining adequate supplies of raw materials, APIs and drug substances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drug substances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prevent us from conducting, or cause delays to, our current or planned clinical trials, commercialization of our products, if approved, and have an adverse effect on our business, financial condition and results of operations.</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5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In addition, we may seek to enter into collaborations, joint ventures, licenses and other similar arrangements with third party biopharmaceutical companies for use of the RaniPill technology in developing and commercializing their own molecules. We may not be successful in our efforts to establish or maintain such collaborations because our research and development pipeline may be insufficient, our product candidates or technology may be deemed to be at too early of a stage of development for collaborative effort or third parties may not view our product candidates or technology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94"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In January 2023, we entered into a License and Supply Agreement with Celltrion, under which Celltrion had a right of first negotiation to obtain development and commercialization rights for RT-111 after completion of a Phase 1 clinical trial that meets its primary endpoint(s). In June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Celltrion’s right of first negotiation with respect to RT-111 has expired. For RT-105, Celltrion has no obligation to exercise its right of first negotiation, and if it does exercise such right we may not be able to agree on terms favorable to us or acceptable to us or Celltrion. Accordingly, there can be no assurance that the parties will enter into an agreement granting Celltrion development and commercialization rights for RT-105 following completion of a Phase 1 trial that meets its primary endpoint(s) or any exercise of the right of first negotiation. In November 2023, we announced that we have paused the RT-105 program until we have appropriate resources to continue the development. While the License and Supply Agreement with Celltrion regarding adalimumab biosimilar for RT-105 remains in place, if we do not initiate a Phase 1 trial with RT-105 within a certain time period specified in the agreement or fail to deliver Phase 1 data to Celltrion within a later timepoint specified in the agreement, Celltrion will have a right to terminate that License and Supply Agreement. In addition, as a result of a pausing of the RT-105 program, Celltrion’s interest in exercising its right of first negotiation with respect to that program or negotiating a collaboration for that program could diminish.</w:t>
      </w:r>
    </w:p>
    <w:p>
      <w:pPr>
        <w:spacing w:after="0" w:line="187"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Even if we are successful in our efforts to establish a collaboration with Celltrion or collaborations with other third parties,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76"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In addition, existing collaborations or any potential future collaborations may be terminable by our strategic partners, and we may not be able to adequately protect our rights under these agreements. Furthermore, strategic partners may have or negotiate for certain rights to control decisions regarding the development and, if approved, commercialization of our product candidates, and may not conduct those activities in the same manner as we do. Any termination of existing collaboration or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fluctuations may occur due to a variety of factors, many of which are outside of our control, including, but not limited to:</w:t>
      </w:r>
    </w:p>
    <w:p>
      <w:pPr>
        <w:spacing w:after="0" w:line="207" w:lineRule="exact"/>
        <w:rPr>
          <w:sz w:val="20"/>
          <w:szCs w:val="20"/>
          <w:color w:val="auto"/>
        </w:rPr>
      </w:pPr>
    </w:p>
    <w:p>
      <w:pPr>
        <w:ind w:left="1400" w:right="60" w:hanging="374"/>
        <w:spacing w:after="0" w:line="282"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degree of success and cost of, and level of investment in, research, development, regulatory approval and commercialization activities relating to our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1400" w:right="180" w:hanging="374"/>
        <w:spacing w:after="0" w:line="282"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1400" w:right="220" w:hanging="374"/>
        <w:spacing w:after="0" w:line="282"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ind w:right="40" w:firstLine="1018"/>
        <w:spacing w:after="0" w:line="274"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5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We currently have no product candidates that are in late-stage clinical trials or are approved for commercial sale, and we may never be able to develop a marketable product. We have a limited number of product candidates in early clinical development. We expect that a substantial portion of our efforts and expenditures over the next few years will be devoted to the development of the RaniPill platform that is designed to enable the oral administration of a broad range of biologics and drugs used to treat multiple diseases and disorders. The RaniPill capsule may not receive regulatory approval in connection with any biologic or drug or, if approved, it may not be successfully commercialized. The research, testing, manufacturing, labeling, approval, sale, marketing and distribution of our product candidates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or NDA from the FDA, or a similar marketing authorization from comparable authorities in any foreign countries until after approval of a marketing application by corresponding foreign regulatory authorities. We have conducted early clinical development of some of our product candidates. We will need to conduct larger, more extensive clinical trials in the target patient populations for these product candidates and their indications to support a potential application for regulatory approval by the FDA or corresponding foreign regulatory authorities.</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We have not previously submitted a BLA or NDA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or drug product candidate is an extensive, lengthy, expensive and inherently uncertain process, and the regulatory authorities may delay, limit or deny approval of our product candidates for many reasons, including:</w:t>
      </w:r>
    </w:p>
    <w:p>
      <w:pPr>
        <w:spacing w:after="0" w:line="180" w:lineRule="exact"/>
        <w:rPr>
          <w:sz w:val="20"/>
          <w:szCs w:val="20"/>
          <w:color w:val="auto"/>
        </w:rPr>
      </w:pPr>
    </w:p>
    <w:p>
      <w:pPr>
        <w:ind w:left="1400" w:right="100" w:hanging="374"/>
        <w:spacing w:after="0" w:line="282"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any of our product candidates is safe and effective to the satisfaction of the FDA or comparable foreign regulatory authorities;</w:t>
      </w:r>
    </w:p>
    <w:p>
      <w:pPr>
        <w:spacing w:after="0" w:line="161" w:lineRule="exact"/>
        <w:rPr>
          <w:rFonts w:ascii="Times New Roman" w:cs="Times New Roman" w:eastAsia="Times New Roman" w:hAnsi="Times New Roman"/>
          <w:sz w:val="18"/>
          <w:szCs w:val="18"/>
          <w:color w:val="auto"/>
        </w:rPr>
      </w:pPr>
    </w:p>
    <w:p>
      <w:pPr>
        <w:ind w:left="1400" w:right="560" w:hanging="374"/>
        <w:spacing w:after="0" w:line="282"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61" w:lineRule="exact"/>
        <w:rPr>
          <w:rFonts w:ascii="Times New Roman" w:cs="Times New Roman" w:eastAsia="Times New Roman" w:hAnsi="Times New Roman"/>
          <w:sz w:val="18"/>
          <w:szCs w:val="18"/>
          <w:color w:val="auto"/>
        </w:rPr>
      </w:pPr>
    </w:p>
    <w:p>
      <w:pPr>
        <w:ind w:left="1400" w:right="180" w:hanging="374"/>
        <w:spacing w:after="0" w:line="282"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400" w:right="120" w:hanging="374"/>
        <w:spacing w:after="0" w:line="282"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number, design, size, conduct or statistical analysis of one or more of our clinical trials;</w:t>
      </w:r>
    </w:p>
    <w:p>
      <w:pPr>
        <w:spacing w:after="0" w:line="161" w:lineRule="exact"/>
        <w:rPr>
          <w:rFonts w:ascii="Times New Roman" w:cs="Times New Roman" w:eastAsia="Times New Roman" w:hAnsi="Times New Roman"/>
          <w:sz w:val="18"/>
          <w:szCs w:val="18"/>
          <w:color w:val="auto"/>
        </w:rPr>
      </w:pPr>
    </w:p>
    <w:p>
      <w:pPr>
        <w:ind w:left="1400" w:right="240" w:hanging="374"/>
        <w:spacing w:after="0" w:line="282"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or not accept, our interpretation of data from our preclinical studies and clinical trials;</w:t>
      </w:r>
    </w:p>
    <w:p>
      <w:pPr>
        <w:spacing w:after="0" w:line="161" w:lineRule="exact"/>
        <w:rPr>
          <w:rFonts w:ascii="Times New Roman" w:cs="Times New Roman" w:eastAsia="Times New Roman" w:hAnsi="Times New Roman"/>
          <w:sz w:val="18"/>
          <w:szCs w:val="18"/>
          <w:color w:val="auto"/>
        </w:rPr>
      </w:pPr>
    </w:p>
    <w:p>
      <w:pPr>
        <w:ind w:left="1400" w:right="480" w:hanging="374"/>
        <w:spacing w:after="0" w:line="282"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61" w:lineRule="exact"/>
        <w:rPr>
          <w:rFonts w:ascii="Times New Roman" w:cs="Times New Roman" w:eastAsia="Times New Roman" w:hAnsi="Times New Roman"/>
          <w:sz w:val="18"/>
          <w:szCs w:val="18"/>
          <w:color w:val="auto"/>
        </w:rPr>
      </w:pPr>
    </w:p>
    <w:p>
      <w:pPr>
        <w:ind w:left="1400" w:right="240" w:hanging="374"/>
        <w:spacing w:after="0" w:line="266"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17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change their approval policies or adopt new regulations.</w:t>
      </w:r>
    </w:p>
    <w:p>
      <w:pPr>
        <w:spacing w:after="0" w:line="225"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our product candidates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proprietary RaniPill platform to build a pipeline of product candidates and partnered programs.</w:t>
      </w:r>
    </w:p>
    <w:p>
      <w:pPr>
        <w:spacing w:after="0" w:line="15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leverage the RaniPill platform to expand our pipeline of product candidates and to enter into collaborations, licenses or similar arrangements with third party biopharmaceutical companies to use the RaniPill technology in developing and commercializing the third party’s molecules.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(alone or with partners), we may not prove to be successful at doing so. Potential partners may not see the opportunities created by the RaniPill platform the same way we do, or at all, and even if they do we may not be able to negotiate and enter into licensing or other transactions with potential partners on favorable terms, or at all. Even if we are successful in continuing to build our pipeline or establishing licensing arrangements with third parties regarding use of our platform for their molecules, the potential product candidates that we or they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or potential partners cannot successfully develop or commercialize products using the RaniPill technology, or if serious adverse events are discovered after commercialization, we will not be able to generate any product revenue, which would adversely affect business.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impact the costs, timing or successful completion of a clinical trial.</w:t>
      </w:r>
    </w:p>
    <w:p>
      <w:pPr>
        <w:spacing w:after="0" w:line="175" w:lineRule="exact"/>
        <w:rPr>
          <w:sz w:val="20"/>
          <w:szCs w:val="20"/>
          <w:color w:val="auto"/>
        </w:rPr>
      </w:pPr>
    </w:p>
    <w:p>
      <w:pPr>
        <w:ind w:right="180" w:firstLine="1018"/>
        <w:spacing w:after="0" w:line="256" w:lineRule="auto"/>
        <w:rPr>
          <w:sz w:val="20"/>
          <w:szCs w:val="20"/>
          <w:color w:val="auto"/>
        </w:rPr>
      </w:pPr>
      <w:r>
        <w:rPr>
          <w:rFonts w:ascii="Times New Roman" w:cs="Times New Roman" w:eastAsia="Times New Roman" w:hAnsi="Times New Roman"/>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87"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Most of our product candidates are in research or preclinical development and have not entered into clinical trials. If we are unable to develop, test and commercialize our product candidates, our business will be adversely affected.</w:t>
      </w:r>
    </w:p>
    <w:p>
      <w:pPr>
        <w:spacing w:after="0" w:line="159" w:lineRule="exact"/>
        <w:rPr>
          <w:sz w:val="20"/>
          <w:szCs w:val="20"/>
          <w:color w:val="auto"/>
        </w:rPr>
      </w:pPr>
    </w:p>
    <w:p>
      <w:pPr>
        <w:ind w:right="200" w:firstLine="1018"/>
        <w:spacing w:after="0" w:line="261" w:lineRule="auto"/>
        <w:rPr>
          <w:sz w:val="20"/>
          <w:szCs w:val="20"/>
          <w:color w:val="auto"/>
        </w:rPr>
      </w:pPr>
      <w:r>
        <w:rPr>
          <w:rFonts w:ascii="Times New Roman" w:cs="Times New Roman" w:eastAsia="Times New Roman" w:hAnsi="Times New Roman"/>
          <w:sz w:val="18"/>
          <w:szCs w:val="18"/>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80" w:lineRule="exact"/>
        <w:rPr>
          <w:sz w:val="20"/>
          <w:szCs w:val="20"/>
          <w:color w:val="auto"/>
        </w:rPr>
      </w:pPr>
    </w:p>
    <w:p>
      <w:pPr>
        <w:ind w:left="1400" w:hanging="37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internal resources are insufficient;</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methodology used may not be successful in identifying potential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uncompetitive;</w:t>
      </w:r>
    </w:p>
    <w:p>
      <w:pPr>
        <w:spacing w:after="0" w:line="225" w:lineRule="exact"/>
        <w:rPr>
          <w:rFonts w:ascii="Times New Roman" w:cs="Times New Roman" w:eastAsia="Times New Roman" w:hAnsi="Times New Roman"/>
          <w:sz w:val="18"/>
          <w:szCs w:val="18"/>
          <w:color w:val="auto"/>
        </w:rPr>
      </w:pPr>
    </w:p>
    <w:p>
      <w:pPr>
        <w:ind w:left="1400" w:right="600" w:hanging="374"/>
        <w:spacing w:after="0" w:line="282" w:lineRule="auto"/>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be capable of being produced in commercial quantities at an acceptable cost, or at all; or</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be accepted by patients, the medical community, healthcare providers or third-party payors.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RaniPill platform may not result in any products of commercial value.</w:t>
      </w:r>
    </w:p>
    <w:p>
      <w:pPr>
        <w:spacing w:after="0" w:line="229"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multiple reasons, the RaniPill platform may not ultimately be commercially valuable, including:</w:t>
      </w:r>
    </w:p>
    <w:p>
      <w:pPr>
        <w:spacing w:after="0" w:line="225" w:lineRule="exact"/>
        <w:rPr>
          <w:sz w:val="20"/>
          <w:szCs w:val="20"/>
          <w:color w:val="auto"/>
        </w:rPr>
      </w:pPr>
    </w:p>
    <w:p>
      <w:pPr>
        <w:ind w:left="1400" w:right="760" w:hanging="374"/>
        <w:spacing w:after="0" w:line="282" w:lineRule="auto"/>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RaniPill platform may not work in conjunction with our targeted biologic indications or future indications to yield product candidates that can enter clinical development;</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the applicability of the RaniPill platform beyond our current product pipeline;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ind w:left="1400" w:right="120" w:hanging="374"/>
        <w:spacing w:after="0" w:line="282" w:lineRule="auto"/>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licensing or partnership agreements on suitable terms to obtain and develop oral versions of biologics; and</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community may not accept the RaniPill platform and physicians may not prescribe our products to patients, if approved.</w:t>
      </w:r>
    </w:p>
    <w:p>
      <w:pPr>
        <w:spacing w:after="0" w:line="225" w:lineRule="exact"/>
        <w:rPr>
          <w:sz w:val="20"/>
          <w:szCs w:val="20"/>
          <w:color w:val="auto"/>
        </w:rPr>
      </w:pPr>
    </w:p>
    <w:p>
      <w:pPr>
        <w:jc w:val="both"/>
        <w:ind w:right="120" w:firstLine="1018"/>
        <w:spacing w:after="0" w:line="261" w:lineRule="auto"/>
        <w:rPr>
          <w:sz w:val="20"/>
          <w:szCs w:val="20"/>
          <w:color w:val="auto"/>
        </w:rPr>
      </w:pPr>
      <w:r>
        <w:rPr>
          <w:rFonts w:ascii="Times New Roman" w:cs="Times New Roman" w:eastAsia="Times New Roman" w:hAnsi="Times New Roman"/>
          <w:sz w:val="18"/>
          <w:szCs w:val="18"/>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80" w:lineRule="exact"/>
        <w:rPr>
          <w:sz w:val="20"/>
          <w:szCs w:val="20"/>
          <w:color w:val="auto"/>
        </w:rPr>
      </w:pPr>
    </w:p>
    <w:p>
      <w:pPr>
        <w:ind w:right="120" w:firstLine="1018"/>
        <w:spacing w:after="0" w:line="255" w:lineRule="auto"/>
        <w:rPr>
          <w:sz w:val="20"/>
          <w:szCs w:val="20"/>
          <w:color w:val="auto"/>
        </w:rPr>
      </w:pPr>
      <w:r>
        <w:rPr>
          <w:rFonts w:ascii="Times New Roman" w:cs="Times New Roman" w:eastAsia="Times New Roman" w:hAnsi="Times New Roman"/>
          <w:sz w:val="18"/>
          <w:szCs w:val="18"/>
          <w:color w:val="auto"/>
        </w:rPr>
        <w:t>Furthermore, certain of the product candidates contemplated by our current product pipeline may require use of the RaniPill HC, which is in preclinical testing and has not been tested clinically. There is no guarantee that we will be able to complete development of the RaniPill HC or that it will be compatible for use with product candidates or that it will achieve test results sufficient to advance it or our product candidates to later stages of development and/or commercialization,, any of which could adversely affect the commercial potential of the RaniPill platform. Additionally, to the extent we are able to develop RaniPill HC or another device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a result of a failure in any one of these factors, our business, financial condition and results of operations could be adversely affected.</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159" w:lineRule="exact"/>
        <w:rPr>
          <w:sz w:val="20"/>
          <w:szCs w:val="20"/>
          <w:color w:val="auto"/>
        </w:rPr>
      </w:pPr>
    </w:p>
    <w:p>
      <w:pPr>
        <w:ind w:right="60" w:firstLine="1018"/>
        <w:spacing w:after="0" w:line="252" w:lineRule="auto"/>
        <w:rPr>
          <w:sz w:val="20"/>
          <w:szCs w:val="20"/>
          <w:color w:val="auto"/>
        </w:rPr>
      </w:pPr>
      <w:r>
        <w:rPr>
          <w:rFonts w:ascii="Times New Roman" w:cs="Times New Roman" w:eastAsia="Times New Roman" w:hAnsi="Times New Roman"/>
          <w:sz w:val="18"/>
          <w:szCs w:val="18"/>
          <w:color w:val="auto"/>
        </w:rPr>
        <w:t>RaniPill HC is in early stages of development, and it is subject to the inherent risks and uncertainties of developing a novel, innovative potential technology. Development of a new delivery device is time-consuming and costly, and could distract the attention of our management or other employee resources from our existing and future business. Our efforts to develop RaniPill HC may not be successful or RaniPill HC may require modifications that could limit its utility or viability as an oral delivery device. We may not be able to complete development of RaniPill HC in a timely manner, or at all, or such development may require an amount of time and resource that we are not able to devote to it or believe is not warranted based on the estimated benefits. The potential value of RaniPill HC may never be realized for a variety of reasons, including that we are not able to successfully develop RaniPill HC, third parties develop competitive technologies or products similar to or more effective or attractive than RaniPill HC, we are not able to develop manufacturing processes to produce RaniPill HC consistently and reliably or within a cost range that makes RaniPill HC products commercially viable. Any such factor could reduce or eliminate the potential value of RaniPill HC or product candidates that could be developed using RaniPill HC. In addition, while we currently expect that RaniPill HC will be able to leverage many of the same components and manufacturing processes as are used for our existing delivery device, it may turn out that such components or manufacturing processes are not suited for RaniPill HC or RaniPill HC may require modifications that negatively affect our ability to use common components or processes between the RaniPill GO and RaniPill HC. Any of the foregoing factors or circumstances may adversely affect our business prospects, our attractiveness as a business partner or collaborator, our ability to raise additional capital, and our financial results.</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5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1400" w:hanging="374"/>
        <w:spacing w:after="0"/>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studies;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product sales; and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25"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development or commercialization of our product candidates. Although we maintain clinical trial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5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ingredients or drug substances for the biologics of our product candidates.</w:t>
      </w:r>
    </w:p>
    <w:p>
      <w:pPr>
        <w:spacing w:after="0" w:line="188"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We or third-party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8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Furthermore, in order to obtain approval of our product candidates by the FDA and comparable foreign regulatory authorities, we will be required to consistently produce our formulation of the API or drug substance, and the finished product in commercial quantities and of specified quality on a repeated basis and document our ability to do so. This requirement is referred to as process validation. Each of our potential API and drug substance suppliers will likely use a different method to manufacture API or drug substance,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92" w:lineRule="exact"/>
        <w:rPr>
          <w:sz w:val="20"/>
          <w:szCs w:val="20"/>
          <w:color w:val="auto"/>
        </w:rPr>
      </w:pPr>
    </w:p>
    <w:p>
      <w:pPr>
        <w:ind w:right="400" w:firstLine="1018"/>
        <w:spacing w:after="0" w:line="266" w:lineRule="auto"/>
        <w:rPr>
          <w:sz w:val="20"/>
          <w:szCs w:val="20"/>
          <w:color w:val="auto"/>
        </w:rPr>
      </w:pPr>
      <w:r>
        <w:rPr>
          <w:rFonts w:ascii="Times New Roman" w:cs="Times New Roman" w:eastAsia="Times New Roman" w:hAnsi="Times New Roman"/>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vertically-integrated manufacturer of a novel oral delivery technology, we may require significant time to develop manufacturing operations and processes capable of producing safe and reliable product at sufficient scale to meet business needs, if we are able to do so at all.</w:t>
      </w:r>
    </w:p>
    <w:p>
      <w:pPr>
        <w:spacing w:after="0" w:line="15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Since our RaniPill capsule employs novel technologies, we manufacture many of the components and have customized equipment needed for manufacturing the RaniPill capsule and we are required to develop novel manufacturing processes. This requires the development of new methods and know-how, as well as specifications and testing appropriate for manufacture of the RaniPill capsule. It may take significant time to develop manufacturing operations and processes capable of producing safe and reliable product at sufficient scale to meet business needs, if we are able to do so at all. We may find that certain materials used for the RaniPill capsule are not suitable for use with some or any product candidates, that certain processes as designed do not perform as intended and must be re-designed, or that certain operations as currently performed cannot be scaled up or automated as planned or at all. Even if we are able to develop manufacturing operations and processes that perform as we intend, the FDA, EMA or other regulatory authorities or potential collaboration partners may not deem such operations or processes to be acceptable, in which event we may need to change such operations, processes, specifications or testing or develop new operations, processes, specifications or testing, which may result in delays in or adversely affect the development or potential approval of product candidates or the negotiation or completion of third party collaboration arrangements, or require us to divert resources and attention from our product candidates or other business opportunities. Any such event could have a material adverse impact on our business.</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health information privacy and security laws, and other healthcare laws and regulations. Violations of such laws and regulations could subject us to significant penalties.</w:t>
      </w:r>
    </w:p>
    <w:p>
      <w:pPr>
        <w:spacing w:after="0" w:line="15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We may be subject, directly or indirectly, to federal and state healthcare fraud and abuse laws, false claims laws data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220"/>
        <w:spacing w:after="0" w:line="282" w:lineRule="auto"/>
        <w:rPr>
          <w:sz w:val="20"/>
          <w:szCs w:val="20"/>
          <w:color w:val="auto"/>
        </w:rPr>
      </w:pPr>
      <w:r>
        <w:rPr>
          <w:rFonts w:ascii="Times New Roman" w:cs="Times New Roman" w:eastAsia="Times New Roman" w:hAnsi="Times New Roman"/>
          <w:sz w:val="18"/>
          <w:szCs w:val="18"/>
          <w:color w:val="auto"/>
        </w:rPr>
        <w:t>healthcare laws and regulations pertaining to fraud and abuse and patients’ rights are and will be applicable to our business. The laws that may affect our ability to operate include, but are not limited to:</w:t>
      </w:r>
    </w:p>
    <w:p>
      <w:pPr>
        <w:spacing w:after="0" w:line="162" w:lineRule="exact"/>
        <w:rPr>
          <w:sz w:val="20"/>
          <w:szCs w:val="20"/>
          <w:color w:val="auto"/>
        </w:rPr>
      </w:pPr>
    </w:p>
    <w:p>
      <w:pPr>
        <w:ind w:left="1400" w:right="40" w:hanging="374"/>
        <w:spacing w:after="0" w:line="258" w:lineRule="auto"/>
        <w:tabs>
          <w:tab w:leader="none" w:pos="1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ind w:left="1400" w:hanging="374"/>
        <w:spacing w:after="0" w:line="254" w:lineRule="auto"/>
        <w:tabs>
          <w:tab w:leader="none" w:pos="1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188" w:lineRule="exact"/>
        <w:rPr>
          <w:rFonts w:ascii="Times New Roman" w:cs="Times New Roman" w:eastAsia="Times New Roman" w:hAnsi="Times New Roman"/>
          <w:sz w:val="18"/>
          <w:szCs w:val="18"/>
          <w:color w:val="auto"/>
        </w:rPr>
      </w:pPr>
    </w:p>
    <w:p>
      <w:pPr>
        <w:ind w:left="1400" w:right="80" w:hanging="374"/>
        <w:spacing w:after="0" w:line="254" w:lineRule="auto"/>
        <w:tabs>
          <w:tab w:leader="none" w:pos="1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91" w:lineRule="exact"/>
        <w:rPr>
          <w:rFonts w:ascii="Times New Roman" w:cs="Times New Roman" w:eastAsia="Times New Roman" w:hAnsi="Times New Roman"/>
          <w:sz w:val="18"/>
          <w:szCs w:val="18"/>
          <w:color w:val="auto"/>
        </w:rPr>
      </w:pPr>
    </w:p>
    <w:p>
      <w:pPr>
        <w:ind w:left="1400" w:right="40" w:hanging="374"/>
        <w:spacing w:after="0" w:line="254" w:lineRule="auto"/>
        <w:tabs>
          <w:tab w:leader="none" w:pos="1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1" w:lineRule="exact"/>
        <w:rPr>
          <w:rFonts w:ascii="Times New Roman" w:cs="Times New Roman" w:eastAsia="Times New Roman" w:hAnsi="Times New Roman"/>
          <w:sz w:val="18"/>
          <w:szCs w:val="18"/>
          <w:color w:val="auto"/>
        </w:rPr>
      </w:pPr>
    </w:p>
    <w:p>
      <w:pPr>
        <w:ind w:left="1400" w:right="40" w:hanging="374"/>
        <w:spacing w:after="0" w:line="266" w:lineRule="auto"/>
        <w:tabs>
          <w:tab w:leader="none" w:pos="1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75" w:lineRule="exact"/>
        <w:rPr>
          <w:rFonts w:ascii="Times New Roman" w:cs="Times New Roman" w:eastAsia="Times New Roman" w:hAnsi="Times New Roman"/>
          <w:sz w:val="18"/>
          <w:szCs w:val="18"/>
          <w:color w:val="auto"/>
        </w:rPr>
      </w:pPr>
    </w:p>
    <w:p>
      <w:pPr>
        <w:ind w:left="1400" w:right="60" w:hanging="374"/>
        <w:spacing w:after="0" w:line="256" w:lineRule="auto"/>
        <w:tabs>
          <w:tab w:leader="none" w:pos="1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and other “transfers of value” made to physicians (defined to include doctors, dentists, optometrists, podiatrists and chiropractors), other healthcare professionals (such as physician assistants and nurse practitioners), and teaching hospitals, and requires applicable manufacturers to report annually to the government ownership and investment interests held by the physicians described above and their immediate family members; and</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left="1400" w:right="20" w:hanging="374"/>
        <w:spacing w:after="0" w:line="254" w:lineRule="auto"/>
        <w:tabs>
          <w:tab w:leader="none" w:pos="1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data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88"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87"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right="380" w:firstLine="1018"/>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0"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The ACA,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200"/>
        <w:spacing w:after="0" w:line="282" w:lineRule="auto"/>
        <w:rPr>
          <w:sz w:val="20"/>
          <w:szCs w:val="20"/>
          <w:color w:val="auto"/>
        </w:rPr>
      </w:pPr>
      <w:r>
        <w:rPr>
          <w:rFonts w:ascii="Times New Roman" w:cs="Times New Roman" w:eastAsia="Times New Roman" w:hAnsi="Times New Roman"/>
          <w:sz w:val="18"/>
          <w:szCs w:val="18"/>
          <w:color w:val="auto"/>
        </w:rPr>
        <w:t>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62"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There have been amendments to and executive, judicial and Congressional challenges to certain aspects of the ACA. For example, on August 16, 2022, the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 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w:t>
      </w:r>
    </w:p>
    <w:p>
      <w:pPr>
        <w:spacing w:after="0" w:line="194" w:lineRule="exact"/>
        <w:rPr>
          <w:sz w:val="20"/>
          <w:szCs w:val="20"/>
          <w:color w:val="auto"/>
        </w:rPr>
      </w:pPr>
    </w:p>
    <w:p>
      <w:pPr>
        <w:ind w:right="20" w:firstLine="1018"/>
        <w:spacing w:after="0" w:line="252"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drug manufacturers set prices for their commercial products. At the federal level, the first Trump administration used several means to propose or implement drug pricing reform, including through federal budget proposals, executive orders and policy initiatives. In addition, the IRA, among other things, (i) directs HHS to negotiate the price of certain high-expenditure single-source biologics that have been on the market for at least 11 years covered under Medicare and (ii) imposes rebates under Medicare Part B and Medicare Part D to penalize price increases that outpace inflation.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2024. Each year thereafter more Part B and Part D products will become subject to the Medicare Drug Price Negotiation Program.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w:t>
      </w:r>
    </w:p>
    <w:p>
      <w:pPr>
        <w:spacing w:after="0" w:line="197"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Any health reform measures could limit the amounts that federal and state governments will pay for healthcare therapies, which could result in reduced demand for our product candidates or additional pricing pressures.</w:t>
      </w:r>
    </w:p>
    <w:p>
      <w:pPr>
        <w:spacing w:after="0" w:line="197"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20" w:firstLine="1018"/>
        <w:spacing w:after="0" w:line="272" w:lineRule="auto"/>
        <w:rPr>
          <w:sz w:val="20"/>
          <w:szCs w:val="20"/>
          <w:color w:val="auto"/>
        </w:rPr>
      </w:pPr>
      <w:r>
        <w:rPr>
          <w:rFonts w:ascii="Times New Roman" w:cs="Times New Roman" w:eastAsia="Times New Roman" w:hAnsi="Times New Roman"/>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5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existing senior management team.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technical, medical, regulatory, manufacturing and management training and skills.</w:t>
      </w:r>
    </w:p>
    <w:p>
      <w:pPr>
        <w:spacing w:after="0" w:line="192" w:lineRule="exact"/>
        <w:rPr>
          <w:sz w:val="20"/>
          <w:szCs w:val="20"/>
          <w:color w:val="auto"/>
        </w:rPr>
      </w:pPr>
    </w:p>
    <w:p>
      <w:pPr>
        <w:ind w:right="240" w:firstLine="1018"/>
        <w:spacing w:after="0" w:line="256" w:lineRule="auto"/>
        <w:rPr>
          <w:sz w:val="20"/>
          <w:szCs w:val="20"/>
          <w:color w:val="auto"/>
        </w:rPr>
      </w:pPr>
      <w:r>
        <w:rPr>
          <w:rFonts w:ascii="Times New Roman" w:cs="Times New Roman" w:eastAsia="Times New Roman" w:hAnsi="Times New Roman"/>
          <w:sz w:val="18"/>
          <w:szCs w:val="18"/>
          <w:color w:val="auto"/>
        </w:rPr>
        <w:t>We may not be able to attract or retain qualified personnel in the future due to the intense competition for a limited number of qualified personnel among biotherapeutics, biotechnology, pharmaceutical, medical device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the size of our organization, and we may experience difficulties in managing this growth.</w:t>
      </w:r>
    </w:p>
    <w:p>
      <w:pPr>
        <w:spacing w:after="0" w:line="229"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we operate as a public company, we expect to need additional managerial, operational, scientific, sales, marketing, development, regulatory, technical, manufacturing, financial and other resources. Future growth would impose significant added responsibilities on members of management, including:</w:t>
      </w:r>
    </w:p>
    <w:p>
      <w:pPr>
        <w:spacing w:after="0" w:line="176" w:lineRule="exact"/>
        <w:rPr>
          <w:sz w:val="20"/>
          <w:szCs w:val="20"/>
          <w:color w:val="auto"/>
        </w:rPr>
      </w:pPr>
    </w:p>
    <w:p>
      <w:pPr>
        <w:ind w:left="1400" w:hanging="374"/>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managing our clinical trials effectively;</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manufacturing and development efforts effectively;</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financial systems and controls;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collaborations with third parties; and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facilities.</w:t>
      </w:r>
    </w:p>
    <w:p>
      <w:pPr>
        <w:spacing w:after="0" w:line="225"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At such time 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5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87" w:lineRule="exact"/>
        <w:rPr>
          <w:sz w:val="20"/>
          <w:szCs w:val="20"/>
          <w:color w:val="auto"/>
        </w:rPr>
      </w:pPr>
    </w:p>
    <w:p>
      <w:pPr>
        <w:ind w:left="1400" w:hanging="37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25" w:lineRule="exact"/>
        <w:rPr>
          <w:rFonts w:ascii="Times New Roman" w:cs="Times New Roman" w:eastAsia="Times New Roman" w:hAnsi="Times New Roman"/>
          <w:sz w:val="18"/>
          <w:szCs w:val="18"/>
          <w:color w:val="auto"/>
        </w:rPr>
      </w:pPr>
    </w:p>
    <w:p>
      <w:pPr>
        <w:ind w:left="1400" w:right="180" w:hanging="374"/>
        <w:spacing w:after="0" w:line="266" w:lineRule="auto"/>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17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comparable foreign regulatory authorities and the timing thereof;</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compounds used in the manufacture of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reliably provide the quantity of materials needed to manufacture and commercialize our products;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of adverse events or serious adverse events in preclinical studies or clinical trials of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and the success of our own efforts with respect to the commercialization of our products; and</w:t>
      </w:r>
    </w:p>
    <w:p>
      <w:pPr>
        <w:spacing w:after="0" w:line="225" w:lineRule="exact"/>
        <w:rPr>
          <w:rFonts w:ascii="Times New Roman" w:cs="Times New Roman" w:eastAsia="Times New Roman" w:hAnsi="Times New Roman"/>
          <w:sz w:val="18"/>
          <w:szCs w:val="18"/>
          <w:color w:val="auto"/>
        </w:rPr>
      </w:pPr>
    </w:p>
    <w:p>
      <w:pPr>
        <w:ind w:left="1400" w:right="80" w:hanging="374"/>
        <w:spacing w:after="0" w:line="282" w:lineRule="auto"/>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including scale and automation processes, as well as sales and marketing activities.</w:t>
      </w:r>
    </w:p>
    <w:p>
      <w:pPr>
        <w:spacing w:after="0" w:line="162"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announce and expect, our stock price may decrease, the commercialization of our product candidates may be delayed and our business and results of operations may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22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75"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California, which in the past has experienced severe earthquakes and fires.</w:t>
      </w:r>
    </w:p>
    <w:p>
      <w:pPr>
        <w:spacing w:after="0" w:line="176" w:lineRule="exact"/>
        <w:rPr>
          <w:sz w:val="20"/>
          <w:szCs w:val="20"/>
          <w:color w:val="auto"/>
        </w:rPr>
      </w:pPr>
    </w:p>
    <w:p>
      <w:pPr>
        <w:ind w:right="480" w:firstLine="1018"/>
        <w:spacing w:after="0" w:line="282"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public health crisis could adversely impact our business including our ongoing and planned preclinical studies and clinical trials.</w:t>
      </w:r>
    </w:p>
    <w:p>
      <w:pPr>
        <w:spacing w:after="0" w:line="229"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A public health crisis may cause delays in our preclinical and planned clinical development activities and may impact our third-party manufacturers and suppliers, which could disrupt its supply chain or the availability or cost of materials. If governmental authorities reinstate or issue new public health directives as a result of a public health crisis, these may negatively impact productivity, disrupt our business, and delay clinical programs and timelines and future clinical trials, the magnitude of which will depend, in part, on the length and severity of the restrictions and other limitations on our ability to conduct business in the ordinary course. These and similar, and perhaps more severe, disruptions in our operations could negatively impact business, results of operations and financial condition, including our ability to obtain financing. Such disruptions could severely impact our business, current and planned clinical trials and preclinical studies, including as a result of:</w:t>
      </w:r>
    </w:p>
    <w:p>
      <w:pPr>
        <w:spacing w:after="0" w:line="189" w:lineRule="exact"/>
        <w:rPr>
          <w:sz w:val="20"/>
          <w:szCs w:val="20"/>
          <w:color w:val="auto"/>
        </w:rPr>
      </w:pPr>
    </w:p>
    <w:p>
      <w:pPr>
        <w:ind w:left="1400" w:hanging="37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management to travel in connection with establishing partnerships and collaborations;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supplies, materials and services needed to conduct preclinical studies and clinical trials;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access to capital in the global financial markets;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future planned clinical trials of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25" w:lineRule="exact"/>
        <w:rPr>
          <w:rFonts w:ascii="Times New Roman" w:cs="Times New Roman" w:eastAsia="Times New Roman" w:hAnsi="Times New Roman"/>
          <w:sz w:val="18"/>
          <w:szCs w:val="18"/>
          <w:color w:val="auto"/>
        </w:rPr>
      </w:pPr>
    </w:p>
    <w:p>
      <w:pPr>
        <w:ind w:left="1400" w:hanging="374"/>
        <w:spacing w:after="0" w:line="282" w:lineRule="auto"/>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61" w:lineRule="exact"/>
        <w:rPr>
          <w:rFonts w:ascii="Times New Roman" w:cs="Times New Roman" w:eastAsia="Times New Roman" w:hAnsi="Times New Roman"/>
          <w:sz w:val="18"/>
          <w:szCs w:val="18"/>
          <w:color w:val="auto"/>
        </w:rPr>
      </w:pPr>
    </w:p>
    <w:p>
      <w:pPr>
        <w:jc w:val="both"/>
        <w:ind w:left="1400" w:hanging="374"/>
        <w:spacing w:after="0" w:line="266" w:lineRule="auto"/>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1400" w:right="180" w:hanging="374"/>
        <w:spacing w:after="0" w:line="289" w:lineRule="auto"/>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57" w:lineRule="exact"/>
        <w:rPr>
          <w:rFonts w:ascii="Times New Roman" w:cs="Times New Roman" w:eastAsia="Times New Roman" w:hAnsi="Times New Roman"/>
          <w:sz w:val="17"/>
          <w:szCs w:val="17"/>
          <w:color w:val="auto"/>
        </w:rPr>
      </w:pPr>
    </w:p>
    <w:p>
      <w:pPr>
        <w:ind w:left="1400" w:right="620" w:hanging="374"/>
        <w:spacing w:after="0" w:line="282" w:lineRule="auto"/>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or comparable foreign regulatory authorities, which may impact review and approval timelines;</w:t>
      </w:r>
    </w:p>
    <w:p>
      <w:pPr>
        <w:spacing w:after="0" w:line="161" w:lineRule="exact"/>
        <w:rPr>
          <w:rFonts w:ascii="Times New Roman" w:cs="Times New Roman" w:eastAsia="Times New Roman" w:hAnsi="Times New Roman"/>
          <w:sz w:val="18"/>
          <w:szCs w:val="18"/>
          <w:color w:val="auto"/>
        </w:rPr>
      </w:pPr>
    </w:p>
    <w:p>
      <w:pPr>
        <w:ind w:left="1400" w:right="160" w:hanging="374"/>
        <w:spacing w:after="0" w:line="312" w:lineRule="auto"/>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as part of a response to a public health crisis or other such disruptions which may require us to change the ways in which our clinical trials are conducted, which may result in unexpected costs or require us to discontinue clinical trials altogether;</w:t>
      </w:r>
    </w:p>
    <w:p>
      <w:pPr>
        <w:spacing w:after="0" w:line="139" w:lineRule="exact"/>
        <w:rPr>
          <w:rFonts w:ascii="Times New Roman" w:cs="Times New Roman" w:eastAsia="Times New Roman" w:hAnsi="Times New Roman"/>
          <w:sz w:val="17"/>
          <w:szCs w:val="17"/>
          <w:color w:val="auto"/>
        </w:rPr>
      </w:pPr>
    </w:p>
    <w:p>
      <w:pPr>
        <w:ind w:left="1400" w:hanging="37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to our pipeline and research programs; and</w:t>
      </w:r>
    </w:p>
    <w:p>
      <w:pPr>
        <w:spacing w:after="0" w:line="225"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Further, as a result of a public health crisis, we may be required to develop and implement additional clinical trial policies and procedures designed to help protect trial participants, which may include using telemedicine visits, remote monitoring of patients and clinical sites, and measures to ensure that data from clinical trials that may be disrupted as a result of the crisis are collected pursuant to the trial protocol and consistent with GCPs, with any material protocol deviation reviewed and approved by the site IRB. In addition, potential patients in our planned clinical trials may choose to not enroll, not participate in follow-up clinical visits, or drop out of the trial as a precaution during any such crisis.</w:t>
      </w:r>
    </w:p>
    <w:p>
      <w:pPr>
        <w:spacing w:after="0" w:line="183"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Additionally, governmental and medical resources and attention may be focused on the applicable crisis, which may make it more difficult to obtain required reviews or approvals, necessary materials, or clinical or preclinical sites or slots, or manufacturing slots for the products needed for our planned clinical trials, which could lead to delays in these trials.</w:t>
      </w:r>
    </w:p>
    <w:p>
      <w:pPr>
        <w:spacing w:after="0" w:line="176" w:lineRule="exact"/>
        <w:rPr>
          <w:sz w:val="20"/>
          <w:szCs w:val="20"/>
          <w:color w:val="auto"/>
        </w:rPr>
      </w:pPr>
    </w:p>
    <w:p>
      <w:pPr>
        <w:ind w:right="380" w:firstLine="1018"/>
        <w:spacing w:after="0" w:line="282" w:lineRule="auto"/>
        <w:rPr>
          <w:sz w:val="20"/>
          <w:szCs w:val="20"/>
          <w:color w:val="auto"/>
        </w:rPr>
      </w:pPr>
      <w:r>
        <w:rPr>
          <w:rFonts w:ascii="Times New Roman" w:cs="Times New Roman" w:eastAsia="Times New Roman" w:hAnsi="Times New Roman"/>
          <w:sz w:val="18"/>
          <w:szCs w:val="18"/>
          <w:color w:val="auto"/>
        </w:rPr>
        <w:t>A continued and prolonged public health crisis could have a material negative impact on our business, financial condition, and operating results. It could also have the effect of heightening many of the other risks described in this “Risk Factors” section.</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data, including proprietary and confidential business data, trade secrets, intellectual property, and data we collect about trial participants in connection with clinical trials (collectively,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0"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w:t>
      </w:r>
    </w:p>
    <w:p>
      <w:pPr>
        <w:spacing w:after="0" w:line="188"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exempts some data processed in the context of clinical trials, if we become subject to the CCPA, it may increase our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may further complicate compliance efforts if we become subject to those laws, potentially increasing our legal risk and compliance costs for us and the third parties with whom we work.</w:t>
      </w:r>
    </w:p>
    <w:p>
      <w:pPr>
        <w:spacing w:after="0" w:line="192"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 GDPR, the United Kingdom (“UK”) GDPR, Australia’s Privacy Act, and China’s Personal Information Protection Law (“PIPL”), impose strict requirements for processing personal data. For example, under the EU and UK GDPR (collectively,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As another example, Australia’s Privacy Act imposes substantial penalties for serious or repeated interferences with privacy, including penalties up to the greater of: AUD 50 million; three times the value of any benefit derived from the breach, if quantifiable; or 30% of a company’s adjusted annual turnover during the breach period. We conduct clinical trials in Australia. In addition, we work with vendors for clinical trials that conduct data processing activities in Europe and the UK.</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8"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192"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publish a privacy policy on our website. If this policy or other privacy or security-related statements or materials we may publish is found to be deficient, lacking in transparency, deceptive, unfair, misleading or misrepresentative of our practices, we may be subject to investigation, enforcement actions by regulators, or other adverse consequences.</w:t>
      </w:r>
    </w:p>
    <w:p>
      <w:pPr>
        <w:spacing w:after="0" w:line="183"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with whom we work.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w:t>
      </w:r>
    </w:p>
    <w:p>
      <w:pPr>
        <w:spacing w:after="0" w:line="187" w:lineRule="exact"/>
        <w:rPr>
          <w:sz w:val="20"/>
          <w:szCs w:val="20"/>
          <w:color w:val="auto"/>
        </w:rPr>
      </w:pPr>
    </w:p>
    <w:p>
      <w:pPr>
        <w:jc w:val="both"/>
        <w:ind w:right="400" w:firstLine="1018"/>
        <w:spacing w:after="0" w:line="261"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w:t>
      </w:r>
    </w:p>
    <w:p>
      <w:pPr>
        <w:spacing w:after="0" w:line="180"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5"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sensitive data, and as a result, we face a variety of evolving threats that could cause security incidents.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firstLine="1018"/>
        <w:spacing w:after="0" w:line="26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0"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develop, test and distribute our capsules, product candidates, and other goods and services.</w:t>
      </w:r>
    </w:p>
    <w:p>
      <w:pPr>
        <w:spacing w:after="0" w:line="180"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187"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0"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We regularly have employees that work remotely. Remote work has increased risks to our information technology systems and data, as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ind w:right="420" w:firstLine="1018"/>
        <w:spacing w:after="0" w:line="258" w:lineRule="auto"/>
        <w:rPr>
          <w:sz w:val="20"/>
          <w:szCs w:val="20"/>
          <w:color w:val="auto"/>
        </w:rPr>
      </w:pPr>
      <w:r>
        <w:rPr>
          <w:rFonts w:ascii="Times New Roman" w:cs="Times New Roman" w:eastAsia="Times New Roman" w:hAnsi="Times New Roman"/>
          <w:sz w:val="18"/>
          <w:szCs w:val="18"/>
          <w:color w:val="auto"/>
        </w:rPr>
        <w:t>In addition, our reliance on third-party collaborators, consultants, contractors, suppliers, and service providers could introduce new cybersecurity risks and vulnerabilities, including supply-chain attacks, and other threats to our business operations. We rely on third parties and technologies to operate critical business systems to process sensitive data in a variety of contexts, including, without limitation, contract research organizations, employee email, and other functions. We also rely on third parties to provide other products, services, parts, or otherwise to operate our business.</w:t>
      </w:r>
    </w:p>
    <w:p>
      <w:pPr>
        <w:spacing w:after="0" w:line="183"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3" w:lineRule="exact"/>
        <w:rPr>
          <w:sz w:val="20"/>
          <w:szCs w:val="20"/>
          <w:color w:val="auto"/>
        </w:rPr>
      </w:pPr>
    </w:p>
    <w:p>
      <w:pPr>
        <w:ind w:right="100" w:firstLine="1018"/>
        <w:spacing w:after="0" w:line="277"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however, detected and remediated (and may not in the future detect and remediate) all such vulnerabilities including on a timely basis. Further, we have experienced (and may in the future experience) delays in developing and deploying remedial measures and patches designed to address identified vulnerabilities. Vulnerabilities could be exploited and result in a security incident.</w:t>
      </w:r>
    </w:p>
    <w:p>
      <w:pPr>
        <w:spacing w:after="0" w:line="168"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have in the past resulted and may in the future result in unauthorized, unlawful, or accidental acquisition, modification, destruction, loss, alteration, encryption, disclosure of, or access to our sensitive data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products. For example, the loss of clinical trial data from completed or ongoing clinical trials could result in delays in any regulatory approval or clearance efforts and significantly increase our costs to</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740"/>
        <w:spacing w:after="0" w:line="282" w:lineRule="auto"/>
        <w:rPr>
          <w:sz w:val="20"/>
          <w:szCs w:val="20"/>
          <w:color w:val="auto"/>
        </w:rPr>
      </w:pPr>
      <w:r>
        <w:rPr>
          <w:rFonts w:ascii="Times New Roman" w:cs="Times New Roman" w:eastAsia="Times New Roman" w:hAnsi="Times New Roman"/>
          <w:sz w:val="18"/>
          <w:szCs w:val="18"/>
          <w:color w:val="auto"/>
        </w:rPr>
        <w:t>recover or reproduce the data, and subsequently commercialize the product. Additionally, theft of our intellectual property or proprietary business information could require substantial expenditures to remedy.</w:t>
      </w:r>
    </w:p>
    <w:p>
      <w:pPr>
        <w:spacing w:after="0" w:line="162"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We have expended resources and structured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 or we may voluntarily choose, to notify relevant stakeholders, including affected individuals, customers, regulators, and investors, of security incidents, or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180" w:lineRule="exact"/>
        <w:rPr>
          <w:sz w:val="20"/>
          <w:szCs w:val="20"/>
          <w:color w:val="auto"/>
        </w:rPr>
      </w:pPr>
    </w:p>
    <w:p>
      <w:pPr>
        <w:ind w:right="180" w:firstLine="1018"/>
        <w:spacing w:after="0" w:line="256"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spacing w:after="0" w:line="187"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Some of our contracts do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such coverage will continue to be available on commercially reasonable terms or at all, or that such coverage will pay future claims.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may depend in part on our ability to build and maintain our intellectual property portfolio.</w:t>
      </w:r>
    </w:p>
    <w:p>
      <w:pPr>
        <w:spacing w:after="0" w:line="229"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80"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76" w:lineRule="exact"/>
        <w:rPr>
          <w:sz w:val="20"/>
          <w:szCs w:val="20"/>
          <w:color w:val="auto"/>
        </w:rPr>
      </w:pPr>
    </w:p>
    <w:p>
      <w:pPr>
        <w:ind w:right="660" w:firstLine="1018"/>
        <w:spacing w:after="0" w:line="282" w:lineRule="auto"/>
        <w:rPr>
          <w:sz w:val="20"/>
          <w:szCs w:val="20"/>
          <w:color w:val="auto"/>
        </w:rPr>
      </w:pPr>
      <w:r>
        <w:rPr>
          <w:rFonts w:ascii="Times New Roman" w:cs="Times New Roman" w:eastAsia="Times New Roman" w:hAnsi="Times New Roman"/>
          <w:sz w:val="18"/>
          <w:szCs w:val="18"/>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62" w:lineRule="exact"/>
        <w:rPr>
          <w:sz w:val="20"/>
          <w:szCs w:val="20"/>
          <w:color w:val="auto"/>
        </w:rPr>
      </w:pPr>
    </w:p>
    <w:p>
      <w:pPr>
        <w:ind w:right="300" w:firstLine="1018"/>
        <w:spacing w:after="0" w:line="282" w:lineRule="auto"/>
        <w:rPr>
          <w:sz w:val="20"/>
          <w:szCs w:val="20"/>
          <w:color w:val="auto"/>
        </w:rPr>
      </w:pPr>
      <w:r>
        <w:rPr>
          <w:rFonts w:ascii="Times New Roman" w:cs="Times New Roman" w:eastAsia="Times New Roman" w:hAnsi="Times New Roman"/>
          <w:sz w:val="18"/>
          <w:szCs w:val="18"/>
          <w:color w:val="auto"/>
        </w:rPr>
        <w:t>The following ways in which our intellectual property portfolio may be limited represent risks to our capability to reduce competition and thus risks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sufficient patent coverage.</w:t>
      </w:r>
    </w:p>
    <w:p>
      <w:pPr>
        <w:spacing w:after="0" w:line="229"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83"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90"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We may also inadvertently lose patent assets by failing to follow agency procedures. The U.S. Patent and Trademark Office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80"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7"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sufficient brand protection.</w:t>
      </w:r>
    </w:p>
    <w:p>
      <w:pPr>
        <w:spacing w:after="0" w:line="229"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firstLine="1018"/>
        <w:spacing w:after="0" w:line="256" w:lineRule="auto"/>
        <w:rPr>
          <w:sz w:val="20"/>
          <w:szCs w:val="20"/>
          <w:color w:val="auto"/>
        </w:rPr>
      </w:pPr>
      <w:r>
        <w:rPr>
          <w:rFonts w:ascii="Times New Roman" w:cs="Times New Roman" w:eastAsia="Times New Roman" w:hAnsi="Times New Roman"/>
          <w:sz w:val="18"/>
          <w:szCs w:val="18"/>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87"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addition, our competitors may infringe or otherwise violate our trademarks and we may not have adequate resources to enforce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w:t>
      </w:r>
    </w:p>
    <w:p>
      <w:pPr>
        <w:spacing w:after="0" w:line="207"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87" w:lineRule="exact"/>
        <w:rPr>
          <w:sz w:val="20"/>
          <w:szCs w:val="20"/>
          <w:color w:val="auto"/>
        </w:rPr>
      </w:pPr>
    </w:p>
    <w:p>
      <w:pPr>
        <w:ind w:right="260" w:firstLine="1018"/>
        <w:spacing w:after="0" w:line="282" w:lineRule="auto"/>
        <w:rPr>
          <w:sz w:val="20"/>
          <w:szCs w:val="20"/>
          <w:color w:val="auto"/>
        </w:rPr>
      </w:pPr>
      <w:r>
        <w:rPr>
          <w:rFonts w:ascii="Times New Roman" w:cs="Times New Roman" w:eastAsia="Times New Roman" w:hAnsi="Times New Roman"/>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law and regulation could affect the value of our intellectual property portfolio.</w:t>
      </w:r>
    </w:p>
    <w:p>
      <w:pPr>
        <w:spacing w:after="0" w:line="229"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80"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92"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87"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provide complete protection for our business activities.</w:t>
      </w:r>
    </w:p>
    <w:p>
      <w:pPr>
        <w:spacing w:after="0" w:line="229" w:lineRule="exact"/>
        <w:rPr>
          <w:sz w:val="20"/>
          <w:szCs w:val="20"/>
          <w:color w:val="auto"/>
        </w:rPr>
      </w:pPr>
    </w:p>
    <w:p>
      <w:pPr>
        <w:ind w:right="460" w:firstLine="1018"/>
        <w:spacing w:after="0" w:line="266" w:lineRule="auto"/>
        <w:rPr>
          <w:sz w:val="20"/>
          <w:szCs w:val="20"/>
          <w:color w:val="auto"/>
        </w:rPr>
      </w:pPr>
      <w:r>
        <w:rPr>
          <w:rFonts w:ascii="Times New Roman" w:cs="Times New Roman" w:eastAsia="Times New Roman" w:hAnsi="Times New Roman"/>
          <w:sz w:val="18"/>
          <w:szCs w:val="18"/>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commercialize our products prior to patent expiration.</w:t>
      </w:r>
    </w:p>
    <w:p>
      <w:pPr>
        <w:spacing w:after="0" w:line="229"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United States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be effective against certain competitive products.</w:t>
      </w:r>
    </w:p>
    <w:p>
      <w:pPr>
        <w:spacing w:after="0" w:line="229"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0"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76"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0"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hold intellectual property rights that cover our product candidates.</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89"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We presently in-license from InCube Labs, LLC (“ICL”)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80"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Further, we are presently party to a Service Agreement with ICL effective January 1, 2021, as amended in March 2022 and March 2024 (as amended, the "Rani LLC-ICL Service Agreement"), pursuant to which Rani LLC and ICL agreed to provide personnel services to the other upon requests, and Rani LLC occupies certain facilities leased by ICL. Pursuant to the Rani LLC-ICL Service Agreement, we may engage ICL to perform development work on behalf of our company. We will wholly own intellectual property resulting from such development work only if it relates to the oral delivery of a biotherapeutic agent or sensor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8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87"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62"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 may challenge our intellectual property in administrative proceedings.</w:t>
      </w:r>
    </w:p>
    <w:p>
      <w:pPr>
        <w:spacing w:after="0" w:line="229"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 In addition, any such proceedings may distract management from other business operations or involve expenses that reduce the resources available to spend on other aspects of our business.</w:t>
      </w:r>
    </w:p>
    <w:p>
      <w:pPr>
        <w:spacing w:after="0" w:line="18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European patents are presently being, or have been, challenged in Europe, and additional patents of ours may be challenged in the future, which could reduce the patent protection we have on our oral delivery technology or product candidates and make it easier for third parties to compete with our business or product candidates.</w:t>
      </w:r>
    </w:p>
    <w:p>
      <w:pPr>
        <w:spacing w:after="0" w:line="175" w:lineRule="exact"/>
        <w:rPr>
          <w:sz w:val="20"/>
          <w:szCs w:val="20"/>
          <w:color w:val="auto"/>
        </w:rPr>
      </w:pPr>
    </w:p>
    <w:p>
      <w:pPr>
        <w:ind w:right="240" w:firstLine="1018"/>
        <w:spacing w:after="0" w:line="256" w:lineRule="auto"/>
        <w:rPr>
          <w:sz w:val="20"/>
          <w:szCs w:val="20"/>
          <w:color w:val="auto"/>
        </w:rPr>
      </w:pPr>
      <w:r>
        <w:rPr>
          <w:rFonts w:ascii="Times New Roman" w:cs="Times New Roman" w:eastAsia="Times New Roman" w:hAnsi="Times New Roman"/>
          <w:sz w:val="18"/>
          <w:szCs w:val="18"/>
          <w:color w:val="auto"/>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or have been, involved in opposition proceedings involving four of our European patents at the EPO, all of which opposition proceedings were asserted against us by Novo Nordisk A/S. The four patents relate to the delivery of solid dosage form of drug which is associated with the RaniPill GO version of our oral delivery technology, and do not relate to liquid dosage form of drug which is utilized by the RaniPill HC (high-capacity) version of our oral delivery technology.</w:t>
      </w:r>
    </w:p>
    <w:p>
      <w:pPr>
        <w:spacing w:after="0" w:line="187" w:lineRule="exact"/>
        <w:rPr>
          <w:sz w:val="20"/>
          <w:szCs w:val="20"/>
          <w:color w:val="auto"/>
        </w:rPr>
      </w:pPr>
    </w:p>
    <w:p>
      <w:pPr>
        <w:ind w:right="260" w:firstLine="1018"/>
        <w:spacing w:after="0" w:line="261" w:lineRule="auto"/>
        <w:rPr>
          <w:sz w:val="20"/>
          <w:szCs w:val="20"/>
          <w:color w:val="auto"/>
        </w:rPr>
      </w:pPr>
      <w:r>
        <w:rPr>
          <w:rFonts w:ascii="Times New Roman" w:cs="Times New Roman" w:eastAsia="Times New Roman" w:hAnsi="Times New Roman"/>
          <w:sz w:val="18"/>
          <w:szCs w:val="18"/>
          <w:color w:val="auto"/>
        </w:rPr>
        <w:t>The first opposition proceeding involved European Patent No. 2515992, which is generally directed to an ingestible device. On May 15, 2024, oral proceedings were conducted before the Appeal Board. At conclusion of oral proceedings before the EPO Appeal Board, the Board upheld the decision of the Opposition Division to maintain the patent in amended form. The amended patent is being revalidated in the previously designated European countries.</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jc w:val="both"/>
        <w:ind w:right="280" w:firstLine="1018"/>
        <w:spacing w:after="0" w:line="261" w:lineRule="auto"/>
        <w:rPr>
          <w:sz w:val="20"/>
          <w:szCs w:val="20"/>
          <w:color w:val="auto"/>
        </w:rPr>
      </w:pPr>
      <w:r>
        <w:rPr>
          <w:rFonts w:ascii="Times New Roman" w:cs="Times New Roman" w:eastAsia="Times New Roman" w:hAnsi="Times New Roman"/>
          <w:sz w:val="18"/>
          <w:szCs w:val="18"/>
          <w:color w:val="auto"/>
        </w:rPr>
        <w:t>The second opposition proceeding involved European Patent No. 2544668, which is generally directed to a therapeutic agent preparation. The third opposition proceeding involved European Patent No. 3461478, which is in the same family as European Patent No. 2515992 noted above. We made the decision to withdraw these patents. As a result, these patents at issue in the second and third oppositions are no longer in force in Europe. We have additional European patent applications in the same families that are in a condition for allowance.</w:t>
      </w:r>
    </w:p>
    <w:p>
      <w:pPr>
        <w:spacing w:after="0" w:line="180"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The fourth opposition proceeding involves European Patent No. 3653223, which is generally directed to a swallowable device. In October 2023, the EPO Opposition Division issued a decision resulting in an amendment to the claims of the patent. Both parties subsequently filed a notice of appeal with the EPO Appeal Board and we are awaiting a final decision.</w:t>
      </w:r>
    </w:p>
    <w:p>
      <w:pPr>
        <w:spacing w:after="0" w:line="176"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Novo Nordisk A/S or other parties may seek to invalidate or reduce additional patents in Europe or other jurisdictions. If current or future opposition proceedings or similar proceedings result in the revocation or amendment of one or more of our patents that cover important aspects of our technology, it could have a material adverse impact on our ability to commercialize and/or our ability to defend against potential competitors in Europe or the applicable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assert challenges against others of infringement of our intellectual property.</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87"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90"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83" w:lineRule="exact"/>
        <w:rPr>
          <w:sz w:val="20"/>
          <w:szCs w:val="20"/>
          <w:color w:val="auto"/>
        </w:rPr>
      </w:pPr>
    </w:p>
    <w:p>
      <w:pPr>
        <w:ind w:right="20" w:firstLine="1018"/>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62" w:lineRule="exact"/>
        <w:rPr>
          <w:sz w:val="20"/>
          <w:szCs w:val="20"/>
          <w:color w:val="auto"/>
        </w:rPr>
      </w:pPr>
    </w:p>
    <w:p>
      <w:pPr>
        <w:ind w:right="340" w:firstLine="1018"/>
        <w:spacing w:after="0" w:line="282"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challenges asserting infringement of intellectual property of a third party.</w:t>
      </w:r>
    </w:p>
    <w:p>
      <w:pPr>
        <w:spacing w:after="0" w:line="229" w:lineRule="exact"/>
        <w:rPr>
          <w:sz w:val="20"/>
          <w:szCs w:val="20"/>
          <w:color w:val="auto"/>
        </w:rPr>
      </w:pPr>
    </w:p>
    <w:p>
      <w:pPr>
        <w:ind w:right="380" w:firstLine="1018"/>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 party’s patent or trademark or of misappropriating a third party’s trade secret.</w:t>
      </w:r>
    </w:p>
    <w:p>
      <w:pPr>
        <w:spacing w:after="0" w:line="194"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87"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3" w:lineRule="exact"/>
        <w:rPr>
          <w:sz w:val="20"/>
          <w:szCs w:val="20"/>
          <w:color w:val="auto"/>
        </w:rPr>
      </w:pPr>
    </w:p>
    <w:p>
      <w:pPr>
        <w:ind w:right="300" w:firstLine="1018"/>
        <w:spacing w:after="0" w:line="261" w:lineRule="auto"/>
        <w:rPr>
          <w:sz w:val="20"/>
          <w:szCs w:val="20"/>
          <w:color w:val="auto"/>
        </w:rPr>
      </w:pPr>
      <w:r>
        <w:rPr>
          <w:rFonts w:ascii="Times New Roman" w:cs="Times New Roman" w:eastAsia="Times New Roman" w:hAnsi="Times New Roman"/>
          <w:sz w:val="18"/>
          <w:szCs w:val="18"/>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80"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challenges asserting misappropriation of intellectual property of a third party.</w:t>
      </w:r>
    </w:p>
    <w:p>
      <w:pPr>
        <w:spacing w:after="0" w:line="229"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87"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challenges to the inventorship or ownership of our intellectual property.</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us regarding inventions related to our business,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right="180"/>
        <w:spacing w:after="0" w:line="282" w:lineRule="auto"/>
        <w:rPr>
          <w:sz w:val="20"/>
          <w:szCs w:val="20"/>
          <w:color w:val="auto"/>
        </w:rPr>
      </w:pPr>
      <w:r>
        <w:rPr>
          <w:rFonts w:ascii="Times New Roman" w:cs="Times New Roman" w:eastAsia="Times New Roman" w:hAnsi="Times New Roman"/>
          <w:sz w:val="18"/>
          <w:szCs w:val="18"/>
          <w:color w:val="auto"/>
        </w:rPr>
        <w:t>fail in defending any such challenges, we may lose valuable intellectual property rights, including the loss of exclusive ownership of, or right to use, such intellectual property.</w:t>
      </w:r>
    </w:p>
    <w:p>
      <w:pPr>
        <w:spacing w:after="0" w:line="162"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obtain our proprietary information, which could harm our business and competitive position.</w:t>
      </w:r>
    </w:p>
    <w:p>
      <w:pPr>
        <w:spacing w:after="0" w:line="229"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76"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89"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76"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principal asset is our interest in Rani LLC. Accordingly, we will depend on distributions from Rani LLC to pay our taxes, expenses (including payments under the Tax Receivable Agreement) and dividends. Rani’s ability to make such distributions may be subject to various limitations and restrictions.</w:t>
      </w:r>
    </w:p>
    <w:p>
      <w:pPr>
        <w:spacing w:after="0" w:line="175"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Interests of Rani LLC. As such, we have no independent means of generating net sales or cash flow, and our ability to pay our taxes and operating expenses or declare and pay dividends in the future, if any, is dependent upon the financial results and cash flows of Rani LLC and distributions we receive from Rani LLC. Rani LLC may not generate sufficient cash flow to distribute funds to us and applicable state law and contractual restrictions, including negative covenants in our debt instruments, may not permit such distributions. In August 2021, in connection with the IPO and Organizational Transactions, we entered into a Tax Receivable Agreement with certain of the Continuing LLC Owners. See the risk factor below entitled “The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92"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LLC and will also incur expenses related to our operations, including payments under the Tax Receivable Agreement, which we expect could be significant. Furthermore, our allocable share of Rani LLC’s net taxable income will increase over time as the Continuing LLC Owners redeem or exchange their LLC Interests for shares of our Class A common stock.</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ind w:firstLine="1018"/>
        <w:spacing w:after="0" w:line="254" w:lineRule="auto"/>
        <w:rPr>
          <w:sz w:val="20"/>
          <w:szCs w:val="20"/>
          <w:color w:val="auto"/>
        </w:rPr>
      </w:pPr>
      <w:r>
        <w:rPr>
          <w:rFonts w:ascii="Times New Roman" w:cs="Times New Roman" w:eastAsia="Times New Roman" w:hAnsi="Times New Roman"/>
          <w:sz w:val="18"/>
          <w:szCs w:val="18"/>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92"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Rani LLC does not have sufficient funds to make distributions, our ability to declare and pay cash dividends will also be restricted or impaired.</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180"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operating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94"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75"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We are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 (a) any future redemptions or exchanges of LLC Interests and (b) payments under the Tax Receivable Agreement and (ii) certain other tax benefits arising from payments under the 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w:t>
      </w:r>
    </w:p>
    <w:p>
      <w:pPr>
        <w:spacing w:after="0" w:line="2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the Tax Receivable Agreement, the payments that we may make to certain of the Continuing LLC Owners could be significant. See the section titled</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Resources—Source of Liquidity</w:t>
      </w:r>
      <w:r>
        <w:rPr>
          <w:rFonts w:ascii="Times New Roman" w:cs="Times New Roman" w:eastAsia="Times New Roman" w:hAnsi="Times New Roman"/>
          <w:sz w:val="18"/>
          <w:szCs w:val="18"/>
          <w:color w:val="auto"/>
        </w:rPr>
        <w:t>” for further information.</w:t>
      </w:r>
    </w:p>
    <w:p>
      <w:pPr>
        <w:spacing w:after="0" w:line="181"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w:t>
      </w:r>
    </w:p>
    <w:p>
      <w:pPr>
        <w:spacing w:after="0" w:line="190"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85"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36"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United States government securities and cash items) on an unconsolidated basis. We do not believe that we are an “investment company,” as such term is defined in either of those sections of the 1940 Act.</w:t>
      </w:r>
    </w:p>
    <w:p>
      <w:pPr>
        <w:spacing w:after="0" w:line="187"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76" w:lineRule="exact"/>
        <w:rPr>
          <w:sz w:val="20"/>
          <w:szCs w:val="20"/>
          <w:color w:val="auto"/>
        </w:rPr>
      </w:pPr>
    </w:p>
    <w:p>
      <w:pPr>
        <w:ind w:right="480" w:firstLine="1018"/>
        <w:spacing w:after="0" w:line="261" w:lineRule="auto"/>
        <w:rPr>
          <w:sz w:val="20"/>
          <w:szCs w:val="20"/>
          <w:color w:val="auto"/>
        </w:rPr>
      </w:pPr>
      <w:r>
        <w:rPr>
          <w:rFonts w:ascii="Times New Roman" w:cs="Times New Roman" w:eastAsia="Times New Roman" w:hAnsi="Times New Roman"/>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occupy space within a facility owned by ICL pursuant to a service agreement. If we were required to replicate or replace this space sooner than planned or if the service agreement is terminated, our operations could be adversely affected.</w:t>
      </w:r>
    </w:p>
    <w:p>
      <w:pPr>
        <w:spacing w:after="0" w:line="159"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Pursuant to a service agreement dated January 1, 2021 originally between RMS and ICL but which was assigned by RMS to Rani LLC in April 2022 and amended in March 2024 (the “RMS-ICL Service Agreement”), we sublease from ICL certain office, laboratory and manufacturing space used for our operations (“Occupancy Services”). In March 2024, we entered into an amendment to the RMS-ICL Service Agreement to increase the Occupancy Services from 23,000 square feet to 24,000 square feet.</w:t>
      </w:r>
    </w:p>
    <w:p>
      <w:pPr>
        <w:spacing w:after="0" w:line="180"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Termination of Occupancy Services under the RMS-ICL Service Agreement requires six months’ notice. In the event the RMS-ICL Service Agreement is terminated by us or ICL, we will need to replicate or replace the occupied space to which we will no longer have the same access. Such changes may be costly to implement and disruptive to our business. Transfer of our operations from</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ind w:right="160"/>
        <w:spacing w:after="0" w:line="266" w:lineRule="auto"/>
        <w:rPr>
          <w:sz w:val="20"/>
          <w:szCs w:val="20"/>
          <w:color w:val="auto"/>
        </w:rPr>
      </w:pPr>
      <w:r>
        <w:rPr>
          <w:rFonts w:ascii="Times New Roman" w:cs="Times New Roman" w:eastAsia="Times New Roman" w:hAnsi="Times New Roman"/>
          <w:sz w:val="18"/>
          <w:szCs w:val="18"/>
          <w:color w:val="auto"/>
        </w:rPr>
        <w:t>the current facility in San Jose, California to that facility would require us to identify and negotiate terms for suitable alternative space, personnel would need toto commute to a new location, and we would need to move equipment to and re-calibrate and re-qualify certain equipment in the new space. All of these activities would take time, may delay our ability to operate certain aspects of our business, and may result in significant additional costs.</w:t>
      </w:r>
    </w:p>
    <w:p>
      <w:pPr>
        <w:spacing w:after="0" w:line="17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In addition, our ability to attract or retain personnel may be negatively impacted by a change in location. Also, we may not be able to move, re-calibrate or re-qualify equipment in a timely manner, or at all, which could result in needing to repair or replace equipment, which may require significant lead time and could delay our ongoing operations.</w:t>
      </w:r>
    </w:p>
    <w:p>
      <w:pPr>
        <w:spacing w:after="0" w:line="176"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We may not be able to replace this occupied space or enter into appropriate third-party agreements therefor on terms and conditions, including cost, comparable to those that we receive from ICL under the RMS-ICL Service Agreement, or in a time period that minimizes disruption to our operations. The loss of services or the use of the occupied space under the RMS-ICL Service Agreement or our inability to replace such occupied space in a timely or cost-effective manner could have an adverse effect on our operations and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certain of the Continuing LLC Owners, whose interests may differ from those of our public stockholders.</w:t>
      </w:r>
    </w:p>
    <w:p>
      <w:pPr>
        <w:spacing w:after="0" w:line="229" w:lineRule="exact"/>
        <w:rPr>
          <w:sz w:val="20"/>
          <w:szCs w:val="20"/>
          <w:color w:val="auto"/>
        </w:rPr>
      </w:pPr>
    </w:p>
    <w:p>
      <w:pPr>
        <w:ind w:right="40" w:firstLine="1018"/>
        <w:spacing w:after="0" w:line="253" w:lineRule="auto"/>
        <w:rPr>
          <w:sz w:val="20"/>
          <w:szCs w:val="20"/>
          <w:color w:val="auto"/>
        </w:rPr>
      </w:pPr>
      <w:r>
        <w:rPr>
          <w:rFonts w:ascii="Times New Roman" w:cs="Times New Roman" w:eastAsia="Times New Roman" w:hAnsi="Times New Roman"/>
          <w:sz w:val="18"/>
          <w:szCs w:val="18"/>
          <w:color w:val="auto"/>
        </w:rPr>
        <w:t>As of March 26, 2025, certain of the Continuing LLC Owners controlled more than 80%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 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may adversely affect the trading price or liquidity of our Class A common stock.</w:t>
      </w:r>
    </w:p>
    <w:p>
      <w:pPr>
        <w:spacing w:after="0" w:line="22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159"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our Class A common stock has one vote per share and Class C common stock has no voting rights, except as required by law. As of March 26, 2025, holders of our outstanding Class B common stock collectively held more than 80% of the voting power of our outstanding capital stock.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right="120" w:firstLine="1018"/>
        <w:spacing w:after="0" w:line="256" w:lineRule="auto"/>
        <w:rPr>
          <w:sz w:val="20"/>
          <w:szCs w:val="20"/>
          <w:color w:val="auto"/>
        </w:rPr>
      </w:pPr>
      <w:r>
        <w:rPr>
          <w:rFonts w:ascii="Times New Roman" w:cs="Times New Roman" w:eastAsia="Times New Roman" w:hAnsi="Times New Roman"/>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w:t>
      </w:r>
    </w:p>
    <w:p>
      <w:pPr>
        <w:spacing w:after="0" w:line="229" w:lineRule="exact"/>
        <w:rPr>
          <w:sz w:val="20"/>
          <w:szCs w:val="20"/>
          <w:color w:val="auto"/>
        </w:rPr>
      </w:pPr>
    </w:p>
    <w:p>
      <w:pPr>
        <w:ind w:right="120" w:firstLine="1018"/>
        <w:spacing w:after="0" w:line="255" w:lineRule="auto"/>
        <w:rPr>
          <w:sz w:val="20"/>
          <w:szCs w:val="20"/>
          <w:color w:val="auto"/>
        </w:rPr>
      </w:pPr>
      <w:r>
        <w:rPr>
          <w:rFonts w:ascii="Times New Roman" w:cs="Times New Roman" w:eastAsia="Times New Roman" w:hAnsi="Times New Roman"/>
          <w:sz w:val="18"/>
          <w:szCs w:val="18"/>
          <w:color w:val="auto"/>
        </w:rPr>
        <w:t>There is limited history regarding the trading of our Class A common stock. An active trading market for our Class A common stock may not develop or be sustained. The lack of an active market may impair stockholders’ ability to sell their shares at the time or price they wish to sell them. In addition, as described further in these “Risk Factors,” a substantial percentage of our Class A common stock may continue to be held by our executive officers and pre-IPO investors. As a result of these and other factors, stockholders may be unable to resell their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including:</w:t>
      </w:r>
    </w:p>
    <w:p>
      <w:pPr>
        <w:spacing w:after="0" w:line="176" w:lineRule="exact"/>
        <w:rPr>
          <w:sz w:val="20"/>
          <w:szCs w:val="20"/>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current or any of our future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current or any of our future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collaborators and suppliers;</w:t>
      </w:r>
    </w:p>
    <w:p>
      <w:pPr>
        <w:spacing w:after="0" w:line="225" w:lineRule="exact"/>
        <w:rPr>
          <w:rFonts w:ascii="Times New Roman" w:cs="Times New Roman" w:eastAsia="Times New Roman" w:hAnsi="Times New Roman"/>
          <w:sz w:val="18"/>
          <w:szCs w:val="18"/>
          <w:color w:val="auto"/>
        </w:rPr>
      </w:pPr>
    </w:p>
    <w:p>
      <w:pPr>
        <w:ind w:left="1400" w:right="620" w:hanging="374"/>
        <w:spacing w:after="0" w:line="282" w:lineRule="auto"/>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our current or any of our future product candidates or our inability to do so at acceptable prices;</w:t>
      </w:r>
    </w:p>
    <w:p>
      <w:pPr>
        <w:spacing w:after="0" w:line="161" w:lineRule="exact"/>
        <w:rPr>
          <w:rFonts w:ascii="Times New Roman" w:cs="Times New Roman" w:eastAsia="Times New Roman" w:hAnsi="Times New Roman"/>
          <w:sz w:val="18"/>
          <w:szCs w:val="18"/>
          <w:color w:val="auto"/>
        </w:rPr>
      </w:pPr>
    </w:p>
    <w:p>
      <w:pPr>
        <w:ind w:left="1400" w:right="480" w:hanging="374"/>
        <w:spacing w:after="0" w:line="282" w:lineRule="auto"/>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physician and market adoption of our current or any of our future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new technologies, acquisitions, or new offerings;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technology or our product candidates;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 by us or our stockholders;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225" w:lineRule="exact"/>
        <w:rPr>
          <w:rFonts w:ascii="Times New Roman" w:cs="Times New Roman" w:eastAsia="Times New Roman" w:hAnsi="Times New Roman"/>
          <w:sz w:val="18"/>
          <w:szCs w:val="18"/>
          <w:color w:val="auto"/>
        </w:rPr>
      </w:pPr>
    </w:p>
    <w:p>
      <w:pPr>
        <w:ind w:left="1400" w:right="80" w:hanging="374"/>
        <w:spacing w:after="0" w:line="312" w:lineRule="auto"/>
        <w:tabs>
          <w:tab w:leader="none" w:pos="1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139" w:lineRule="exact"/>
        <w:rPr>
          <w:rFonts w:ascii="Times New Roman" w:cs="Times New Roman" w:eastAsia="Times New Roman" w:hAnsi="Times New Roman"/>
          <w:sz w:val="17"/>
          <w:szCs w:val="17"/>
          <w:color w:val="auto"/>
        </w:rPr>
      </w:pPr>
    </w:p>
    <w:p>
      <w:pPr>
        <w:ind w:left="1400" w:hanging="37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 including economic recessions or slowdowns;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4" w:name="page95"/>
    <w:bookmarkEnd w:id="94"/>
    <w:p>
      <w:pPr>
        <w:ind w:left="1400" w:hanging="37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400" w:right="40" w:hanging="374"/>
        <w:spacing w:after="0" w:line="282" w:lineRule="auto"/>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1400" w:right="540" w:hanging="374"/>
        <w:spacing w:after="0" w:line="282" w:lineRule="auto"/>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including war, terrorism and other international conflicts, such as the conflict between Ukraine and Russia, and public health issues including health epidemics or pandemics; and</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83"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75"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As of March 26, 2025, our Chairman, Mir Imran beneficially owned more than 80%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83" w:lineRule="exact"/>
        <w:rPr>
          <w:sz w:val="20"/>
          <w:szCs w:val="20"/>
          <w:color w:val="auto"/>
        </w:rPr>
      </w:pPr>
    </w:p>
    <w:p>
      <w:pPr>
        <w:ind w:left="1400" w:hanging="37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that is composed of a majority of “independent directors,” as defined under the Nasdaq rules;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that is composed entirely of independent directors; and</w:t>
      </w:r>
    </w:p>
    <w:p>
      <w:pPr>
        <w:spacing w:after="0" w:line="225" w:lineRule="exact"/>
        <w:rPr>
          <w:rFonts w:ascii="Times New Roman" w:cs="Times New Roman" w:eastAsia="Times New Roman" w:hAnsi="Times New Roman"/>
          <w:sz w:val="18"/>
          <w:szCs w:val="18"/>
          <w:color w:val="auto"/>
        </w:rPr>
      </w:pPr>
    </w:p>
    <w:p>
      <w:pPr>
        <w:ind w:left="1400" w:right="1660" w:hanging="374"/>
        <w:spacing w:after="0" w:line="282" w:lineRule="auto"/>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62"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59" w:lineRule="exact"/>
        <w:rPr>
          <w:sz w:val="20"/>
          <w:szCs w:val="20"/>
          <w:color w:val="auto"/>
        </w:rPr>
      </w:pPr>
    </w:p>
    <w:p>
      <w:pPr>
        <w:ind w:right="580" w:firstLine="1018"/>
        <w:spacing w:after="0" w:line="266" w:lineRule="auto"/>
        <w:rPr>
          <w:sz w:val="20"/>
          <w:szCs w:val="20"/>
          <w:color w:val="auto"/>
        </w:rPr>
      </w:pPr>
      <w:r>
        <w:rPr>
          <w:rFonts w:ascii="Times New Roman" w:cs="Times New Roman" w:eastAsia="Times New Roman" w:hAnsi="Times New Roman"/>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176" w:lineRule="exact"/>
        <w:rPr>
          <w:sz w:val="20"/>
          <w:szCs w:val="20"/>
          <w:color w:val="auto"/>
        </w:rPr>
      </w:pPr>
    </w:p>
    <w:p>
      <w:pPr>
        <w:ind w:left="1400" w:hanging="374"/>
        <w:spacing w:after="0"/>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left="1400" w:hanging="374"/>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with respect to the financial reporting related to such arrangements;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indebtedness or contingent liabilities;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our equity securities which would result in dilution to our stockholders;</w:t>
      </w:r>
    </w:p>
    <w:p>
      <w:pPr>
        <w:spacing w:after="0" w:line="225" w:lineRule="exact"/>
        <w:rPr>
          <w:rFonts w:ascii="Times New Roman" w:cs="Times New Roman" w:eastAsia="Times New Roman" w:hAnsi="Times New Roman"/>
          <w:sz w:val="18"/>
          <w:szCs w:val="18"/>
          <w:color w:val="auto"/>
        </w:rPr>
      </w:pPr>
    </w:p>
    <w:p>
      <w:pPr>
        <w:ind w:left="1400" w:right="600" w:hanging="374"/>
        <w:spacing w:after="0" w:line="282" w:lineRule="auto"/>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161" w:lineRule="exact"/>
        <w:rPr>
          <w:rFonts w:ascii="Times New Roman" w:cs="Times New Roman" w:eastAsia="Times New Roman" w:hAnsi="Times New Roman"/>
          <w:sz w:val="18"/>
          <w:szCs w:val="18"/>
          <w:color w:val="auto"/>
        </w:rPr>
      </w:pPr>
    </w:p>
    <w:p>
      <w:pPr>
        <w:ind w:left="1400" w:right="120" w:hanging="374"/>
        <w:spacing w:after="0" w:line="282" w:lineRule="auto"/>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our existing product programs and initiatives in pursuing such an acquisition or strategic partnership;</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1400" w:right="500" w:hanging="374"/>
        <w:spacing w:after="0" w:line="282" w:lineRule="auto"/>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61"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62" w:lineRule="exact"/>
        <w:rPr>
          <w:sz w:val="20"/>
          <w:szCs w:val="20"/>
          <w:color w:val="auto"/>
        </w:rPr>
      </w:pPr>
    </w:p>
    <w:p>
      <w:pPr>
        <w:ind w:right="540" w:firstLine="1018"/>
        <w:spacing w:after="0" w:line="282" w:lineRule="auto"/>
        <w:rPr>
          <w:sz w:val="20"/>
          <w:szCs w:val="20"/>
          <w:color w:val="auto"/>
        </w:rPr>
      </w:pPr>
      <w:r>
        <w:rPr>
          <w:rFonts w:ascii="Times New Roman" w:cs="Times New Roman" w:eastAsia="Times New Roman" w:hAnsi="Times New Roman"/>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in the public market could cause the market price of our Class A common stock to decline.</w:t>
      </w:r>
    </w:p>
    <w:p>
      <w:pPr>
        <w:spacing w:after="0" w:line="229"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76"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currently issuable upon exercise of outstanding stock options, and upon exercise or settlement of any options or other equity incentives and we intend to register all shares or such Class A common stock that we may grant in the future, for public resale under the Securities Act. Accordingly, these shares will be able to be freely sold in the public market upon issuance as permitted by any applicable vesting requirements.</w:t>
      </w:r>
    </w:p>
    <w:p>
      <w:pPr>
        <w:spacing w:after="0" w:line="180" w:lineRule="exact"/>
        <w:rPr>
          <w:sz w:val="20"/>
          <w:szCs w:val="20"/>
          <w:color w:val="auto"/>
        </w:rPr>
      </w:pPr>
    </w:p>
    <w:p>
      <w:pPr>
        <w:ind w:right="260" w:firstLine="1018"/>
        <w:spacing w:after="0" w:line="261" w:lineRule="auto"/>
        <w:rPr>
          <w:sz w:val="20"/>
          <w:szCs w:val="20"/>
          <w:color w:val="auto"/>
        </w:rPr>
      </w:pPr>
      <w:r>
        <w:rPr>
          <w:rFonts w:ascii="Times New Roman" w:cs="Times New Roman" w:eastAsia="Times New Roman" w:hAnsi="Times New Roman"/>
          <w:sz w:val="18"/>
          <w:szCs w:val="18"/>
          <w:color w:val="auto"/>
        </w:rPr>
        <w:t>Continuing LLC Owners are entitled to rights with respect to the registration of their shares under the Securities Act. Registration of these shares under the Securities Act would result in the shares becoming freely tradable without restriction under the Securities Act. As a result of certain stockholders requesting such registration, in December 2022 we filed a registration statement on Form S-3 to register 6,009,542 shares of our Class A common stock held by certain of our stockholders. Accordingly, these shares are freely tradeable without restriction under the Securities Act.</w:t>
      </w:r>
    </w:p>
    <w:p>
      <w:pPr>
        <w:spacing w:after="0" w:line="180" w:lineRule="exact"/>
        <w:rPr>
          <w:sz w:val="20"/>
          <w:szCs w:val="20"/>
          <w:color w:val="auto"/>
        </w:rPr>
      </w:pPr>
    </w:p>
    <w:p>
      <w:pPr>
        <w:ind w:right="620" w:firstLine="1018"/>
        <w:spacing w:after="0" w:line="282" w:lineRule="auto"/>
        <w:rPr>
          <w:sz w:val="20"/>
          <w:szCs w:val="20"/>
          <w:color w:val="auto"/>
        </w:rPr>
      </w:pPr>
      <w:r>
        <w:rPr>
          <w:rFonts w:ascii="Times New Roman" w:cs="Times New Roman" w:eastAsia="Times New Roman" w:hAnsi="Times New Roman"/>
          <w:sz w:val="18"/>
          <w:szCs w:val="18"/>
          <w:color w:val="auto"/>
        </w:rPr>
        <w:t>Any sales of securities by the foregoing or other stockholders could have a material adverse effect on the trading price of our Class A common stock.</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5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As of March 26, 2025, our named executive officers, directors, holders of 5% or more of our capital stock and their respective affiliates beneficially held outstanding stock representing over 80%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jc w:val="both"/>
        <w:ind w:right="180" w:firstLine="1018"/>
        <w:spacing w:after="0" w:line="266" w:lineRule="auto"/>
        <w:rPr>
          <w:sz w:val="20"/>
          <w:szCs w:val="20"/>
          <w:color w:val="auto"/>
        </w:rPr>
      </w:pPr>
      <w:r>
        <w:rPr>
          <w:rFonts w:ascii="Times New Roman" w:cs="Times New Roman" w:eastAsia="Times New Roman" w:hAnsi="Times New Roman"/>
          <w:sz w:val="18"/>
          <w:szCs w:val="18"/>
          <w:color w:val="auto"/>
        </w:rPr>
        <w:t>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7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59" w:lineRule="exact"/>
        <w:rPr>
          <w:sz w:val="20"/>
          <w:szCs w:val="20"/>
          <w:color w:val="auto"/>
        </w:rPr>
      </w:pPr>
    </w:p>
    <w:p>
      <w:pPr>
        <w:jc w:val="both"/>
        <w:ind w:right="140" w:firstLine="10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stockholders must rely on sales of their Class A common stock after price appreciation, which may never occur, as the only way to realize any future gains on their investments.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ind w:right="120" w:firstLine="1018"/>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 a substantial amount of time to ensure that we comply with all of these requirements, and we may need to hire additional accounting and financial staff with appropriate public company reporting experience and technical accounting knowledge. Moreover, the reporting requirements, rules and regulations increase our legal and financial compliance costs and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2" w:lineRule="exact"/>
        <w:rPr>
          <w:sz w:val="20"/>
          <w:szCs w:val="20"/>
          <w:color w:val="auto"/>
        </w:rPr>
      </w:pPr>
    </w:p>
    <w:p>
      <w:pPr>
        <w:jc w:val="both"/>
        <w:ind w:right="40" w:firstLine="1018"/>
        <w:spacing w:after="0" w:line="272"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59" w:lineRule="exact"/>
        <w:rPr>
          <w:sz w:val="20"/>
          <w:szCs w:val="20"/>
          <w:color w:val="auto"/>
        </w:rPr>
      </w:pPr>
    </w:p>
    <w:p>
      <w:pPr>
        <w:ind w:right="320" w:firstLine="1018"/>
        <w:spacing w:after="0" w:line="258"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59"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ind w:right="660"/>
        <w:spacing w:after="0" w:line="282" w:lineRule="auto"/>
        <w:rPr>
          <w:sz w:val="20"/>
          <w:szCs w:val="20"/>
          <w:color w:val="auto"/>
        </w:rPr>
      </w:pPr>
      <w:r>
        <w:rPr>
          <w:rFonts w:ascii="Times New Roman" w:cs="Times New Roman" w:eastAsia="Times New Roman" w:hAnsi="Times New Roman"/>
          <w:sz w:val="18"/>
          <w:szCs w:val="18"/>
          <w:color w:val="auto"/>
        </w:rPr>
        <w:t>on executive compensation and stockholder approval of any golden parachute payments not previously approved and extended adoption period for accounting pronouncements.</w:t>
      </w:r>
    </w:p>
    <w:p>
      <w:pPr>
        <w:spacing w:after="0" w:line="162"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7"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59"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2" w:lineRule="exact"/>
        <w:rPr>
          <w:sz w:val="20"/>
          <w:szCs w:val="20"/>
          <w:color w:val="auto"/>
        </w:rPr>
      </w:pPr>
    </w:p>
    <w:p>
      <w:pPr>
        <w:ind w:left="1400" w:right="620" w:hanging="374"/>
        <w:spacing w:after="0" w:line="266" w:lineRule="auto"/>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17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225" w:lineRule="exact"/>
        <w:rPr>
          <w:rFonts w:ascii="Times New Roman" w:cs="Times New Roman" w:eastAsia="Times New Roman" w:hAnsi="Times New Roman"/>
          <w:sz w:val="18"/>
          <w:szCs w:val="18"/>
          <w:color w:val="auto"/>
        </w:rPr>
      </w:pPr>
    </w:p>
    <w:p>
      <w:pPr>
        <w:ind w:left="1400" w:right="300" w:hanging="374"/>
        <w:spacing w:after="0" w:line="266" w:lineRule="auto"/>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75" w:lineRule="exact"/>
        <w:rPr>
          <w:rFonts w:ascii="Times New Roman" w:cs="Times New Roman" w:eastAsia="Times New Roman" w:hAnsi="Times New Roman"/>
          <w:sz w:val="18"/>
          <w:szCs w:val="18"/>
          <w:color w:val="auto"/>
        </w:rPr>
      </w:pPr>
    </w:p>
    <w:p>
      <w:pPr>
        <w:ind w:left="1400" w:right="260" w:hanging="374"/>
        <w:spacing w:after="0" w:line="266" w:lineRule="auto"/>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175" w:lineRule="exact"/>
        <w:rPr>
          <w:rFonts w:ascii="Times New Roman" w:cs="Times New Roman" w:eastAsia="Times New Roman" w:hAnsi="Times New Roman"/>
          <w:sz w:val="18"/>
          <w:szCs w:val="18"/>
          <w:color w:val="auto"/>
        </w:rPr>
      </w:pPr>
    </w:p>
    <w:p>
      <w:pPr>
        <w:ind w:left="1400" w:right="600" w:hanging="374"/>
        <w:spacing w:after="0" w:line="282" w:lineRule="auto"/>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6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three classes of common stock as described above.</w:t>
      </w:r>
    </w:p>
    <w:p>
      <w:pPr>
        <w:spacing w:after="0" w:line="225"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500" w:firstLine="101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ind w:right="140"/>
        <w:spacing w:after="0" w:line="254" w:lineRule="auto"/>
        <w:rPr>
          <w:sz w:val="20"/>
          <w:szCs w:val="20"/>
          <w:color w:val="auto"/>
        </w:rPr>
      </w:pPr>
      <w:r>
        <w:rPr>
          <w:rFonts w:ascii="Times New Roman" w:cs="Times New Roman" w:eastAsia="Times New Roman" w:hAnsi="Times New Roman"/>
          <w:sz w:val="18"/>
          <w:szCs w:val="18"/>
          <w:color w:val="auto"/>
        </w:rPr>
        <w:t>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92"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190"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75"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of 2002, to furnish a report by management on, among other things, the effectiveness of our internal control over financial reporting on an annual basis. This assessment needs to include disclosure of any material weaknesses identified by our management in our internal control over financial reporting. In addition, we will be required to obtain attestation as to the effectiveness of our internal control over financial reporting by an independent registered public accounting firm in our first annual report required to be filed with the SEC following the date we become an accelerated filer.</w:t>
      </w:r>
    </w:p>
    <w:p>
      <w:pPr>
        <w:spacing w:after="0" w:line="183"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75" w:lineRule="exact"/>
        <w:rPr>
          <w:sz w:val="20"/>
          <w:szCs w:val="20"/>
          <w:color w:val="auto"/>
        </w:rPr>
      </w:pPr>
    </w:p>
    <w:p>
      <w:pPr>
        <w:ind w:right="540" w:firstLine="1018"/>
        <w:spacing w:after="0" w:line="282"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generally accepted accounting principles requires management to make estimates and assumptions that affect the amounts reported in our financial statements and accompanying notes.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ind w:right="80"/>
        <w:spacing w:after="0" w:line="258" w:lineRule="auto"/>
        <w:rPr>
          <w:sz w:val="20"/>
          <w:szCs w:val="20"/>
          <w:color w:val="auto"/>
        </w:rPr>
      </w:pPr>
      <w:r>
        <w:rPr>
          <w:rFonts w:ascii="Times New Roman" w:cs="Times New Roman" w:eastAsia="Times New Roman" w:hAnsi="Times New Roman"/>
          <w:sz w:val="18"/>
          <w:szCs w:val="18"/>
          <w:color w:val="auto"/>
        </w:rPr>
        <w:t>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business, financial condition, and results of operations.</w:t>
      </w:r>
    </w:p>
    <w:p>
      <w:pPr>
        <w:spacing w:after="0" w:line="229"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earthquakes, power shortages, telecommunications failures, water shortages, floods, hurricanes, typhoons, fires, extreme weather conditions, public health pandemics or epidemics, geopolitical events, including civil or political unrest (such as the ongoing conflict between Ukraine and Russia), terrorism, insurrection or war, recent and potential future disruptions in access to bank deposits or lending commitments due to bank failures,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87"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Our business and the business of our suppliers of APIs or drug substances and the raw materials or components for our RaniPill capsule could be materially and adversely affected by the risks, or the public perception of the risks, related to a pandemic or other health crisis. A significant outbreak of contagious diseases in the human population could result in a widespread health crisis that could adversely affect our planned operations. Such events could result in the complete or partial closure of one or more manufacturing facilities which could impact our supply of APIs, drug substances, and critical materials for manufacturing our RaniPill capsules. In addition, an outbreak or other business disruption near where our clinical trials occur could impact our ability to recruit subjects, delay our clinical trial, and could affect our ability to complete our clinical trials within the planned time periods. In addition, business disruptions of the kind noted above, including geopolitical events like the ongoing conflict between Ukraine and Russia or disruptions to bank deposits and lending commitments due to bank failures, could impact economies and financial markets, resulting in economic worsening and/or inflation that could impact our ability to raise capital, increase the costs of goods and services, cause us to have to de-prioritize or stop certain business activities, diminish potential partnering opportunities, and have an adverse effect on our results of operations.</w:t>
      </w:r>
    </w:p>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59" w:lineRule="exact"/>
        <w:rPr>
          <w:sz w:val="20"/>
          <w:szCs w:val="20"/>
          <w:color w:val="auto"/>
        </w:rPr>
      </w:pPr>
    </w:p>
    <w:p>
      <w:pPr>
        <w:jc w:val="both"/>
        <w:ind w:right="300" w:firstLine="1018"/>
        <w:spacing w:after="0" w:line="266" w:lineRule="auto"/>
        <w:rPr>
          <w:sz w:val="20"/>
          <w:szCs w:val="20"/>
          <w:color w:val="auto"/>
        </w:rPr>
      </w:pPr>
      <w:r>
        <w:rPr>
          <w:rFonts w:ascii="Times New Roman" w:cs="Times New Roman" w:eastAsia="Times New Roman" w:hAnsi="Times New Roman"/>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76" w:lineRule="exact"/>
        <w:rPr>
          <w:sz w:val="20"/>
          <w:szCs w:val="20"/>
          <w:color w:val="auto"/>
        </w:rPr>
      </w:pPr>
    </w:p>
    <w:p>
      <w:pPr>
        <w:ind w:left="1400" w:hanging="374"/>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1400" w:right="40" w:hanging="374"/>
        <w:spacing w:after="0" w:line="282" w:lineRule="auto"/>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earnings being lower than anticipated in countries where we have lower statutory tax rates and higher than anticipated earnings in countries where we have higher statutory tax rates.</w:t>
      </w:r>
    </w:p>
    <w:p>
      <w:pPr>
        <w:spacing w:after="0" w:line="162" w:lineRule="exact"/>
        <w:rPr>
          <w:sz w:val="20"/>
          <w:szCs w:val="20"/>
          <w:color w:val="auto"/>
        </w:rPr>
      </w:pPr>
    </w:p>
    <w:p>
      <w:pPr>
        <w:ind w:right="520" w:firstLine="1018"/>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Class A common stock.</w:t>
      </w:r>
    </w:p>
    <w:p>
      <w:pPr>
        <w:spacing w:after="0" w:line="229"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a stockholder's ability to sell or purchase our Class A common stock when they wish to do so. In the event of a delisting, we can provide no assurance that any action taken by us to restore compliance with listing requirements would allow our Class A common stock to become listed again, stabilize the market price</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ind w:right="860"/>
        <w:spacing w:after="0" w:line="282" w:lineRule="auto"/>
        <w:rPr>
          <w:sz w:val="20"/>
          <w:szCs w:val="20"/>
          <w:color w:val="auto"/>
        </w:rPr>
      </w:pPr>
      <w:r>
        <w:rPr>
          <w:rFonts w:ascii="Times New Roman" w:cs="Times New Roman" w:eastAsia="Times New Roman" w:hAnsi="Times New Roman"/>
          <w:sz w:val="18"/>
          <w:szCs w:val="18"/>
          <w:color w:val="auto"/>
        </w:rPr>
        <w:t>or improve the liquidity of our Class A common stock, prevent our Class A common stock from dropping below the Nasdaq minimum bid price requirement or prevent future non-compliance with the listing requirements of Nasdaq.</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59" w:lineRule="exact"/>
        <w:rPr>
          <w:sz w:val="20"/>
          <w:szCs w:val="20"/>
          <w:color w:val="auto"/>
        </w:rPr>
      </w:pPr>
    </w:p>
    <w:p>
      <w:pPr>
        <w:ind w:right="40" w:firstLine="1018"/>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United States Export Administration Regulations, United States Customs regulations, and various economic and trade sanctions regulations administered by the United States Treasury Department’s Office of Foreign Assets Controls, and anti-corruption and anti-money laundering laws and regulations, including the Foreign Corrupt Practices Act (“FCPA”), the United States domestic bribery statute contained in 18 U.S.C. § 201, the United States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 Responding to any enforcement action or related investigation may result in a significant diversion of management’s attention and resources and significant defense costs and other professional fees.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59"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76"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7"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and other trial participant data (“Information Systems and Data”).</w:t>
      </w:r>
    </w:p>
    <w:p>
      <w:pPr>
        <w:spacing w:after="0" w:line="180"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The head of our information security team (Svai Sanford, Chief Financial Officer (“CFO”)), our information security team and our legal team help identify, assess and manage our cybersecurity threats and risks. This group works to identify and assess risks from cybersecurity threats by monitoring and evaluating our threat environment using various methods including, for example deploying certain automated tools, subscribing to reports and services that identify certain cybersecurity threats, conducting scans of certain threat environments, evaluating certain threats reported to us, using external intelligence feeds, and conducting vulnerability assessments in certain environments and systems to identify vulnerabilities.</w:t>
      </w:r>
    </w:p>
    <w:p>
      <w:pPr>
        <w:spacing w:after="0" w:line="183"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Depending on the environment and system, we implement and maintain various technical, physical, and organizational measures, and processes designed to manage and mitigate material risks from cybersecurity threats to our Information Systems and Data, including, for example: incident detection and response processes, disaster recovery and business continuity plans, encryption of certain data, network security controls and access controls in certain environments and systems, monitoring certain systems, physical security of certain assets, asset management, employee training, and cybersecurity insurance.</w:t>
      </w:r>
    </w:p>
    <w:p>
      <w:pPr>
        <w:spacing w:after="0" w:line="183"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For example, the information security team works with management to prioritize our risk management processes and mitigate cybersecurity threats that are more likely to lead to a material impact to our business.</w:t>
      </w:r>
    </w:p>
    <w:p>
      <w:pPr>
        <w:spacing w:after="0" w:line="176" w:lineRule="exact"/>
        <w:rPr>
          <w:sz w:val="20"/>
          <w:szCs w:val="20"/>
          <w:color w:val="auto"/>
        </w:rPr>
      </w:pPr>
    </w:p>
    <w:p>
      <w:pPr>
        <w:ind w:right="180" w:firstLine="1018"/>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threat intelligence service providers and dark web monitoring services.</w:t>
      </w:r>
    </w:p>
    <w:p>
      <w:pPr>
        <w:spacing w:after="0" w:line="162" w:lineRule="exact"/>
        <w:rPr>
          <w:sz w:val="20"/>
          <w:szCs w:val="20"/>
          <w:color w:val="auto"/>
        </w:rPr>
      </w:pPr>
    </w:p>
    <w:p>
      <w:pPr>
        <w:jc w:val="both"/>
        <w:ind w:right="620" w:firstLine="1018"/>
        <w:spacing w:after="0" w:line="257"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and clinical data management and processing service providers. We have a vendor management program to manage cybersecurity risks associated with our use of certain of these providers. The program includes a review of certain information security measures of certain vendors.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under Part</w:t>
      </w:r>
    </w:p>
    <w:p>
      <w:pPr>
        <w:spacing w:after="0" w:line="27" w:lineRule="exact"/>
        <w:rPr>
          <w:sz w:val="20"/>
          <w:szCs w:val="20"/>
          <w:color w:val="auto"/>
        </w:rPr>
      </w:pPr>
    </w:p>
    <w:p>
      <w:pPr>
        <w:ind w:right="120" w:firstLine="8"/>
        <w:spacing w:after="0" w:line="253"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1A. Risk Factors in this Annual Report on Form 10-K, including “If our internal technology systems or sensitive information, or those used by our third-party collaborators, vendors, contractors or consultants,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520" w:firstLine="1018"/>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board of directors’ is responsible for overseeing our cybersecurity risk management processes, including oversight of mitigation of risks from cybersecurity threats.</w:t>
      </w:r>
    </w:p>
    <w:p>
      <w:pPr>
        <w:spacing w:after="0" w:line="162"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of our management, including our CFO, who oversees our information security team and has over 3 years of experience overseeing such function.</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2" w:name="page103"/>
    <w:bookmarkEnd w:id="102"/>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Our CFO is responsible for hiring appropriate personnel, helping to integrate cybersecurity risk considerations into our overall risk management strategy, and communicating key priorities to relevant personnel. Our CFO is also responsible for approving budgets, helping prepare for cybersecurity incidents, approving cybersecurity processes, and reviewing security assessments and other security-related reports. Our cybersecurity incident response processes are designed to escalate certain cybersecurity incidents to members of management depending on the circumstances. The incident management team helps us mitigate and remediate cybersecurity incidents of which they are notified. In addition, our incident response processes include reporting to the board of directors for certain cybersecurity incidents. The board receives periodic reports from management concerning the Company’s significant cybersecurity threats and risk and the processes the Company has implemented to address them. The board also receives various reports, summaries or presentations related to cybersecurity threats, risk and mitigation.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Our corporate headquarters are currently located in San Jose, California. We lease approximately 57,000 square feet of office, research and development, production and manufacturing, and laboratory space for our business. In February 2024, we began occupying approximately 33,000 square feet in Fremont, California under a lease with a third party. The term of the lease is 63 months. Subject to certain conditions, we have an option to renew the lease for one additional 5-year term at the then-prevailing market rate. We also lease approximately 24,000 square feet in San Jose, California, pursuant to a service agreement with ICL, a related party. The lease for the San Jose facility has a twelve month term that renews automatically on January 1st of each year for a successive twelve-month period, subject to termination by either party upon a six months’ notice. In March 2024, we amended our lease for the San Jose facility to increase our use from 23,000 square feet to 24,000 square feet. If required, we believe that suitable additional or alternative space would be available in the future on commercially reasonable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6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1020"/>
        <w:spacing w:after="0"/>
        <w:rPr>
          <w:sz w:val="20"/>
          <w:szCs w:val="20"/>
          <w:color w:val="auto"/>
        </w:rPr>
      </w:pPr>
      <w:r>
        <w:rPr>
          <w:rFonts w:ascii="Times New Roman" w:cs="Times New Roman" w:eastAsia="Times New Roman" w:hAnsi="Times New Roman"/>
          <w:sz w:val="18"/>
          <w:szCs w:val="18"/>
          <w:color w:val="auto"/>
        </w:rPr>
        <w:t>Our Class A common stock is traded on the Nasdaq Stock Market LLC under the symbol “RANI.”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of directors, subject to applicable laws, and will depend upon, among other factors, our results of operations, financial condition, contractual restrictions, capital requirements general business conditions and other factors that our board of directors may deem relevant. Our future ability to pay cash dividends on our capital stock is limited by the terms of the Loan Agreement and may also be limited by the terms of any future debt or preferred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As of March 26, 2025, we had 122 holders of record of our Class A common stock and 16 holders of record of our Class B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Shares of our Class B common stock are paired with LLC Units of Rani LLC and are held by Continuing LLC Owners. Shares of Class B common stock are not transferable independent of the LLC Units. Upon exchange of the LLC Units for Class A common stock, the corresponding shares of Class B common stock paired with such LLC Units are cancelled.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101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our consolidated financial condition and results of operations should be read in conjunction with, and is qualified in its entirety by reference to, our consolidated financial statements and the related notes and other information included elsewhere in this Annual Report on Form 10-K.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“Special Note Regarding Forward-Looking Statements,” “Risk Factors” and in Part I and elsewhere in this Annual Report on Form 10-K.</w:t>
      </w:r>
    </w:p>
    <w:p>
      <w:pPr>
        <w:spacing w:after="0" w:line="182" w:lineRule="exact"/>
        <w:rPr>
          <w:sz w:val="20"/>
          <w:szCs w:val="20"/>
          <w:color w:val="auto"/>
        </w:rPr>
      </w:pPr>
    </w:p>
    <w:p>
      <w:pPr>
        <w:ind w:right="160" w:firstLine="1018"/>
        <w:spacing w:after="0" w:line="284" w:lineRule="auto"/>
        <w:rPr>
          <w:sz w:val="20"/>
          <w:szCs w:val="20"/>
          <w:color w:val="auto"/>
        </w:rPr>
      </w:pPr>
      <w:r>
        <w:rPr>
          <w:rFonts w:ascii="Times New Roman" w:cs="Times New Roman" w:eastAsia="Times New Roman" w:hAnsi="Times New Roman"/>
          <w:sz w:val="18"/>
          <w:szCs w:val="18"/>
          <w:i w:val="1"/>
          <w:iCs w:val="1"/>
          <w:color w:val="auto"/>
        </w:rPr>
        <w:t>Unless we state otherwise or the context otherwise requires, the terms “we,” “us,” “our,” and “Rani” and similar references refer to Rani Therapeutics Holdings, Inc. and its consolidated subsidiaries.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20" w:firstLine="1018"/>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80"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mid-2025.</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believe, the RaniPill capsule technology could enable us to deliver most biologics currently on the market with convenient, oral dosing.</w:t>
      </w:r>
    </w:p>
    <w:p>
      <w:pPr>
        <w:spacing w:after="0" w:line="225"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18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ind w:right="140" w:firstLine="1018"/>
        <w:spacing w:after="0" w:line="254" w:lineRule="auto"/>
        <w:rPr>
          <w:sz w:val="20"/>
          <w:szCs w:val="20"/>
          <w:color w:val="auto"/>
        </w:rPr>
      </w:pPr>
      <w:r>
        <w:rPr>
          <w:rFonts w:ascii="Times New Roman" w:cs="Times New Roman" w:eastAsia="Times New Roman" w:hAnsi="Times New Roman"/>
          <w:sz w:val="18"/>
          <w:szCs w:val="18"/>
          <w:color w:val="auto"/>
        </w:rPr>
        <w:t>As of December 31, 2024, our cash, cash equivalents and marketable securities totaled $27.6 million. In October 2024, we entered into a securities purchase agreement (the “October Securities Purchase Agreement”) with an institutional investor relating to the issuance and sale of: (i) 3,000,000 shares of our Class A common stock, (ii) pre-funded warrants to purchase 333,333 shares of Class A common stock, and (iii) Series C common warrants, which accompany the Class A common stock and pre-funded warrants, to purchase an aggregate of 3,333,333 shares of Class A common stock (the “October Offering” and collectively with the July Offering, the “Offerings”). The aggregate net proceeds from the October Offering totaled $9.4 million, after deducting placement agent fees and other offering expenses payable by us, and excluding potential proceeds, if any, from the exercise of the pre-funded warrants and Series C common warrants issued in the October Offering. In October 2024, the pre-funded warrants were fully exercised for de minimis proceeds.</w:t>
      </w:r>
    </w:p>
    <w:p>
      <w:pPr>
        <w:spacing w:after="0" w:line="192" w:lineRule="exact"/>
        <w:rPr>
          <w:sz w:val="20"/>
          <w:szCs w:val="20"/>
          <w:color w:val="auto"/>
        </w:rPr>
      </w:pPr>
    </w:p>
    <w:p>
      <w:pPr>
        <w:ind w:right="140" w:firstLine="1018"/>
        <w:spacing w:after="0" w:line="254" w:lineRule="auto"/>
        <w:rPr>
          <w:sz w:val="20"/>
          <w:szCs w:val="20"/>
          <w:color w:val="auto"/>
        </w:rPr>
      </w:pPr>
      <w:r>
        <w:rPr>
          <w:rFonts w:ascii="Times New Roman" w:cs="Times New Roman" w:eastAsia="Times New Roman" w:hAnsi="Times New Roman"/>
          <w:sz w:val="18"/>
          <w:szCs w:val="18"/>
          <w:color w:val="auto"/>
        </w:rPr>
        <w:t>In July 2024, we entered into a securities purchase agreement (the “July Securities Purchase Agreement”) with an institutional investor relating to the issuance and sale of: (i) 2,800,000 shares of its Class A common stock, (ii) pre-funded warrants to purchase 446,753 shares of Class A common stock, (iii) Series A common warrants, which accompany the Class A common stock and pre-funded warrants, to purchase an aggregate of 3,246,753 shares of Class A common stock (the “Series A Warrants”) and (iv) Series B common warrants, which accompany the Class A common stock and pre-funded warrants, to purchase an aggregate of 3,246,753 shares of Class A common stock (the “July Offering”). Pursuant to the October Securities Purchase Agreement, the Series A Warrants were cancelled. The aggregate net proceeds from the July Offering totaled $8.9 million, after deducting placement agent fees and other offering expenses, and excluding potential proceeds, if any, from the exercise of the Series B common warrants issued in the July Offering. In August 2024, the pre-funded warrants were fully exercised for de minimis proceeds.</w:t>
      </w:r>
    </w:p>
    <w:p>
      <w:pPr>
        <w:spacing w:after="0" w:line="192"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the Offerings, our initial public offering in 2021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or other arrangements with other companies, or through other sources of financing.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29" w:lineRule="exact"/>
        <w:rPr>
          <w:sz w:val="20"/>
          <w:szCs w:val="20"/>
          <w:color w:val="auto"/>
        </w:rPr>
      </w:pPr>
    </w:p>
    <w:p>
      <w:pPr>
        <w:jc w:val="both"/>
        <w:ind w:firstLine="1018"/>
        <w:spacing w:after="0" w:line="261" w:lineRule="auto"/>
        <w:rPr>
          <w:sz w:val="20"/>
          <w:szCs w:val="20"/>
          <w:color w:val="auto"/>
        </w:rPr>
      </w:pPr>
      <w:r>
        <w:rPr>
          <w:rFonts w:ascii="Times New Roman" w:cs="Times New Roman" w:eastAsia="Times New Roman" w:hAnsi="Times New Roman"/>
          <w:sz w:val="18"/>
          <w:szCs w:val="18"/>
          <w:color w:val="auto"/>
        </w:rPr>
        <w:t>In June 2024, we entered into a Collaboration Agreement (the “ProGen Collaboration Agreement”) with ProGen Co., Ltd. (“ProGen”). Under the ProGen Collaboration Agreement, the parties will collaborate to manufacture, develop, seek regulatory approvals for and, if approved, commercialize a product (RT-114) combining ProGen’s GLP-1/GLP-2 dual agonist compound, PG-102, and the RaniPill HC oral delivery device (the “Device”) in the field of weight management (including without limitation obesity, weight reduction and weight maintenance) in humans (the “ProGen Collaboration”).</w:t>
      </w:r>
    </w:p>
    <w:p>
      <w:pPr>
        <w:spacing w:after="0" w:line="180"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Under the ProGen Collaboration Agreement, development costs, as well as operating profits and losses from the commercialization of the Product, will be equally shared by us and ProGen. We and ProGen each granted to the other party an exclusive right and license (except with respect to the other party’s affiliates and sublicensees) to certain intellectual property to develop RT-114 for weight management and an exclusive right and license to seek regulatory approval for, and to use, sell, offer to sell, import and commercialize RT-114 in their assigned territories. The parties share responsibility for the development of RT-114 worldwide, with Rani leading such development for preclinical activities through Phase 1 clinical trials. After initiation of the first Phase 2 clinical trial, we will lead development and commercialization of RT-114 in the United States, Canada, Europe (including the United Kingdom) and Australia, and ProGen will lead development and commercialization in all other countries. See “License and Evaluation Agreements – ProGen Co., Ltd.” in the Business section above.</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Data Update</w:t>
      </w:r>
    </w:p>
    <w:p>
      <w:pPr>
        <w:spacing w:after="0" w:line="229"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In March 2025, we announced preclinical data demonstrating bioequivalence of RT-114, PG-102 delivered orally via the RaniPill capsule, to subcutaneously administered PG-102. RT-114 yielded a relative bioavailability of 111% compared to PG-102 delivered subcutaneously with comparable pharmacokinetic profiles. RT-114 was well tolerated with no changes in drug-related safety profile compared to delivery and was excreted without sequelae in all subjects. Average peak weight loss was the same in both groups with greater variability with subcutaneous dosing (6.7% ± 0.5% for RT-114 and 6.7% ± 2.2% for subcutaneous PG-102).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128270</wp:posOffset>
            </wp:positionV>
            <wp:extent cx="3968750" cy="5580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68750" cy="558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80" w:firstLine="1018"/>
        <w:spacing w:after="0" w:line="266" w:lineRule="auto"/>
        <w:rPr>
          <w:sz w:val="20"/>
          <w:szCs w:val="20"/>
          <w:color w:val="auto"/>
        </w:rPr>
      </w:pPr>
      <w:r>
        <w:rPr>
          <w:rFonts w:ascii="Times New Roman" w:cs="Times New Roman" w:eastAsia="Times New Roman" w:hAnsi="Times New Roman"/>
          <w:sz w:val="18"/>
          <w:szCs w:val="18"/>
          <w:color w:val="auto"/>
        </w:rPr>
        <w:t>In February 2025, we announced preclinical data demonstrating successful oral delivery of the glucagon-like peptide-1 receptor (“GLP-1”) agonist semaglutide via the RaniPill HC (“RT-116”). In the study, RT-116 demonstrated comparable bioavailability, pharmacokinetics and weight loss to subcutaneous (“SC”) administration of semaglutide. Further, RT-116 was well tolerated with no serious adverse events.</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2162810</wp:posOffset>
            </wp:positionH>
            <wp:positionV relativeFrom="page">
              <wp:posOffset>774700</wp:posOffset>
            </wp:positionV>
            <wp:extent cx="3865880" cy="5589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6588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firstLine="1018"/>
        <w:spacing w:after="0" w:line="269" w:lineRule="auto"/>
        <w:rPr>
          <w:sz w:val="20"/>
          <w:szCs w:val="20"/>
          <w:color w:val="auto"/>
        </w:rPr>
      </w:pPr>
      <w:r>
        <w:rPr>
          <w:rFonts w:ascii="Times New Roman" w:cs="Times New Roman" w:eastAsia="Times New Roman" w:hAnsi="Times New Roman"/>
          <w:sz w:val="17"/>
          <w:szCs w:val="17"/>
          <w:color w:val="auto"/>
        </w:rPr>
        <w:t>In October 2024, we announced new pharmacokinetic data from a preclinical study evaluating a GLP-1, GIP and glucagon receptors incretin triagonist with a delivery method mimicking the RaniPill route of administration. The preclinical study evaluated the pharmacokinetic (“PK”) and pharmacodynamic (“PD”) profiles of an incretin triagonist (GLP-1, GIP, glucagon receptors) when delivered via an endoscope-guided transenteric administration to mimic the RaniPill route of administration, versus the traditional administration route of subcutaneous injection. The study was conducted in canines separated into two groups. In Group 1 (N=3), 0.12 mg/kg of drug was administered via transenteric delivery by endoscope. In Group 2 (N=5),</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0.12 mg/kg of drug was administered by SC injection. Blood samples were collected over 2 weeks for analysis of serum drug concentrations and various PD and safety biomarkers.</w:t>
      </w:r>
    </w:p>
    <w:p>
      <w:pPr>
        <w:spacing w:after="0" w:line="181"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A single dose of drug delivered via either transenteric or SC routes elicited rapid decreases in body weight and serum lipids. Weight loss observed following transenteric delivery was 9.7 ± 2.5 % versus 6.9 ± 2.1 % following SC injection and is believed to be due to early satiety leading to reduced caloric intake. Additionally, the bioavailability of drug delivered via the transenteric route was comparable to that of drug delivered via the SC route at the same dose. The drug was well tolerated in both groups with no serious adverse events (SAEs) observed or changes in safety markers examined.</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ind w:right="360" w:firstLine="1018"/>
        <w:spacing w:after="0" w:line="287" w:lineRule="auto"/>
        <w:rPr>
          <w:sz w:val="20"/>
          <w:szCs w:val="20"/>
          <w:color w:val="auto"/>
        </w:rPr>
      </w:pPr>
      <w:r>
        <w:rPr>
          <w:rFonts w:ascii="Times New Roman" w:cs="Times New Roman" w:eastAsia="Times New Roman" w:hAnsi="Times New Roman"/>
          <w:sz w:val="18"/>
          <w:szCs w:val="18"/>
          <w:color w:val="auto"/>
        </w:rPr>
        <w:t>Transenteric delivery yielded 80% relative bioavailability versus SC and differences between PK parameters (AUC,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T</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were not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102870</wp:posOffset>
            </wp:positionV>
            <wp:extent cx="4157345" cy="59061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57345" cy="590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RaniPill HC</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continue to develop the RaniPill HC, a high-capacity RaniPill capsule designed to deliver drug payloads up to 200µL.</w:t>
      </w:r>
    </w:p>
    <w:p>
      <w:pPr>
        <w:spacing w:after="0" w:line="225"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In March 2025, we announced preclinical data demonstrating bioequivalence of RT-114, PG-102 delivered orally via the RaniPill HC, to subcutaneously administered PG-102. RT-114 yielded a relative bioavailability of 111% compared to PG-102 delivered subcutaneously with comparable pharmacokinetic profiles and weight loss. The RaniPill capsule was well tolerated with no changes in drug-related safety profile compared to subcutaneous delivery and was excreted without sequelae in all canines. RT-114 achieved a 90% delivery success rate (9 out of 10 canines).</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09" w:name="page110"/>
    <w:bookmarkEnd w:id="109"/>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In February 2025, we announced results from a nonclinical pharmacokinetic and pharmacodynamic study of the GLP-1 agonist semaglutide administered via the RaniPill HC.</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Study Design</w:t>
      </w:r>
    </w:p>
    <w:p>
      <w:pPr>
        <w:spacing w:after="0" w:line="225"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The nonclinical pharmacokinetic and pharmacodynamic study was conducted to examine the effects of semaglutide delivered orally via the RaniPill (RT-116) versus a subcutaneous injection comparator group. The 2x2 crossover study was conducted in two parts with a period of four weeks separating the two groups to evaluate the PK, PD and safety of RT-116. Eight canines were randomized into two groups who received 0.5mg of semaglutide delivered via oral administration of the RaniPill HC (N=4) or subcutaneous injection (N=4). Endpoints included plasma drug concentrations, body weight, food intake, lipid profile, and safety.</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Data Highlights</w:t>
      </w:r>
    </w:p>
    <w:p>
      <w:pPr>
        <w:spacing w:after="0" w:line="225"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Semaglutide was successfully delivered in 7 of 8 canines that received the RaniPill capsule. Semaglutide administered via the RaniPill capsule was well tolerated with no serious adverse events. Cmax, Tmax, and AUC were comparable for semglutide administered via RaniPill capsule and subcutaneous administration of semaglutide. Oral administration via the RaniPill capsule demonstrated bioavailability and biological activity comparable to subcutaneous administration. The relative bioavailability of oral semaglutide was 107% versus subcutaneous administration. Both groups saw comparable weight loss which appeared to be driven by decreased food intake that coincided with rises in plasma drug levels thus indicating there is a PD effect to treatment. Both groups saw comparable moderate decreases in serum triglycerides and cholesterol.</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Next Steps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intend to initiate clinical testing of the RaniPill HC in mid-2025.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60-Day GLP Study</w:t>
      </w:r>
    </w:p>
    <w:p>
      <w:pPr>
        <w:spacing w:after="0" w:line="229" w:lineRule="exact"/>
        <w:rPr>
          <w:sz w:val="20"/>
          <w:szCs w:val="20"/>
          <w:color w:val="auto"/>
        </w:rPr>
      </w:pPr>
    </w:p>
    <w:p>
      <w:pPr>
        <w:ind w:right="240" w:firstLine="1018"/>
        <w:spacing w:after="0" w:line="255" w:lineRule="auto"/>
        <w:rPr>
          <w:sz w:val="20"/>
          <w:szCs w:val="20"/>
          <w:color w:val="auto"/>
        </w:rPr>
      </w:pPr>
      <w:r>
        <w:rPr>
          <w:rFonts w:ascii="Times New Roman" w:cs="Times New Roman" w:eastAsia="Times New Roman" w:hAnsi="Times New Roman"/>
          <w:sz w:val="18"/>
          <w:szCs w:val="18"/>
          <w:color w:val="auto"/>
        </w:rPr>
        <w:t>In October 2023, we announced preclinical data from a 60-day repeat oral administration study of the RaniPill capsule in healthy animals. The preclinical GLP study evaluated the safety and tolerability of the RaniPill drug delivery platform, following 60-day repeat oral administration of the test article, RT-100, in healthy animals. RT-100 is an enteric-coated capsule identical to RT-102, but instead of PTH contained the pharmaceutical excipient mannitol. The control group received a RaniPill capsule (Mock-RP) of similar weight to RT-100 but filled with potato starch. 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in Force</w:t>
      </w:r>
    </w:p>
    <w:p>
      <w:pPr>
        <w:spacing w:after="0" w:line="229" w:lineRule="exact"/>
        <w:rPr>
          <w:sz w:val="20"/>
          <w:szCs w:val="20"/>
          <w:color w:val="auto"/>
        </w:rPr>
      </w:pPr>
    </w:p>
    <w:p>
      <w:pPr>
        <w:jc w:val="both"/>
        <w:ind w:right="80" w:firstLine="1018"/>
        <w:spacing w:after="0" w:line="266" w:lineRule="auto"/>
        <w:rPr>
          <w:sz w:val="20"/>
          <w:szCs w:val="20"/>
          <w:color w:val="auto"/>
        </w:rPr>
      </w:pPr>
      <w:r>
        <w:rPr>
          <w:rFonts w:ascii="Times New Roman" w:cs="Times New Roman" w:eastAsia="Times New Roman" w:hAnsi="Times New Roman"/>
          <w:sz w:val="18"/>
          <w:szCs w:val="18"/>
          <w:color w:val="auto"/>
        </w:rPr>
        <w:t>In November 2023, we committed to a plan for strategic prioritization of our programs, expansion of our manufacturing and streamlining of our business operations to support potential near-term value drivers and long-term growth (the “Restructuring”). The Restructuring included a reduction of our workforce and was substantially completed by the end of the second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Compensation Reduction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November 2023, our Board of Directors (the “Board”) approved a reduction in the annual salary of Talat Imran, our Chief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from $520,000 to $100,000, effective November 1, 2023 through December 31, 2024 or until such time as we receive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or more, in the aggregate, from equity financing and/or one or more non-dilutive strategic, licensing or partnering transactions (the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In November 2024, the Board approved to extend the reduction in annual salary of Talat Imran through December 31, 2025 or until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Threshold is met.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ind w:right="220" w:firstLine="1018"/>
        <w:spacing w:after="0" w:line="266" w:lineRule="auto"/>
        <w:rPr>
          <w:sz w:val="20"/>
          <w:szCs w:val="20"/>
          <w:color w:val="auto"/>
        </w:rPr>
      </w:pPr>
      <w:r>
        <w:rPr>
          <w:rFonts w:ascii="Times New Roman" w:cs="Times New Roman" w:eastAsia="Times New Roman" w:hAnsi="Times New Roman"/>
          <w:sz w:val="18"/>
          <w:szCs w:val="18"/>
          <w:color w:val="auto"/>
        </w:rPr>
        <w:t>In November 2023, Rani LLC and BKM South Bay 240, LLC (“Landlord”) entered into the Standard Industrial/Commercial Multi-Tenant Lease - Net (the “Lease”). Pursuant to the terms of the Lease, we are leasing 33,340 square feet of space in Fremont, California, which is part of a two-building project (the “Project”).</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ind w:firstLine="1018"/>
        <w:spacing w:after="0" w:line="261" w:lineRule="auto"/>
        <w:rPr>
          <w:sz w:val="20"/>
          <w:szCs w:val="20"/>
          <w:color w:val="auto"/>
        </w:rPr>
      </w:pPr>
      <w:r>
        <w:rPr>
          <w:rFonts w:ascii="Times New Roman" w:cs="Times New Roman" w:eastAsia="Times New Roman" w:hAnsi="Times New Roman"/>
          <w:sz w:val="18"/>
          <w:szCs w:val="18"/>
          <w:color w:val="auto"/>
        </w:rPr>
        <w:t>The initial term of the Lease commenced in February 2024, and the duration of the initial term is 63 months. Subject to certain conditions, we have an option to renew the Lease for one additional 5-year term at the then-prevailing market rate. The monthly base rent for the initial term of the Lease is approximately $95,000 per month, subject to a 4% increase each year. We are also responsible for the payment of additional rent to cover our share of common area operating expenses, including taxes, insurance, utilities, and repair and maintenance of the premises and common areas of the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InCube Labs, LLC</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Note 7 to the consolidated financial statements contained in Part II, Item 8 of this Annual Report on Form 10-K for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consolidated financial statements and notes included elsewhere in this Annual Report on Form 10-K. For information with respect to recent accounting pronouncements that are of significance or potential significance to us, see “Note 2. Summary of Significant Accounting Policies” in the “Notes to the Consolidated Financial Statements” contained in Part II, Item 8 of this Annual Report on Form 10-K.</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(32.7 ) %</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(9.6 ) %</w:t>
            </w:r>
          </w:p>
        </w:tc>
      </w:tr>
      <w:tr>
        <w:trPr>
          <w:trHeight w:val="216"/>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558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(17.8 ) %</w:t>
            </w:r>
          </w:p>
        </w:tc>
      </w:tr>
      <w:tr>
        <w:trPr>
          <w:trHeight w:val="209"/>
        </w:trPr>
        <w:tc>
          <w:tcPr>
            <w:tcW w:w="55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(53,314 )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(66,099 )</w:t>
            </w:r>
          </w:p>
        </w:tc>
        <w:tc>
          <w:tcPr>
            <w:tcW w:w="2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(19.3 ) %</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(46.6 ) %</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6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(5,033 )</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(5,085 )</w:t>
            </w:r>
          </w:p>
        </w:tc>
        <w:tc>
          <w:tcPr>
            <w:tcW w:w="2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 %</w:t>
            </w:r>
          </w:p>
        </w:tc>
      </w:tr>
      <w:tr>
        <w:trPr>
          <w:trHeight w:val="20"/>
        </w:trPr>
        <w:tc>
          <w:tcPr>
            <w:tcW w:w="5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(56,584 )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(67,883 )</w:t>
            </w:r>
          </w:p>
        </w:tc>
        <w:tc>
          <w:tcPr>
            <w:tcW w:w="2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(16.6 ) %</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(26,566 )</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(33,913 )</w:t>
            </w:r>
          </w:p>
        </w:tc>
        <w:tc>
          <w:tcPr>
            <w:tcW w:w="2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(21.7 ) %</w:t>
            </w:r>
          </w:p>
        </w:tc>
      </w:tr>
      <w:tr>
        <w:trPr>
          <w:trHeight w:val="20"/>
        </w:trPr>
        <w:tc>
          <w:tcPr>
            <w:tcW w:w="5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2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(30,018 )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(33,970 )</w:t>
            </w:r>
          </w:p>
        </w:tc>
        <w:tc>
          <w:tcPr>
            <w:tcW w:w="2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(11.6 ) %</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-1156970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-1156970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meaningful</w:t>
      </w:r>
    </w:p>
    <w:p>
      <w:pPr>
        <w:spacing w:after="0" w:line="2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27" w:lineRule="exact"/>
        <w:rPr>
          <w:sz w:val="20"/>
          <w:szCs w:val="20"/>
          <w:color w:val="auto"/>
        </w:rPr>
      </w:pPr>
    </w:p>
    <w:p>
      <w:pPr>
        <w:ind w:left="1020" w:right="20" w:firstLine="1018"/>
        <w:spacing w:after="0" w:line="282" w:lineRule="auto"/>
        <w:rPr>
          <w:sz w:val="20"/>
          <w:szCs w:val="20"/>
          <w:color w:val="auto"/>
        </w:rPr>
      </w:pPr>
      <w:r>
        <w:rPr>
          <w:rFonts w:ascii="Times New Roman" w:cs="Times New Roman" w:eastAsia="Times New Roman" w:hAnsi="Times New Roman"/>
          <w:sz w:val="18"/>
          <w:szCs w:val="18"/>
          <w:color w:val="auto"/>
        </w:rPr>
        <w:t>Contract revenue of $1.0 million for the year ended December 31, 2024, was attributable to evaluation services performed for a customer. There was no contract revenue for the same period in 2023.</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reflects our research and development costs by nature of expense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stock-based compensation and related benefits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Facilities, materials and supplies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jc w:val="both"/>
        <w:ind w:right="80" w:firstLine="1018"/>
        <w:spacing w:after="0" w:line="266" w:lineRule="auto"/>
        <w:rPr>
          <w:sz w:val="20"/>
          <w:szCs w:val="20"/>
          <w:color w:val="auto"/>
        </w:rPr>
      </w:pPr>
      <w:r>
        <w:rPr>
          <w:rFonts w:ascii="Times New Roman" w:cs="Times New Roman" w:eastAsia="Times New Roman" w:hAnsi="Times New Roman"/>
          <w:sz w:val="18"/>
          <w:szCs w:val="18"/>
          <w:color w:val="auto"/>
        </w:rPr>
        <w:t>The decrease of $12.9 million in research and development expenses for the year ended December 31, 2024, as compared to the same period in 2023, was primarily attributed to lower compensation costs of $6.3 million due to reduction in workforce, $5.6 million reduction in third-party services and $0.9 million reduction in materials and supplies due to the timing of certain preclinical and clinical studies.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decrease of $2.5 million in general and administrative expenses in the year ended December 31, 2024, as compared to the same period in 2023, was primarily attributed to lower compensation costs of $2.0 million due to reduction in workforce, $1.2 million reduction in third-party services and other costs primarily due to lower insurance premiums, offset by an increase in facility costs of $0.7 million due to the lease in Fremont, California.</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Impairment Loss</w:t>
      </w:r>
    </w:p>
    <w:p>
      <w:pPr>
        <w:spacing w:after="0" w:line="227"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The impairment loss of $3.7 million was attributable to construction-in-progress property and equipment. Rani considers many factors in evaluating whether the value of its construction-in-progress property and equipment may not be recoverable, including, but not limited to, alternative use, cost-savings and strategic considerations. As a result, it was determined that the carrying amount of the construction-in-progress property and equipment exceeded its fair value and was written down to its salvage value. There was no impairment loss for the same period in 2023.</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The decrease of $1.5 million in interest income and other, net, in the year ended December 31, 2024, as compared to the same period in 2023, was primarily attributed to a decrease in interest income from our investment in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We have incurred recurring losses and negative cash flows from operations since inception, including net loss of $56.6 million for the year ended December 31, 2024. As of December 31, 2024, we had an accumulated deficit of $102.9 million and for the year ended December 31, 2024, had negative cash flows from operations of $35.5 million. As of December 31, 2024, our cash, cash equivalents and marketable securities totaled $27.6 million. 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our IPO and term loans we received under the Loan Agreement and the Offerings, will not be sufficient to enable us to initiate any pivotal clinical trials. Based on our available cash resources and current operating plan, there is substantial doubt regarding our ability to continue as a going concern for a period of one year after the date that our financial statements for the year ended December 31, 2024 are issued. 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Update</w:t>
      </w:r>
    </w:p>
    <w:p>
      <w:pPr>
        <w:spacing w:after="0" w:line="229"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In October 2024, we entered into the October Securities Purchase Agreement with an institutional investor relating to the October Offering. The aggregate net proceeds from the October Offering totaled $9.4 million, after deducting placement agent fees and other offering expenses payable by us, and excluding potential proceeds, if any, from the exercise of the Series C common warrants issued in the October Offering. Pursuant to the October Offering, the Series A Warrants were cancelled. In October 2024, the pre-funded warrants were fully exercised for de minimis proceeds.</w:t>
      </w:r>
    </w:p>
    <w:p>
      <w:pPr>
        <w:spacing w:after="0" w:line="180" w:lineRule="exact"/>
        <w:rPr>
          <w:sz w:val="20"/>
          <w:szCs w:val="20"/>
          <w:color w:val="auto"/>
        </w:rPr>
      </w:pPr>
    </w:p>
    <w:p>
      <w:pPr>
        <w:ind w:right="260" w:firstLine="1018"/>
        <w:spacing w:after="0" w:line="261" w:lineRule="auto"/>
        <w:rPr>
          <w:sz w:val="20"/>
          <w:szCs w:val="20"/>
          <w:color w:val="auto"/>
        </w:rPr>
      </w:pPr>
      <w:r>
        <w:rPr>
          <w:rFonts w:ascii="Times New Roman" w:cs="Times New Roman" w:eastAsia="Times New Roman" w:hAnsi="Times New Roman"/>
          <w:sz w:val="18"/>
          <w:szCs w:val="18"/>
          <w:color w:val="auto"/>
        </w:rPr>
        <w:t>In July 2024, we entered into the July Securities Purchase Agreement with an institutional investor relating to the July Offering. The aggregate net proceeds from the July Offering totaled $8.9 million, after deducting placement agent fees and other offering expenses, and excluding potential proceeds, if any, from the exercise of the Series B common warrants issued in the July Offering. In August 2024, the pre-funded warrants were fully exercised for de minimis proceeds.</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2" w:name="page113"/>
    <w:bookmarkEnd w:id="112"/>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In August 2022, we entered into the Loan Agreement with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Loan Agreement also contains various covenants and restrictive provisions. There have been no material adverse events in connection with the Loan Agreement and the substantial doubt regarding our ability to continue as a going concern does not currently constitute a material adverse event under the terms of the Loan Agreement. The Loan principal is repayable in equal monthly installments which began in September 2024. As of December 31, 2024, we were in compliance with all applicable debt covenants under the Loan Agreement.</w:t>
      </w:r>
    </w:p>
    <w:p>
      <w:pPr>
        <w:spacing w:after="0" w:line="192"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In addition, in August 2022, we entered into a Controlled EquitySM Sales Agreement (the “Sales Agreement”) with Cantor Fitzgerald &amp; Co. and H.C. Wainwright &amp; Co., LLC (collectively, the “Agents”), pursuant to which we may offer and sell from time to time through the Agents up to $150.0 million of shares of our Class A common stock, in such share amounts as we may specify by notice to the Agents, in accordance with the terms and conditions set forth in the Sales Agreement (“ATM Sales”). The potential proceeds from the Sales Agreement are expected to be used for general corporate purposes. As of December 31, 2024, we had not delivered any placement notices to either of the Agents and there had been no ATM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Notwithstanding the sharing of development costs for the RT-114 program under the ProGen Agreement, our existing capital resources, including the net proceeds from our IPO, the Loans and the Offerings, will not be sufficient to enable us to initiate any pivotal clinical trials with respect to any of our product candidates.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technology and to commercialize any of our product candidates.</w:t>
      </w:r>
    </w:p>
    <w:p>
      <w:pPr>
        <w:spacing w:after="0" w:line="183" w:lineRule="exact"/>
        <w:rPr>
          <w:sz w:val="20"/>
          <w:szCs w:val="20"/>
          <w:color w:val="auto"/>
        </w:rPr>
      </w:pPr>
    </w:p>
    <w:p>
      <w:pPr>
        <w:ind w:right="120" w:firstLine="1018"/>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technology and our product candidates.</w:t>
      </w:r>
    </w:p>
    <w:p>
      <w:pPr>
        <w:spacing w:after="0" w:line="187"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183" w:lineRule="exact"/>
        <w:rPr>
          <w:sz w:val="20"/>
          <w:szCs w:val="20"/>
          <w:color w:val="auto"/>
        </w:rPr>
      </w:pPr>
    </w:p>
    <w:p>
      <w:pPr>
        <w:ind w:left="1540" w:hanging="514"/>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preclinical studies and clinical trials;</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research pipeline;</w:t>
      </w:r>
    </w:p>
    <w:p>
      <w:pPr>
        <w:spacing w:after="0" w:line="225" w:lineRule="exact"/>
        <w:rPr>
          <w:rFonts w:ascii="Times New Roman" w:cs="Times New Roman" w:eastAsia="Times New Roman" w:hAnsi="Times New Roman"/>
          <w:sz w:val="18"/>
          <w:szCs w:val="18"/>
          <w:color w:val="auto"/>
        </w:rPr>
      </w:pPr>
    </w:p>
    <w:p>
      <w:pPr>
        <w:ind w:left="1540" w:right="220" w:hanging="514"/>
        <w:spacing w:after="0" w:line="266" w:lineRule="auto"/>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technology for various indications;</w:t>
      </w:r>
    </w:p>
    <w:p>
      <w:pPr>
        <w:spacing w:after="0" w:line="17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the RaniPill capsules;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3" w:name="page114"/>
    <w:bookmarkEnd w:id="113"/>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225" w:lineRule="exact"/>
        <w:rPr>
          <w:rFonts w:ascii="Times New Roman" w:cs="Times New Roman" w:eastAsia="Times New Roman" w:hAnsi="Times New Roman"/>
          <w:sz w:val="18"/>
          <w:szCs w:val="18"/>
          <w:color w:val="auto"/>
        </w:rPr>
      </w:pPr>
    </w:p>
    <w:p>
      <w:pPr>
        <w:ind w:left="1540" w:right="80" w:hanging="514"/>
        <w:spacing w:after="0" w:line="282"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including establishing commercial supplies and sales, marketing, and distribution capabilities;</w:t>
      </w:r>
    </w:p>
    <w:p>
      <w:pPr>
        <w:spacing w:after="0" w:line="16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commercial infrastructure;</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225" w:lineRule="exact"/>
        <w:rPr>
          <w:rFonts w:ascii="Times New Roman" w:cs="Times New Roman" w:eastAsia="Times New Roman" w:hAnsi="Times New Roman"/>
          <w:sz w:val="18"/>
          <w:szCs w:val="18"/>
          <w:color w:val="auto"/>
        </w:rPr>
      </w:pPr>
    </w:p>
    <w:p>
      <w:pPr>
        <w:ind w:left="1540" w:right="300" w:hanging="514"/>
        <w:spacing w:after="0" w:line="266"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engineering personnel;</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drugs and product candidates and other market developments;</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 if approved;</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data losses or other disruptions affecting our information systems;</w:t>
      </w:r>
    </w:p>
    <w:p>
      <w:pPr>
        <w:spacing w:after="0" w:line="22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may implement; and</w:t>
      </w:r>
    </w:p>
    <w:p>
      <w:pPr>
        <w:spacing w:after="0" w:line="225" w:lineRule="exact"/>
        <w:rPr>
          <w:rFonts w:ascii="Times New Roman" w:cs="Times New Roman" w:eastAsia="Times New Roman" w:hAnsi="Times New Roman"/>
          <w:sz w:val="18"/>
          <w:szCs w:val="18"/>
          <w:color w:val="auto"/>
        </w:rPr>
      </w:pPr>
    </w:p>
    <w:p>
      <w:pPr>
        <w:ind w:left="1540" w:right="80" w:hanging="514"/>
        <w:spacing w:after="0" w:line="282"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w:t>
      </w:r>
    </w:p>
    <w:p>
      <w:pPr>
        <w:spacing w:after="0" w:line="162" w:lineRule="exact"/>
        <w:rPr>
          <w:sz w:val="20"/>
          <w:szCs w:val="20"/>
          <w:color w:val="auto"/>
        </w:rPr>
      </w:pPr>
    </w:p>
    <w:p>
      <w:pPr>
        <w:ind w:right="80" w:firstLine="1018"/>
        <w:spacing w:after="0" w:line="253" w:lineRule="auto"/>
        <w:rPr>
          <w:sz w:val="20"/>
          <w:szCs w:val="20"/>
          <w:color w:val="auto"/>
        </w:rPr>
      </w:pPr>
      <w:r>
        <w:rPr>
          <w:rFonts w:ascii="Times New Roman" w:cs="Times New Roman" w:eastAsia="Times New Roman" w:hAnsi="Times New Roman"/>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Furthermore, this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marketable securities:</w:t>
      </w:r>
    </w:p>
    <w:p>
      <w:pPr>
        <w:spacing w:after="0" w:line="327"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tcPr>
          <w:p>
            <w:pPr>
              <w:spacing w:after="0"/>
              <w:rPr>
                <w:sz w:val="18"/>
                <w:szCs w:val="18"/>
                <w:color w:val="auto"/>
              </w:rPr>
            </w:pPr>
          </w:p>
        </w:tc>
      </w:tr>
      <w:tr>
        <w:trPr>
          <w:trHeight w:val="250"/>
        </w:trPr>
        <w:tc>
          <w:tcPr>
            <w:tcW w:w="6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and marketable securities of $27.6 million, compared to $48.5 million as of December 31, 2023. Based on our available cash resources and current operating plan, there is substantial doubt regarding our ability to continue as a going concern for a period of one year after the date that our financial statements for the year ended December 31, 2024 are issued. Our existing capital resources, including the net proceeds from our IPO, Loans and the Offerings, will not be sufficient to fund our projected operating requirements for a twelve-month period from the issuance of our financial statements.</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5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(35,496 )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(51,236 )</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29,860</w:t>
            </w:r>
          </w:p>
        </w:tc>
        <w:tc>
          <w:tcPr>
            <w:tcW w:w="100" w:type="dxa"/>
            <w:vAlign w:val="bottom"/>
          </w:tcPr>
          <w:p>
            <w:pPr>
              <w:spacing w:after="0"/>
              <w:rPr>
                <w:sz w:val="18"/>
                <w:szCs w:val="18"/>
                <w:color w:val="auto"/>
              </w:rPr>
            </w:pP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(21,143 )</w:t>
            </w:r>
          </w:p>
        </w:tc>
      </w:tr>
      <w:tr>
        <w:trPr>
          <w:trHeight w:val="20"/>
        </w:trPr>
        <w:tc>
          <w:tcPr>
            <w:tcW w:w="6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-170815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$35.5 million, which was primarily attributable to a net loss of $56.6 million and net accretion and amortization of investments in marketable securities of $1.2 million, partially offset by stock-based compensation expense of $16.0 million, impairment loss of $3.7 million, and depreciation and amortization expense of $1.0 million. Additionally, there was an increase in accounts receivable of $0.4 million, an increase in accounts payable of $0.7 million, and an increase in accrued expenses and other current liabilities of $0.4 million and a decrease of $0.6 million in prepaid expenses and other current assets for the year ended December 31, 2024.</w:t>
      </w:r>
    </w:p>
    <w:p>
      <w:pPr>
        <w:spacing w:after="0" w:line="183"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$51.2 million, which was primarily attributable to a net loss of $67.9 million and net accretion and amortization of investments in marketable securities of $2.3 million, partially offset by the stock-based compensation expense of $19.0 million and depreciation and amortization expense of $0.8 million Additionally, there was a combined decrease in accounts payable and accrued expenses and other current liabilities of $1.1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460" w:firstLine="10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provided by investing activities was $19.8 million, which primarily consisted of $77.6 million in proceeds from maturities of marketable securities partially offset by $57.5 million in purchases of marketable securities and $0.3 million in purchases of property and equipment, respectively.</w:t>
      </w:r>
    </w:p>
    <w:p>
      <w:pPr>
        <w:spacing w:after="0" w:line="17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provided by investing activities was $29.9 million consisting of $104.4 million in proceeds from maturities of marketable securities partially offset by $73.3 million and $1.2 million in purchases of marketable securities and property and equipment,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80" w:firstLine="101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$13.6 million, which primarily consisted of net proceeds of $9.4 million from the October Offering, net proceeds of $8.9 million from the July Offering, and $0.3 million from the issuance of common stock under employee stock purchase plan, partially offset by $5.0 million repayment of debt.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year ended December 31, 2023, there were no significant financing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December 31, 2024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2"/>
                <w:szCs w:val="12"/>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12"/>
                <w:szCs w:val="12"/>
                <w:color w:val="auto"/>
              </w:rPr>
              <w:t>(1)</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54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12"/>
                <w:szCs w:val="12"/>
                <w:color w:val="auto"/>
              </w:rPr>
              <w:t>(2)</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Borders>
              <w:bottom w:val="single" w:sz="8" w:color="CFF0FC"/>
            </w:tcBorders>
          </w:tcPr>
          <w:p>
            <w:pPr>
              <w:spacing w:after="0"/>
              <w:rPr>
                <w:sz w:val="18"/>
                <w:szCs w:val="18"/>
                <w:color w:val="auto"/>
              </w:rPr>
            </w:pPr>
          </w:p>
        </w:tc>
      </w:tr>
      <w:tr>
        <w:trPr>
          <w:trHeight w:val="250"/>
        </w:trPr>
        <w:tc>
          <w:tcPr>
            <w:tcW w:w="4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right="20" w:firstLine="8"/>
        <w:spacing w:after="0" w:line="282"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operating lease payments. See Note 8 to the consolidated financial statements contained in Part II, Item 8 of this Annual Report on Form 10-K for additional information.</w:t>
      </w:r>
    </w:p>
    <w:p>
      <w:pPr>
        <w:spacing w:after="0" w:line="161" w:lineRule="exact"/>
        <w:rPr>
          <w:rFonts w:ascii="Times New Roman" w:cs="Times New Roman" w:eastAsia="Times New Roman" w:hAnsi="Times New Roman"/>
          <w:sz w:val="18"/>
          <w:szCs w:val="18"/>
          <w:color w:val="auto"/>
        </w:rPr>
      </w:pPr>
    </w:p>
    <w:p>
      <w:pPr>
        <w:ind w:right="380" w:firstLine="8"/>
        <w:spacing w:after="0" w:line="282"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long-term debt principal maturities and final payment equal to 5.5% of aggregate amount funded, excluding interest. See Note 13 to the consolidated financial statements contained in Part II, Item 8 of this Annual Report on Form 10-K for additional information.</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5" w:name="page116"/>
    <w:bookmarkEnd w:id="115"/>
    <w:p>
      <w:pPr>
        <w:ind w:firstLine="1018"/>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40" w:firstLine="101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We base our estimates on our own historical experience and other assumptions that we believe are reasonable after taking account of our circumstances and expectations for the future based on available information. To the extent that there are material differences between these estimates and actual results, our financial condition or results of operations would be affected.</w:t>
      </w:r>
    </w:p>
    <w:p>
      <w:pPr>
        <w:spacing w:after="0" w:line="187"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to the consolidated financial statements contained in Part II, Item 8 of this Annual Report on Form 10-K. We believe the following discussion addresses our most critical accounting estimates used in the preparation of our consolidated financial statements, which require subjective and complex judgments.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We review the carrying amounts of our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w:t>
      </w:r>
    </w:p>
    <w:p>
      <w:pPr>
        <w:spacing w:after="0" w:line="183"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As of December 31, 2024, we assessed the recoverability of the long-lived assets relating to construction-in-progress property and equipment. We considered many factors in evaluating whether the value of its construction-in-progress property and equipment may not be recoverable, including, but not limited to, alternative use, cost-savings and strategic considerations. As a result, we determined the carrying amount of the construction-in-progress property and equipment exceeded its fair value, and was written down to its salvage value. Therefore, an impairment loss of $3.7 million was recognized as of December 31, 2024, related to construction-in-progress property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Note 2 to the consolidated financial statements contained in Part II, Item 8 of this Annual Report on Form 10-K for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JOBS Act Accounting Election</w:t>
      </w:r>
    </w:p>
    <w:p>
      <w:pPr>
        <w:spacing w:after="0" w:line="227"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ind w:left="10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 (1) December 31, 2026 (the last day of the fiscal year following the fifth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our initial public offering), (2) the last day of the fiscal year in which we have total annual gross revenue of at least $1.235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(3) the last day of the fiscal year in which we are deemed to be a “large accelerated filer” as defined in Rule 12b-2 under the Securities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1934, as amended (the “Exchange Act”), which would occur if the market value of our Class A common stock held by non-affiliates exceeded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million as of the last business day of the second fiscal quarter of such year or (4) the date on which we have issued more than $1.0 billion in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debt securities during the prior three-year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238"/>
        </w:trPr>
        <w:tc>
          <w:tcPr>
            <w:tcW w:w="90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240" w:type="dxa"/>
            <w:vAlign w:val="bottom"/>
          </w:tcPr>
          <w:p>
            <w:pPr>
              <w:spacing w:after="0"/>
              <w:rPr>
                <w:sz w:val="20"/>
                <w:szCs w:val="20"/>
                <w:color w:val="auto"/>
              </w:rPr>
            </w:pPr>
          </w:p>
        </w:tc>
      </w:tr>
      <w:tr>
        <w:trPr>
          <w:trHeight w:val="432"/>
        </w:trPr>
        <w:tc>
          <w:tcPr>
            <w:tcW w:w="90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240" w:type="dxa"/>
            <w:vAlign w:val="bottom"/>
          </w:tcPr>
          <w:p>
            <w:pPr>
              <w:spacing w:after="0"/>
              <w:rPr>
                <w:sz w:val="24"/>
                <w:szCs w:val="24"/>
                <w:color w:val="auto"/>
              </w:rPr>
            </w:pPr>
          </w:p>
        </w:tc>
      </w:tr>
      <w:tr>
        <w:trPr>
          <w:trHeight w:val="418"/>
        </w:trPr>
        <w:tc>
          <w:tcPr>
            <w:tcW w:w="9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Marcum LLP, Independent Registered Public Accounting Firm </w:t>
            </w:r>
            <w:r>
              <w:rPr>
                <w:rFonts w:ascii="Times New Roman" w:cs="Times New Roman" w:eastAsia="Times New Roman" w:hAnsi="Times New Roman"/>
                <w:sz w:val="18"/>
                <w:szCs w:val="18"/>
                <w:color w:val="000000"/>
              </w:rPr>
              <w:t>(PCAOB ID:688)</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2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00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 xml:space="preserve">Report of Ernst &amp; Young LLP, Independent Registered Public Accounting Firm </w:t>
            </w:r>
            <w:r>
              <w:rPr>
                <w:rFonts w:ascii="Times New Roman" w:cs="Times New Roman" w:eastAsia="Times New Roman" w:hAnsi="Times New Roman"/>
                <w:sz w:val="18"/>
                <w:szCs w:val="18"/>
                <w:color w:val="000000"/>
              </w:rPr>
              <w:t>(PCAOB ID:42)</w:t>
            </w:r>
          </w:p>
        </w:tc>
        <w:tc>
          <w:tcPr>
            <w:tcW w:w="2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5800" w:type="dxa"/>
            <w:vAlign w:val="bottom"/>
            <w:tcBorders>
              <w:top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320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28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7"/>
                <w:szCs w:val="17"/>
                <w:color w:val="auto"/>
              </w:rPr>
            </w:pPr>
          </w:p>
        </w:tc>
        <w:tc>
          <w:tcPr>
            <w:tcW w:w="6140" w:type="dxa"/>
            <w:vAlign w:val="bottom"/>
            <w:gridSpan w:val="8"/>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356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7"/>
                <w:szCs w:val="17"/>
                <w:color w:val="auto"/>
              </w:rPr>
            </w:pPr>
          </w:p>
        </w:tc>
        <w:tc>
          <w:tcPr>
            <w:tcW w:w="5420" w:type="dxa"/>
            <w:vAlign w:val="bottom"/>
            <w:gridSpan w:val="4"/>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44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4580" w:type="dxa"/>
            <w:vAlign w:val="bottom"/>
            <w:gridSpan w:val="3"/>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290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00" w:type="dxa"/>
            <w:vAlign w:val="bottom"/>
            <w:gridSpan w:val="7"/>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900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561"/>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763"/>
        </w:trPr>
        <w:tc>
          <w:tcPr>
            <w:tcW w:w="2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Report of Marcum LLP,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Rani Therapeutics Holdings, Inc. (the “Company”) as of December 31, 2024, the related consolidated statements of operations, comprehensive loss, changes in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incurred recurring losses from operations, negative cash flows from operating activities,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9" w:name="page120"/>
    <w:bookmarkEnd w:id="119"/>
    <w:p>
      <w:pPr>
        <w:ind w:left="2540"/>
        <w:spacing w:after="0"/>
        <w:rPr>
          <w:sz w:val="20"/>
          <w:szCs w:val="20"/>
          <w:color w:val="auto"/>
        </w:rPr>
      </w:pPr>
      <w:r>
        <w:rPr>
          <w:rFonts w:ascii="Times New Roman" w:cs="Times New Roman" w:eastAsia="Times New Roman" w:hAnsi="Times New Roman"/>
          <w:sz w:val="18"/>
          <w:szCs w:val="18"/>
          <w:b w:val="1"/>
          <w:bCs w:val="1"/>
          <w:color w:val="auto"/>
        </w:rPr>
        <w:t>Report of Ernst &amp; Young LLP,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Rani Therapeutics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Rani Therapeutics Holdings, Inc. (the Company) as of December 31, 2023, the related consolidated statement of operations, comprehensive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 in conformity with U.S. generally accepted accounting principles.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negative cash flows from operating activities,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 in accordance with the standards of the PCAOB.</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2019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2024</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33,430 and 26,036 issued and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23,972 and 24,116 issued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(102,907 )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(72,889 )</w:t>
            </w: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-3805555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-3788410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-2956560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-2390775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loss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100" w:type="dxa"/>
            <w:vAlign w:val="bottom"/>
            <w:tcBorders>
              <w:top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(53,314 )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(66,099 )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(5,033 )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(5,085 )</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(56,584 )</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(67,883 )</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(26,566 )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(33,913 )</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(30,018 )</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(33,970 )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7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 basic and diluted</w:t>
            </w:r>
          </w:p>
        </w:tc>
        <w:tc>
          <w:tcPr>
            <w:tcW w:w="960" w:type="dxa"/>
            <w:vAlign w:val="bottom"/>
          </w:tcPr>
          <w:p>
            <w:pPr>
              <w:jc w:val="right"/>
              <w:ind w:right="7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(1.05 )</w:t>
            </w:r>
          </w:p>
        </w:tc>
        <w:tc>
          <w:tcPr>
            <w:tcW w:w="960" w:type="dxa"/>
            <w:vAlign w:val="bottom"/>
          </w:tcPr>
          <w:p>
            <w:pPr>
              <w:jc w:val="right"/>
              <w:ind w:right="7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(1.33 )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28,476</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25,505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-1482725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-1482725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(56,584 )</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(67,883 )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(56,551 )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(67,762 )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w w:val="99"/>
              </w:rPr>
              <w:t>(26,550 )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99"/>
              </w:rPr>
              <w:t>(33,852 )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Rani Therapeutics Holdings, Inc.</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(30,001 )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(33,910 )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3" w:name="page124"/>
    <w:bookmarkEnd w:id="123"/>
    <w:p>
      <w:pPr>
        <w:jc w:val="center"/>
        <w:ind w:left="340" w:right="2320"/>
        <w:spacing w:after="0" w:line="278" w:lineRule="auto"/>
        <w:rPr>
          <w:sz w:val="20"/>
          <w:szCs w:val="20"/>
          <w:color w:val="auto"/>
        </w:rPr>
      </w:pPr>
      <w:r>
        <w:rPr>
          <w:rFonts w:ascii="Times New Roman" w:cs="Times New Roman" w:eastAsia="Times New Roman" w:hAnsi="Times New Roman"/>
          <w:sz w:val="18"/>
          <w:szCs w:val="18"/>
          <w:b w:val="1"/>
          <w:bCs w:val="1"/>
          <w:color w:val="auto"/>
        </w:rPr>
        <w:t>RANI THERAPEUTICS HOLDINGS, INC. CONSOLIDATED STATEMENTS OF CHANGES IN STOCKHOLDERS’ EQUITY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14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220" w:type="dxa"/>
            <w:vAlign w:val="bottom"/>
          </w:tcPr>
          <w:p>
            <w:pPr>
              <w:spacing w:after="0"/>
              <w:rPr>
                <w:sz w:val="13"/>
                <w:szCs w:val="13"/>
                <w:color w:val="auto"/>
              </w:rPr>
            </w:pPr>
          </w:p>
        </w:tc>
        <w:tc>
          <w:tcPr>
            <w:tcW w:w="148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92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1"/>
                <w:szCs w:val="11"/>
                <w:color w:val="auto"/>
              </w:rPr>
            </w:pPr>
          </w:p>
        </w:tc>
        <w:tc>
          <w:tcPr>
            <w:tcW w:w="7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11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7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7"/>
              </w:rPr>
              <w:t>d Deficit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at December 31, 2022</w:t>
            </w: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25,295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w:t>
            </w:r>
          </w:p>
        </w:tc>
        <w:tc>
          <w:tcPr>
            <w:tcW w:w="9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24,116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w:t>
            </w:r>
          </w:p>
        </w:tc>
        <w:tc>
          <w:tcPr>
            <w:tcW w:w="3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75,842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(73 )</w:t>
            </w:r>
          </w:p>
        </w:tc>
        <w:tc>
          <w:tcPr>
            <w:tcW w:w="1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(38,919 )</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37,149</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74,004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Issuance of common stock under employee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equity plans, net of shares withheld for tax</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(162 )</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(162 )</w:t>
            </w: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Issuance of common stock under employee</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 purchase plan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Effect of exchanges of Paired Interests and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non-corresponding Class A Units of Rani</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Non-controlling interest adjustment for</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changes in proportionate ownership in Rani</w:t>
            </w: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(181 )</w:t>
            </w:r>
          </w:p>
        </w:tc>
        <w:tc>
          <w:tcPr>
            <w:tcW w:w="1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Forfeiture of restricted stock awards</w:t>
            </w:r>
          </w:p>
        </w:tc>
        <w:tc>
          <w:tcPr>
            <w:tcW w:w="9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(2 )</w:t>
            </w:r>
          </w:p>
        </w:tc>
        <w:tc>
          <w:tcPr>
            <w:tcW w:w="20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(6 )</w:t>
            </w:r>
          </w:p>
        </w:tc>
        <w:tc>
          <w:tcPr>
            <w:tcW w:w="18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(6 )</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(12 )</w:t>
            </w: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6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9,552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9,468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19,020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(33,970 )</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(33,913 )</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(67,883 )</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7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60</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at December 31, 2023</w:t>
            </w: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26,036</w:t>
            </w:r>
          </w:p>
        </w:tc>
        <w:tc>
          <w:tcPr>
            <w:tcW w:w="22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w:t>
            </w:r>
          </w:p>
        </w:tc>
        <w:tc>
          <w:tcPr>
            <w:tcW w:w="9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24,116</w:t>
            </w:r>
          </w:p>
        </w:tc>
        <w:tc>
          <w:tcPr>
            <w:tcW w:w="220" w:type="dxa"/>
            <w:vAlign w:val="bottom"/>
          </w:tcPr>
          <w:p>
            <w:pPr>
              <w:spacing w:after="0"/>
              <w:rPr>
                <w:sz w:val="13"/>
                <w:szCs w:val="13"/>
                <w:color w:val="auto"/>
              </w:rPr>
            </w:pPr>
          </w:p>
        </w:tc>
        <w:tc>
          <w:tcPr>
            <w:tcW w:w="220" w:type="dxa"/>
            <w:vAlign w:val="bottom"/>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w:t>
            </w:r>
          </w:p>
        </w:tc>
        <w:tc>
          <w:tcPr>
            <w:tcW w:w="3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85,762</w:t>
            </w:r>
          </w:p>
        </w:tc>
        <w:tc>
          <w:tcPr>
            <w:tcW w:w="22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(12 )</w:t>
            </w:r>
          </w:p>
        </w:tc>
        <w:tc>
          <w:tcPr>
            <w:tcW w:w="1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(72,889 )</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12,577</w:t>
            </w:r>
          </w:p>
        </w:tc>
        <w:tc>
          <w:tcPr>
            <w:tcW w:w="200" w:type="dxa"/>
            <w:vAlign w:val="bottom"/>
          </w:tcPr>
          <w:p>
            <w:pPr>
              <w:spacing w:after="0"/>
              <w:rPr>
                <w:sz w:val="13"/>
                <w:szCs w:val="13"/>
                <w:color w:val="auto"/>
              </w:rPr>
            </w:pPr>
          </w:p>
        </w:tc>
        <w:tc>
          <w:tcPr>
            <w:tcW w:w="1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25,443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9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the October Securities Purchase Agreement,</w:t>
            </w: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of issuance costs of $621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9,379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Exercise of pre-funded warrants issued in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connection with the October Securities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Agreement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Issuance of common stock in connection with</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the July Securities Purchase Agreement, net</w:t>
            </w: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of issuance costs of $1,117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8,883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Exercise of pre-funded warrants issued in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connection with the July Securities Purchase</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Agreement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Issuance of common stock under employee</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equity plans, net of shares withheld for tax</w:t>
            </w: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Issuance of common stock under employee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Effect of exchanges of Paired Interests and</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non-corresponding Class A Units of Rani</w:t>
            </w: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(144 )</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Non-controlling interest adjustment for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changes in proportionate ownership in Rani</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(7,980 )</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6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8,537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7,494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16,031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(30,018 )</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(26,566 )</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(56,584 )</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7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Balance at December 31, 2024</w:t>
            </w: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33,430</w:t>
            </w:r>
          </w:p>
        </w:tc>
        <w:tc>
          <w:tcPr>
            <w:tcW w:w="220" w:type="dxa"/>
            <w:vAlign w:val="bottom"/>
          </w:tcPr>
          <w:p>
            <w:pPr>
              <w:spacing w:after="0"/>
              <w:rPr>
                <w:sz w:val="13"/>
                <w:szCs w:val="13"/>
                <w:color w:val="auto"/>
              </w:rPr>
            </w:pPr>
          </w:p>
        </w:tc>
        <w:tc>
          <w:tcPr>
            <w:tcW w:w="2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w:t>
            </w:r>
          </w:p>
        </w:tc>
        <w:tc>
          <w:tcPr>
            <w:tcW w:w="9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23,972</w:t>
            </w:r>
          </w:p>
        </w:tc>
        <w:tc>
          <w:tcPr>
            <w:tcW w:w="220" w:type="dxa"/>
            <w:vAlign w:val="bottom"/>
          </w:tcPr>
          <w:p>
            <w:pPr>
              <w:spacing w:after="0"/>
              <w:rPr>
                <w:sz w:val="13"/>
                <w:szCs w:val="13"/>
                <w:color w:val="auto"/>
              </w:rPr>
            </w:pPr>
          </w:p>
        </w:tc>
        <w:tc>
          <w:tcPr>
            <w:tcW w:w="220" w:type="dxa"/>
            <w:vAlign w:val="bottom"/>
          </w:tcPr>
          <w:p>
            <w:pPr>
              <w:jc w:val="right"/>
              <w:ind w:right="47"/>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w:t>
            </w:r>
          </w:p>
        </w:tc>
        <w:tc>
          <w:tcPr>
            <w:tcW w:w="3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104,889</w:t>
            </w:r>
          </w:p>
        </w:tc>
        <w:tc>
          <w:tcPr>
            <w:tcW w:w="22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1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(102,907 )</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1,501</w:t>
            </w:r>
          </w:p>
        </w:tc>
        <w:tc>
          <w:tcPr>
            <w:tcW w:w="200" w:type="dxa"/>
            <w:vAlign w:val="bottom"/>
          </w:tcPr>
          <w:p>
            <w:pPr>
              <w:spacing w:after="0"/>
              <w:rPr>
                <w:sz w:val="13"/>
                <w:szCs w:val="13"/>
                <w:color w:val="auto"/>
              </w:rPr>
            </w:pPr>
          </w:p>
        </w:tc>
        <w:tc>
          <w:tcPr>
            <w:tcW w:w="1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3,493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-2948305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-2948305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-2948305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-2948305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-2948305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-2948305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-2948305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-2948305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-136525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-136525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-136525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-136525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-136525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-136525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-136525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(56,584 )</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(67,883 )</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accretion and amortization of investments in marketable securities</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(1,247 )</w:t>
            </w:r>
          </w:p>
        </w:tc>
        <w:tc>
          <w:tcPr>
            <w:tcW w:w="9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(2,316 )</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Impairment loss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Contract asset</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(428 )</w:t>
            </w:r>
          </w:p>
        </w:tc>
        <w:tc>
          <w:tcPr>
            <w:tcW w:w="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assets</w:t>
            </w:r>
          </w:p>
        </w:tc>
        <w:tc>
          <w:tcPr>
            <w:tcW w:w="9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(245 )</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(595 )</w:t>
            </w: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(540 )</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(1,808 )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(1,042 )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(35,496 )</w:t>
            </w:r>
          </w:p>
        </w:tc>
        <w:tc>
          <w:tcPr>
            <w:tcW w:w="9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(51,236 )</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77,550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(57,473 )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(73,261 )</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(268 )</w:t>
            </w:r>
          </w:p>
        </w:tc>
        <w:tc>
          <w:tcPr>
            <w:tcW w:w="9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(1,229 )</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19,809</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72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Proceeds from issuance of common stock and pre-funded warrants in connection with the October Securities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Agreement, net of issuance costs of $621</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9,379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77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Proceeds from issuance of common stock and pre-funded warrants in connection with the July Securities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Agreement, net of issuance costs of $1,117</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under employee stock purchase plan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withholdings paid on behalf of employees for net share settlement</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(47 )</w:t>
            </w:r>
          </w:p>
        </w:tc>
        <w:tc>
          <w:tcPr>
            <w:tcW w:w="9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(162 )</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Repayment of debt</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(5,000 )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13,585</w:t>
            </w:r>
          </w:p>
        </w:tc>
        <w:tc>
          <w:tcPr>
            <w:tcW w:w="28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 equivalents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(2,102 )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(21,143 )</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2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4,262</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4,112</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Cash paid for income taxes</w:t>
            </w:r>
          </w:p>
        </w:tc>
        <w:tc>
          <w:tcPr>
            <w:tcW w:w="980" w:type="dxa"/>
            <w:vAlign w:val="bottom"/>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30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4,731</w:t>
            </w:r>
          </w:p>
        </w:tc>
        <w:tc>
          <w:tcPr>
            <w:tcW w:w="280" w:type="dxa"/>
            <w:vAlign w:val="bottom"/>
          </w:tcPr>
          <w:p>
            <w:pPr>
              <w:spacing w:after="0"/>
              <w:rPr>
                <w:sz w:val="17"/>
                <w:szCs w:val="17"/>
                <w:color w:val="auto"/>
              </w:rPr>
            </w:pP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Exchanges of Paired Interests and non-corresponding Class A Units of Rani LLC</w:t>
            </w:r>
          </w:p>
        </w:tc>
        <w:tc>
          <w:tcPr>
            <w:tcW w:w="980" w:type="dxa"/>
            <w:vAlign w:val="bottom"/>
            <w:tcBorders>
              <w:bottom w:val="single" w:sz="8" w:color="auto"/>
            </w:tcBorders>
            <w:shd w:val="clear" w:color="auto" w:fill="CFF0FC"/>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721</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Remeasurement of operating lease right-of-use assets</w:t>
            </w:r>
          </w:p>
        </w:tc>
        <w:tc>
          <w:tcPr>
            <w:tcW w:w="980" w:type="dxa"/>
            <w:vAlign w:val="bottom"/>
            <w:tcBorders>
              <w:bottom w:val="single" w:sz="8" w:color="auto"/>
            </w:tcBorders>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589</w:t>
            </w:r>
          </w:p>
        </w:tc>
        <w:tc>
          <w:tcPr>
            <w:tcW w:w="280" w:type="dxa"/>
            <w:vAlign w:val="bottom"/>
          </w:tcPr>
          <w:p>
            <w:pPr>
              <w:spacing w:after="0"/>
              <w:rPr>
                <w:sz w:val="15"/>
                <w:szCs w:val="15"/>
                <w:color w:val="auto"/>
              </w:rPr>
            </w:pPr>
          </w:p>
        </w:tc>
        <w:tc>
          <w:tcPr>
            <w:tcW w:w="980" w:type="dxa"/>
            <w:vAlign w:val="bottom"/>
            <w:tcBorders>
              <w:bottom w:val="single" w:sz="8" w:color="auto"/>
            </w:tcBorders>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Interest income receivable included in prepaid expenses and other current assets</w:t>
            </w:r>
          </w:p>
        </w:tc>
        <w:tc>
          <w:tcPr>
            <w:tcW w:w="980" w:type="dxa"/>
            <w:vAlign w:val="bottom"/>
            <w:tcBorders>
              <w:bottom w:val="single" w:sz="8" w:color="auto"/>
            </w:tcBorders>
            <w:shd w:val="clear" w:color="auto" w:fill="CFF0FC"/>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9</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72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Property and equipment purchases included in accounts payable and accrued expenses and other current</w:t>
            </w:r>
          </w:p>
        </w:tc>
        <w:tc>
          <w:tcPr>
            <w:tcW w:w="980" w:type="dxa"/>
            <w:vAlign w:val="bottom"/>
            <w:vMerge w:val="restart"/>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vMerge w:val="restart"/>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liabilities</w:t>
            </w:r>
          </w:p>
        </w:tc>
        <w:tc>
          <w:tcPr>
            <w:tcW w:w="9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-4097020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-3299460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-2005330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-1464945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-1182370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-591185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-574040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-282575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-265430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Transactions</w:t>
      </w:r>
    </w:p>
    <w:p>
      <w:pPr>
        <w:spacing w:after="0" w:line="229" w:lineRule="exact"/>
        <w:rPr>
          <w:sz w:val="20"/>
          <w:szCs w:val="20"/>
          <w:color w:val="auto"/>
        </w:rPr>
      </w:pPr>
    </w:p>
    <w:p>
      <w:pPr>
        <w:ind w:right="140" w:firstLine="1018"/>
        <w:spacing w:after="0" w:line="261"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spacing w:after="0" w:line="180" w:lineRule="exact"/>
        <w:rPr>
          <w:sz w:val="20"/>
          <w:szCs w:val="20"/>
          <w:color w:val="auto"/>
        </w:rPr>
      </w:pPr>
    </w:p>
    <w:p>
      <w:pPr>
        <w:ind w:right="120" w:firstLine="1018"/>
        <w:spacing w:after="0" w:line="253" w:lineRule="auto"/>
        <w:rPr>
          <w:sz w:val="20"/>
          <w:szCs w:val="20"/>
          <w:color w:val="auto"/>
        </w:rPr>
      </w:pPr>
      <w:r>
        <w:rPr>
          <w:rFonts w:ascii="Times New Roman" w:cs="Times New Roman" w:eastAsia="Times New Roman" w:hAnsi="Times New Roman"/>
          <w:sz w:val="18"/>
          <w:szCs w:val="18"/>
          <w:color w:val="auto"/>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Fifth Amended and Restated Limited Liability Company Agreement of Rani LLC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December 31, 2024, certain individuals who continue to own interests in Rani LLC but do not hold shares of the Company’s Class B common stock (“non-corresponding Class A Units”) have the ability to exchange their non-corresponding Class A Units of Rani LLC for 1,229,630 shares of the Company’s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The Company has incurred recurring losses since its inception, including net losses of $56.6 million for the year ended December 31, 2024. As of December 31, 2024, the Company had an accumulated deficit of $102.9 million and for the year ended December 31, 2024 had negative cash flows from operations of $35.5 million. As of December 31, 2024, cash, cash equivalents and marketable securities totaled $27.6 million. Based on its available cash resources and current operating plan, there is substantial doubt regarding the Company’s ability to continue as a going concern for a period of one year after the date that its financial statements for the year ended December 31, 2024 are issued. The Company’s existing capital resources, including the issuance and sale of Class A common stock and warrants pursuant to a securities purchase agreement with an institutional investor in October 2024 and July 2024,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spacing w:after="0" w:line="188"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In October 2024, the Company entered into a securities purchase agreement (the “October Securities Purchase Agreement”) with an institutional investor (the “Equity Investor”) relating to the issuance and sale of: (i) 3,000,000 shares of its Class A common stock, par value $0.0001 per share, (ii) pre-funded warrants to purchase 333,333 shares of Class A common stock, and (iii) Series C common warrants, which will accompany the Class A common stock and pre-funded warrants, to purchase an aggregate of 3,333,333 shares of Class A common stock (the “October Offering”). Pursuant to the October Securities Purchase Agreement, Series A common warrants to purchase an aggregate of 3,246,753 shares of Class A common stock issued in the July Offering were cancelled. The aggregate net proceeds from the October Offering totaled $9.4 million, after deducting placement agent fees and other offering expenses, and excluding potential proceeds, if any, from the exercise of the Series C common warrants issued in the October Offering. In October 2024, the pre-funded warrants were fully exercised for de minimis proceeds (Note 9 &amp; 10).</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6" w:name="page127"/>
    <w:bookmarkEnd w:id="126"/>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In July 2024, the Company entered into a securities purchase agreement (the “July Securities Purchase Agreement”) with an institutional investor relating to the issuance and sale of: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“July Offering”). The aggregate net proceeds from the July Offering totaled $8.9 million, after deducting placement agent fees and other offering expenses, and excluding potential proceeds, if any, from the exercise of the Series A common warrants and Series B common warrants issued in the July Offering. In August 2024, the pre-funded warrants were fully exercised for de minimis proceeds (Note 9 &amp; 10).</w:t>
      </w:r>
    </w:p>
    <w:p>
      <w:pPr>
        <w:spacing w:after="0" w:line="192" w:lineRule="exact"/>
        <w:rPr>
          <w:sz w:val="20"/>
          <w:szCs w:val="20"/>
          <w:color w:val="auto"/>
        </w:rPr>
      </w:pPr>
    </w:p>
    <w:p>
      <w:pPr>
        <w:jc w:val="both"/>
        <w:ind w:right="80" w:firstLine="1018"/>
        <w:spacing w:after="0" w:line="255" w:lineRule="auto"/>
        <w:rPr>
          <w:sz w:val="20"/>
          <w:szCs w:val="20"/>
          <w:color w:val="auto"/>
        </w:rPr>
      </w:pPr>
      <w:r>
        <w:rPr>
          <w:rFonts w:ascii="Times New Roman" w:cs="Times New Roman" w:eastAsia="Times New Roman" w:hAnsi="Times New Roman"/>
          <w:sz w:val="18"/>
          <w:szCs w:val="18"/>
          <w:color w:val="auto"/>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pursuant to its Controlled Equity Sales Agreement (the "Sales Agreement") with Cantor Fitzgerald &amp; Co. and H.C. Wainwright &amp; Co., LLC, collaboration or licensing agreements, or the incurrence of debt.</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(“U.S. GAAP”).</w:t>
      </w:r>
    </w:p>
    <w:p>
      <w:pPr>
        <w:spacing w:after="0" w:line="162" w:lineRule="exact"/>
        <w:rPr>
          <w:sz w:val="20"/>
          <w:szCs w:val="20"/>
          <w:color w:val="auto"/>
        </w:rPr>
      </w:pPr>
    </w:p>
    <w:p>
      <w:pPr>
        <w:ind w:right="160" w:firstLine="1018"/>
        <w:spacing w:after="0" w:line="281" w:lineRule="auto"/>
        <w:rPr>
          <w:sz w:val="20"/>
          <w:szCs w:val="20"/>
          <w:color w:val="auto"/>
        </w:rPr>
      </w:pPr>
      <w:r>
        <w:rPr>
          <w:rFonts w:ascii="Times New Roman" w:cs="Times New Roman" w:eastAsia="Times New Roman" w:hAnsi="Times New Roman"/>
          <w:sz w:val="17"/>
          <w:szCs w:val="17"/>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ind w:right="120" w:firstLine="1018"/>
        <w:spacing w:after="0" w:line="258" w:lineRule="auto"/>
        <w:rPr>
          <w:sz w:val="20"/>
          <w:szCs w:val="20"/>
          <w:color w:val="auto"/>
        </w:rPr>
      </w:pPr>
      <w:r>
        <w:rPr>
          <w:rFonts w:ascii="Times New Roman" w:cs="Times New Roman" w:eastAsia="Times New Roman" w:hAnsi="Times New Roman"/>
          <w:sz w:val="18"/>
          <w:szCs w:val="18"/>
          <w:color w:val="auto"/>
        </w:rPr>
        <w:t>The Company consolidates all entities that it controls through a majority voting interest or as the primary beneficiary of a variable interest entity (“VIE”).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The Company’s determination about whether it should consolidate such VIEs is made continuously as changes to existing relationships or future transactions may result in a consolidation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The Company may generate revenue from evaluation arrangements with certain pharmaceutical partners, under which the Company performs evaluation services of the partner’s drug molecules using the RaniPill platform technology (Note 6).</w:t>
      </w:r>
    </w:p>
    <w:p>
      <w:pPr>
        <w:spacing w:after="0" w:line="162"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The majority of the Company’s contracts include only one performance obligation. A performance obligation is a promise in a contract to transfer a distinct good or service to the customer and is defined as the unit of account for revenue recognition. In determining whether performance obligations meet the criteria for being distinct, the Company considers a number of factors, such as the degree of interrelation and interdependence between obligations, and whether or not the good or service significantly modifies or transforms another good or service in the contract. Revenue for an individual contract is recognized at the related transaction price, which is the amount the Company expects to be entitled to in exchange for transferring the products and/or services. Revenue is recognized only to the extent that it is probable that a significant reversal of the cumulative amount recognized will not occur in future periods. As a practical expedient, we do not adjust the transaction price for the effects of a significant financing component if, at contract inception, the period between customer payment and the transfer of goods or services is expected to be one year or less. Variable consideration has not been material to our consolidated financial statements.</w:t>
      </w:r>
    </w:p>
    <w:p>
      <w:pPr>
        <w:spacing w:after="0" w:line="188" w:lineRule="exact"/>
        <w:rPr>
          <w:sz w:val="20"/>
          <w:szCs w:val="20"/>
          <w:color w:val="auto"/>
        </w:rPr>
      </w:pPr>
    </w:p>
    <w:p>
      <w:pPr>
        <w:ind w:right="160" w:firstLine="1018"/>
        <w:spacing w:after="0" w:line="256" w:lineRule="auto"/>
        <w:rPr>
          <w:sz w:val="20"/>
          <w:szCs w:val="20"/>
          <w:color w:val="auto"/>
        </w:rPr>
      </w:pPr>
      <w:r>
        <w:rPr>
          <w:rFonts w:ascii="Times New Roman" w:cs="Times New Roman" w:eastAsia="Times New Roman" w:hAnsi="Times New Roman"/>
          <w:sz w:val="18"/>
          <w:szCs w:val="18"/>
          <w:color w:val="auto"/>
        </w:rPr>
        <w:t>The Company recognizes contract revenue from its evaluation arrangements using a cost-based input method, which most faithfully depicts the transfer of the performance obligation to the customer. Accordingly, the Company will recognize contract revenue based on actual costs incurred as a percentage of total estimated costs the Company expects to incur to deliver its performance obligation. These actual costs consist of the internal labor efforts, in vivo testing services and material costs related to the agreement, as the costs incurred over time will reflect the transfer of its performance obligations to the customer. The cumulative effect of revisions to estimated costs to complete the Company’s performance obligation will be recorded in the period in which changes are identified and amounts are reasonably estimable.</w:t>
      </w:r>
    </w:p>
    <w:p>
      <w:pPr>
        <w:spacing w:after="0" w:line="187"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92" w:lineRule="exact"/>
        <w:rPr>
          <w:sz w:val="20"/>
          <w:szCs w:val="20"/>
          <w:color w:val="auto"/>
        </w:rPr>
      </w:pPr>
    </w:p>
    <w:p>
      <w:pPr>
        <w:jc w:val="both"/>
        <w:ind w:right="220" w:firstLine="1018"/>
        <w:spacing w:after="0" w:line="266" w:lineRule="auto"/>
        <w:rPr>
          <w:sz w:val="20"/>
          <w:szCs w:val="20"/>
          <w:color w:val="auto"/>
        </w:rPr>
      </w:pPr>
      <w:r>
        <w:rPr>
          <w:rFonts w:ascii="Times New Roman" w:cs="Times New Roman" w:eastAsia="Times New Roman" w:hAnsi="Times New Roman"/>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29"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The Company assesses whether its collaboration agreements are subject to ASC Topic 808: Collaborative Arrangements based on whether they involve joint operating activities and whether both parties have active participation in the arrangement and are exposed to significant risks and rewards. To the extent that the arrangement falls within the scope of Topic 808 and the Company concludes that its collaboration partner is not a customer, the Company presents amounts due from its collaboration partner as a reduction of research and development expense based on the nature of such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180" w:firstLine="101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and related benefits, stock-based compensation, third-party services, facilities, materials and supplies. Research and development costs are expensed as incurred. Payments made prior to the receipt of goods or services to be used in research and development activities are recorded as prepaid expenses and other current assets on the consolidated balance sheets until the related goods or services are rendered.</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 Accruals</w:t>
      </w:r>
    </w:p>
    <w:p>
      <w:pPr>
        <w:spacing w:after="0" w:line="22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The Company's preclinical and clinical trials are being supported by Contract Research Organizations (“CROs”) and other vendors. Preclinical and clinical trial costs are a component of research and development expense. As part of the process of preparing the consolidated financial statements, the Company is required to estimate expenses resulting from obligations under contracts with CROs and other vendors. The financial terms of these contracts vary and may result in payment flows that do not match the periods over which materials or services are provided under such contracts. The Company accrues expenses for preclinical and clinical trial activities performed by CROs and other vendors based upon the amount of work completed on each trial. The Company maintains regular communications with the CROs and other vendors to assess the reasonableness of the accrual. To date, differences between actual preclinical and clinical trial expenses and accrued preclinical and clinical trial expenses recorded have not been material and are adjusted for in the period in which they become known. Payments made under these arrangements in advance of the receipt of the related services are recorded as prepaid expenses and other current assets on the consolidated balance sheets until the services are rendered.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60" w:firstLine="1018"/>
        <w:spacing w:after="0" w:line="253" w:lineRule="auto"/>
        <w:rPr>
          <w:sz w:val="20"/>
          <w:szCs w:val="20"/>
          <w:color w:val="auto"/>
        </w:rPr>
      </w:pPr>
      <w:r>
        <w:rPr>
          <w:rFonts w:ascii="Times New Roman" w:cs="Times New Roman" w:eastAsia="Times New Roman" w:hAnsi="Times New Roman"/>
          <w:sz w:val="18"/>
          <w:szCs w:val="18"/>
          <w:color w:val="auto"/>
        </w:rPr>
        <w:t>In July 2021, the Company adopted and its stockholders approved, the Rani Therapeutics Holdings, Inc. 2021 Equity Incentive Plan (the “2021 Plan”). The Company has subsequently granted stock options to purchase shares of its Class A common stock as well as restricted stock units (“RSUs”) and restricted stock awards ("RSAs") from the 2021 Plan to both employees and non-employees. The Company measures stock-based compensation at fair value on the grant date of the award. The fair value of employee and nonemployee RSUs is determined based on the number of shares granted and the closing market price of the Company’s Class A common stock on the date of grant. The fair value of RSAs is determined based on the estimated fair value of the Company’s Class A common stock on the grant date and is subject to the Company's reacquisition right which is accounted for as a forfeiture provision (Note 11). For awards that vest subject to the satisfaction of service requirements, compensation expense is measured based on the fair value of the award on the date of grant and expense is recognized on a straight-line basis over the requisite service period. The Company accounts for forfeitures as they occur. Stock-based compensation is classified in the accompanying consolidated statements of operations and comprehensive loss based on the function to which the related services are provided.</w:t>
      </w:r>
    </w:p>
    <w:p>
      <w:pPr>
        <w:spacing w:after="0" w:line="194"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The Company determines the grant-date fair value of options to purchase common shares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it, based on its economic interest in Rani LLC.</w:t>
      </w:r>
    </w:p>
    <w:p>
      <w:pPr>
        <w:spacing w:after="0" w:line="183"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of accounting. Current income tax expense or benefit represents the amount of income taxes expected to be payable or refundable for the current year. The Company recognizes deferred tax assets and liabilities for the future tax consequences attributable to differences between the financial statement carrying amounts of existing assets and liabilities and their respective tax bases, as well as for operating loss and tax credit carryforwards.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9" w:name="page130"/>
    <w:bookmarkEnd w:id="129"/>
    <w:p>
      <w:pPr>
        <w:ind w:firstLine="1018"/>
        <w:spacing w:after="0" w:line="255" w:lineRule="auto"/>
        <w:rPr>
          <w:sz w:val="20"/>
          <w:szCs w:val="20"/>
          <w:color w:val="auto"/>
        </w:rPr>
      </w:pPr>
      <w:r>
        <w:rPr>
          <w:rFonts w:ascii="Times New Roman" w:cs="Times New Roman" w:eastAsia="Times New Roman" w:hAnsi="Times New Roman"/>
          <w:sz w:val="18"/>
          <w:szCs w:val="18"/>
          <w:color w:val="auto"/>
        </w:rPr>
        <w:t>The Company’s tax positions are subject to income tax audits.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income tax expense in the accompanying consolidated statements of operations and comprehensive loss. No such interest and penalties were recognized for any period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83"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Non-controlling interest ("NCI") represents the portion of income or loss, net assets and comprehensive loss of the Company's consolidated subsidiary that is not allocable to Rani Holdings based on the Company's percentage of ownership of Rani LLC.</w:t>
      </w:r>
    </w:p>
    <w:p>
      <w:pPr>
        <w:spacing w:after="0" w:line="162"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In August 2021, based on the Organizational Transactions, Rani Holdings became the sole managing member of Rani LLC. As of December 31, 2024, Rani Holdings held approximately 57% of the Class A Units of Rani LLC, and approximately 43% of the outstanding Class A Units of Rani LLC are held by the Continuing LLC Owners. Therefore, the Company reports NCI based on the Class A Units of Rani LLC held by the Continuing LLC Owners on its consolidated balance sheet as of December 31, 2024. Income or loss attributed to the NCI in Rani LLC is based on the Class A Units outstanding during the period for which the income or loss is generated and is presented on the consolidated statements of operations and comprehensive loss.</w:t>
      </w:r>
    </w:p>
    <w:p>
      <w:pPr>
        <w:spacing w:after="0" w:line="187" w:lineRule="exact"/>
        <w:rPr>
          <w:sz w:val="20"/>
          <w:szCs w:val="20"/>
          <w:color w:val="auto"/>
        </w:rPr>
      </w:pPr>
    </w:p>
    <w:p>
      <w:pPr>
        <w:ind w:right="220" w:firstLine="1018"/>
        <w:spacing w:after="0" w:line="261" w:lineRule="auto"/>
        <w:rPr>
          <w:sz w:val="20"/>
          <w:szCs w:val="20"/>
          <w:color w:val="auto"/>
        </w:rPr>
      </w:pPr>
      <w:r>
        <w:rPr>
          <w:rFonts w:ascii="Times New Roman" w:cs="Times New Roman" w:eastAsia="Times New Roman" w:hAnsi="Times New Roman"/>
          <w:sz w:val="18"/>
          <w:szCs w:val="18"/>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2024, there were 5,318,539 exchanges of Paired Interests and 315,892 exchanges of non-corresponding Class A Units of Rani LLC for an equal number of shares of the Company's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 Equivalents</w:t>
      </w:r>
    </w:p>
    <w:p>
      <w:pPr>
        <w:spacing w:after="0" w:line="229" w:lineRule="exact"/>
        <w:rPr>
          <w:sz w:val="20"/>
          <w:szCs w:val="20"/>
          <w:color w:val="auto"/>
        </w:rPr>
      </w:pPr>
    </w:p>
    <w:p>
      <w:pPr>
        <w:ind w:right="180" w:firstLine="1018"/>
        <w:spacing w:after="0" w:line="258" w:lineRule="auto"/>
        <w:rPr>
          <w:sz w:val="20"/>
          <w:szCs w:val="20"/>
          <w:color w:val="auto"/>
        </w:rPr>
      </w:pPr>
      <w:r>
        <w:rPr>
          <w:rFonts w:ascii="Times New Roman" w:cs="Times New Roman" w:eastAsia="Times New Roman" w:hAnsi="Times New Roman"/>
          <w:sz w:val="18"/>
          <w:szCs w:val="18"/>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Restricted cash equivalents consist of cash collateral required by a bank in connection with the Company's commercial credit cards program. The Company limits its credit risk associated with cash, cash equivalents and restricted cash equivalents by maintaining its bank accounts at major financial institutions.</w:t>
      </w:r>
    </w:p>
    <w:p>
      <w:pPr>
        <w:spacing w:after="0" w:line="183"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equivalents reported as a component of prepaid expenses and other current assets on the consolidated balance sheet which, in aggregate, represents the amount reported in the consolidated statements of cash flows for the years ended December 31, 2024 and 2023 (in thousands):</w:t>
      </w: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5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1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50"/>
        </w:trPr>
        <w:tc>
          <w:tcPr>
            <w:tcW w:w="6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restricted cash equivalents</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100" w:firstLine="1018"/>
        <w:spacing w:after="0" w:line="256" w:lineRule="auto"/>
        <w:rPr>
          <w:sz w:val="20"/>
          <w:szCs w:val="20"/>
          <w:color w:val="auto"/>
        </w:rPr>
      </w:pPr>
      <w:r>
        <w:rPr>
          <w:rFonts w:ascii="Times New Roman" w:cs="Times New Roman" w:eastAsia="Times New Roman" w:hAnsi="Times New Roman"/>
          <w:sz w:val="18"/>
          <w:szCs w:val="18"/>
          <w:color w:val="auto"/>
        </w:rPr>
        <w:t>A contract asset is created when the Company satisfies a performance obligation by transferring a promised good or service to the customer. Contract assets may represent conditional or unconditional rights to consideration. The right is conditional and recorded as a contract asset if the Company must first satisfy another performance obligation in the contract before it is entitled to payment from the customer. Contract assets are transferred to accounts receivable once the right becomes unconditional. If the Company has the unconditional right to receive consideration from the customer, the contract asset is accounted for as accounts receivable and presented separately from contract assets. A right is unconditional if nothing other than the passage of time is required before payment of that consideration is due. As of December 31, 2024, contract asset balances totaled $0.4 million.</w:t>
      </w:r>
    </w:p>
    <w:p>
      <w:pPr>
        <w:spacing w:after="0" w:line="187" w:lineRule="exact"/>
        <w:rPr>
          <w:sz w:val="20"/>
          <w:szCs w:val="20"/>
          <w:color w:val="auto"/>
        </w:rPr>
      </w:pPr>
    </w:p>
    <w:p>
      <w:pPr>
        <w:ind w:right="440" w:firstLine="1018"/>
        <w:spacing w:after="0" w:line="282" w:lineRule="auto"/>
        <w:rPr>
          <w:sz w:val="20"/>
          <w:szCs w:val="20"/>
          <w:color w:val="auto"/>
        </w:rPr>
      </w:pPr>
      <w:r>
        <w:rPr>
          <w:rFonts w:ascii="Times New Roman" w:cs="Times New Roman" w:eastAsia="Times New Roman" w:hAnsi="Times New Roman"/>
          <w:sz w:val="18"/>
          <w:szCs w:val="18"/>
          <w:color w:val="auto"/>
        </w:rPr>
        <w:t>Contract liabilities are recorded as deferred revenue when cash payments are received or due in advance of performance or where the Company has unsatisfied performance obligations. As of December 31, 2024, no deferred revenue was recognized for unsatisfied evaluation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The Company invests its excess cash in marketable securities with high credit ratings including securities issued by U.S. and international governments and their agencies, corporate debt securities and commercial paper. The Company has assessed U.S. government treasuries as Level 1 and all other marketable securities as Level 2 within the fair value hierarchy. All the Company's marketable securities have been accounted for as available-for-sale and carried at fair value. The Company classifies all its available-for-sale marketable securities, including those with maturity dates beyond one year, as current assets on the consolidated balance sheets as the Company may sell these securities at any time for use in current operations even if they have not yet reached maturity. The amortized cost of debt securities is adjusted for amortization of premiums and accretion of discounts to maturity, which is included in interest income and other, net on the consolidated statements of operations and comprehensive loss. Realized gains and losses on marketable securities are included in other income (expense) on the consolidated statements of operations. Gains and losses on sales are recorded based on the trade date and determined using the specific identification method.</w:t>
      </w:r>
    </w:p>
    <w:p>
      <w:pPr>
        <w:spacing w:after="0" w:line="188"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the Company has the intent to sell the securities and whether it is more likely than not that the Company will be required to sell the securities before the recovery of its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left="1020" w:right="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6" w:lineRule="exact"/>
        <w:rPr>
          <w:sz w:val="20"/>
          <w:szCs w:val="20"/>
          <w:color w:val="auto"/>
        </w:rPr>
      </w:pPr>
    </w:p>
    <w:p>
      <w:pPr>
        <w:ind w:left="1020" w:right="28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right="2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carrying values of current assets and liabilities approximates fair value due to their short-term nature, respectively. The fair value of the Company’s long-term debt approximated its carrying value based on borrowing rates currently available to the Company for debt with similar terms and maturities (Level 2 inputs).</w:t>
      </w:r>
    </w:p>
    <w:p>
      <w:pPr>
        <w:spacing w:after="0" w:line="176" w:lineRule="exact"/>
        <w:rPr>
          <w:sz w:val="20"/>
          <w:szCs w:val="20"/>
          <w:color w:val="auto"/>
        </w:rPr>
      </w:pPr>
    </w:p>
    <w:p>
      <w:pPr>
        <w:ind w:right="120" w:firstLine="1018"/>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40" w:firstLine="1018"/>
        <w:spacing w:after="0" w:line="255"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and amortization calculated using the straight-line method over the estimated useful lives of the assets, generally between three and five years. Leasehold improvements are amortized over the shorter of the related lease term or useful life. Maintenance and repairs are charged to operations when incurred, while betterments or renewals are capitalized. When property and equipment are sold or otherwise disposed of, the asset account and related accumulated depreciation and amortization accounts are relieved, and any gain or loss is included in the results of operations. Construction-in-progress consists of production equipment that will be used to scale-up the manufacturing of the RaniPill capsule for clinical trials and that has been determined to have an alternative future use. Construction-in-progress is stated at cost and does not begin to depreciate until it is put into production.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w:t>
      </w:r>
    </w:p>
    <w:p>
      <w:pPr>
        <w:spacing w:after="0" w:line="183"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assessed the recoverability of the long-lived assets relating to construction-in-progress property and equipment. The Company considered many factors in evaluating whether the value of its construction-in-progress property and equipment may not be recoverable, including, but not limited to, alternative use, cost-savings and strategic considerations. As a result, the Company determined the carrying amount of the construction-in-progress property and equipment exceeded its fair value, and was written down to its salvage value. Therefore, an impairment loss of $3.7 million was recognized as of December 31, 2024, related to construction-in-progress property and equipment.</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For any arrangement that is considered to be a lease with a term greater than one year, the Company recognizes a lease asset for its right to use the underlying asset and a lease liability for the corresponding lease obligation. Operating leases are included in operating lease right-of-use ("ROU") assets and operating lease liabilities in the Company’s consolidated balance sheet as of December 31, 2024.</w:t>
      </w:r>
    </w:p>
    <w:p>
      <w:pPr>
        <w:spacing w:after="0" w:line="183"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the Company determines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w:t>
      </w:r>
    </w:p>
    <w:p>
      <w:pPr>
        <w:spacing w:after="0" w:line="188" w:lineRule="exact"/>
        <w:rPr>
          <w:sz w:val="20"/>
          <w:szCs w:val="20"/>
          <w:color w:val="auto"/>
        </w:rPr>
      </w:pPr>
    </w:p>
    <w:p>
      <w:pPr>
        <w:ind w:right="400" w:firstLine="1018"/>
        <w:spacing w:after="0" w:line="261" w:lineRule="auto"/>
        <w:rPr>
          <w:sz w:val="20"/>
          <w:szCs w:val="20"/>
          <w:color w:val="auto"/>
        </w:rPr>
      </w:pPr>
      <w:r>
        <w:rPr>
          <w:rFonts w:ascii="Times New Roman" w:cs="Times New Roman" w:eastAsia="Times New Roman" w:hAnsi="Times New Roman"/>
          <w:sz w:val="18"/>
          <w:szCs w:val="18"/>
          <w:color w:val="auto"/>
        </w:rPr>
        <w:t>The operating lease ROU assets also include any lease payments made and exclude lease incentives. The Company has elected to not separate lease and non-lease components for its leased assets and accounts for all lease and non-lease components of its agreements as a single lease component. The lease components resulting in a ROU asset have been recorded on the consolidated balance sheet and amortized as lease expense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in accordance with the Financial Accounting Standards Board (“FASB”) Accounting Standards Codification (“ASC“) 480, “Distinguishing Liabilities from Equity”, and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among other conditions for equity classification. This assessment, which requires the use of professional judgment, is conducted at the time of warrant issuance.</w:t>
      </w:r>
    </w:p>
    <w:p>
      <w:pPr>
        <w:spacing w:after="0" w:line="187"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of the date of issuance, and each balance sheet date thereafter. Changes in the estimated fair value of liability classified warrants are recognized as a non-cash gain or loss on the consolidated statements of operations. Costs associated with issuing the warrants classified as derivative liabilities are charged to operations when the warrants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Class A Common Share Attributable to Rani Holdings</w:t>
      </w:r>
    </w:p>
    <w:p>
      <w:pPr>
        <w:spacing w:after="0" w:line="229" w:lineRule="exact"/>
        <w:rPr>
          <w:sz w:val="20"/>
          <w:szCs w:val="20"/>
          <w:color w:val="auto"/>
        </w:rPr>
      </w:pPr>
    </w:p>
    <w:p>
      <w:pPr>
        <w:jc w:val="both"/>
        <w:ind w:right="100" w:firstLine="1018"/>
        <w:spacing w:after="0" w:line="261" w:lineRule="auto"/>
        <w:rPr>
          <w:sz w:val="20"/>
          <w:szCs w:val="20"/>
          <w:color w:val="auto"/>
        </w:rPr>
      </w:pPr>
      <w:r>
        <w:rPr>
          <w:rFonts w:ascii="Times New Roman" w:cs="Times New Roman" w:eastAsia="Times New Roman" w:hAnsi="Times New Roman"/>
          <w:sz w:val="18"/>
          <w:szCs w:val="18"/>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effective December 31, 2024, on a retrospective basis. The adoption of 2023-07 did not change the way that the Company identifies its reportable segment. However, it has resulted in incremental disclosures within the notes of the Company’s consolidated financial statements (Note 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40" w:firstLine="101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ind w:right="80" w:firstLine="1018"/>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to provide disaggregated information about certain income statement costs and expenses. ASU 2024-03 is effective for the Company’s annual periods beginning January 1, 2027, with early adoption permitted. The Company is evaluating the impact of this guidance on its consolidated financial statements and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Equivalents, Restricted Cash Equivalents and Marketable Securities</w:t>
      </w:r>
    </w:p>
    <w:p>
      <w:pPr>
        <w:spacing w:after="0" w:line="229" w:lineRule="exact"/>
        <w:rPr>
          <w:sz w:val="20"/>
          <w:szCs w:val="20"/>
          <w:color w:val="auto"/>
        </w:rPr>
      </w:pPr>
    </w:p>
    <w:p>
      <w:pPr>
        <w:ind w:right="60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amortized cost and fair value of the Company's cash equivalents, restricted cash equivalents and marketable securities by major investment category (in thousands):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cash equivalents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equivalents and restricted cash equivalents</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 and agencies</w:t>
            </w: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24,871</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cash equivalents, restricted cash equivalents and marketable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-574040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-556895</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-574040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-556895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-574040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-556895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-574040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-556895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4" w:name="page135"/>
    <w:bookmarkEnd w:id="134"/>
    <w:tbl>
      <w:tblPr>
        <w:tblLayout w:type="fixed"/>
        <w:tblInd w:w="86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301"/>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Restricted cash equivalents:</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equivalents and restricted cash equivalents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00" w:type="dxa"/>
            <w:vAlign w:val="bottom"/>
            <w:tcBorders>
              <w:top w:val="single" w:sz="8" w:color="CFF0FC"/>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 and agencies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equivalents, restricted cash equivalents and marketable</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20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-1002665</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-985520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-1002665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-985520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-1002665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-985520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-1002665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-985520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-440690</wp:posOffset>
            </wp:positionV>
            <wp:extent cx="8509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-440690</wp:posOffset>
            </wp:positionV>
            <wp:extent cx="85725" cy="179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-440690</wp:posOffset>
            </wp:positionV>
            <wp:extent cx="85725"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-440690</wp:posOffset>
            </wp:positionV>
            <wp:extent cx="85725"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59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20" w:firstLine="1018"/>
        <w:spacing w:after="0" w:line="255" w:lineRule="auto"/>
        <w:rPr>
          <w:sz w:val="20"/>
          <w:szCs w:val="20"/>
          <w:color w:val="auto"/>
        </w:rPr>
      </w:pPr>
      <w:r>
        <w:rPr>
          <w:rFonts w:ascii="Times New Roman" w:cs="Times New Roman" w:eastAsia="Times New Roman" w:hAnsi="Times New Roman"/>
          <w:sz w:val="18"/>
          <w:szCs w:val="18"/>
          <w:color w:val="auto"/>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December 31, 2024,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December 31, 2024. As of December 31, 2024 and 2023, interest income receivable recorded as a component of prepaid expenses and other current assets on the consolidated balance sheet was de minimis and $0.2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4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tables detail information about the Company’s financial assets and liabilities measured at fair value on a recurring basis and indicates the level of inputs used in such measurements (in thousands):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 and agencies</w:t>
            </w: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shd w:val="clear" w:color="auto" w:fill="CFF0FC"/>
          </w:tcPr>
          <w:p>
            <w:pPr>
              <w:spacing w:after="0"/>
              <w:rPr>
                <w:sz w:val="18"/>
                <w:szCs w:val="18"/>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 and agencies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FF0FC"/>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5" w:name="page136"/>
    <w:bookmarkEnd w:id="135"/>
    <w:p>
      <w:pPr>
        <w:ind w:right="40" w:firstLine="1018"/>
        <w:spacing w:after="0" w:line="258" w:lineRule="auto"/>
        <w:rPr>
          <w:sz w:val="20"/>
          <w:szCs w:val="20"/>
          <w:color w:val="auto"/>
        </w:rPr>
      </w:pPr>
      <w:r>
        <w:rPr>
          <w:rFonts w:ascii="Times New Roman" w:cs="Times New Roman" w:eastAsia="Times New Roman" w:hAnsi="Times New Roman"/>
          <w:sz w:val="18"/>
          <w:szCs w:val="18"/>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for any of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09"/>
        </w:trPr>
        <w:tc>
          <w:tcPr>
            <w:tcW w:w="6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(4,640 )</w:t>
            </w:r>
          </w:p>
        </w:tc>
        <w:tc>
          <w:tcPr>
            <w:tcW w:w="4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(3,671 )</w:t>
            </w:r>
          </w:p>
        </w:tc>
      </w:tr>
      <w:tr>
        <w:trPr>
          <w:trHeight w:val="209"/>
        </w:trPr>
        <w:tc>
          <w:tcPr>
            <w:tcW w:w="6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18"/>
                <w:szCs w:val="18"/>
                <w:color w:val="auto"/>
              </w:rPr>
            </w:pPr>
          </w:p>
        </w:tc>
      </w:tr>
      <w:tr>
        <w:trPr>
          <w:trHeight w:val="249"/>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-25400</wp:posOffset>
            </wp:positionV>
            <wp:extent cx="59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46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recognized an impairment loss of $3.7 million related to construction-in-progress property and equipment (Note 2). Depreciation and amortization expense totaled $1.0 million and $0.8 million for the years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costs</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r>
      <w:tr>
        <w:trPr>
          <w:trHeight w:val="249"/>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-25400</wp:posOffset>
            </wp:positionV>
            <wp:extent cx="596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96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Evaluation and Collaborative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Arrangement</w:t>
      </w:r>
    </w:p>
    <w:p>
      <w:pPr>
        <w:spacing w:after="0" w:line="229" w:lineRule="exact"/>
        <w:rPr>
          <w:sz w:val="20"/>
          <w:szCs w:val="20"/>
          <w:color w:val="auto"/>
        </w:rPr>
      </w:pPr>
    </w:p>
    <w:p>
      <w:pPr>
        <w:ind w:firstLine="1018"/>
        <w:spacing w:after="0" w:line="254" w:lineRule="auto"/>
        <w:rPr>
          <w:sz w:val="20"/>
          <w:szCs w:val="20"/>
          <w:color w:val="auto"/>
        </w:rPr>
      </w:pPr>
      <w:r>
        <w:rPr>
          <w:rFonts w:ascii="Times New Roman" w:cs="Times New Roman" w:eastAsia="Times New Roman" w:hAnsi="Times New Roman"/>
          <w:sz w:val="18"/>
          <w:szCs w:val="18"/>
          <w:color w:val="auto"/>
        </w:rPr>
        <w:t>In August 2024, the Company entered into a contract to conduct evaluation services of certain customer compounds for oral delivery using the RaniPill HC, which was concluded to be a single performance obligation with an enforceable right to payment. This customer paid the Company an up-front payment of $0.6 million upon execution of the contract. Upon completion of the evaluation services, the Company is entitled to a final $0.6 million payment for an aggregate total of $1.2 million due under the contract. In addition, if agreed upon, the agreement allows for joint filing of certain intellectual property protection in which all associated expenses will be shared equally. The customer has the ability to terminate the agreement at any time by providing 10 days’ written notice after the effective date of the contract. The contract can be terminated for cause by either party based on uncured material breach by the other party. Upon early termination, all ongoing activities under the agreement and all mutual collaboration, development and commercialization licenses and sublicenses will terminate. For the year ended December 31, 2024, $1.0 million in contract revenue was recognized for evaluation services performed.</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ProGen Co., Ltd.</w:t>
      </w:r>
    </w:p>
    <w:p>
      <w:pPr>
        <w:spacing w:after="0" w:line="229" w:lineRule="exact"/>
        <w:rPr>
          <w:sz w:val="20"/>
          <w:szCs w:val="20"/>
          <w:color w:val="auto"/>
        </w:rPr>
      </w:pPr>
    </w:p>
    <w:p>
      <w:pPr>
        <w:ind w:right="260" w:firstLine="1018"/>
        <w:spacing w:after="0" w:line="258" w:lineRule="auto"/>
        <w:rPr>
          <w:sz w:val="20"/>
          <w:szCs w:val="20"/>
          <w:color w:val="auto"/>
        </w:rPr>
      </w:pPr>
      <w:r>
        <w:rPr>
          <w:rFonts w:ascii="Times New Roman" w:cs="Times New Roman" w:eastAsia="Times New Roman" w:hAnsi="Times New Roman"/>
          <w:sz w:val="18"/>
          <w:szCs w:val="18"/>
          <w:color w:val="auto"/>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combining ProGen’s GLP-1/GLP-2 dual agonist compound, PG-102, and the RaniPill HC oral delivery device (the “Device”) in the field of weight management (including without limitation obesity, weight reduction and weight maintenance) in humans (the “Collaboration”).</w:t>
      </w:r>
    </w:p>
    <w:p>
      <w:pPr>
        <w:spacing w:after="0" w:line="183" w:lineRule="exact"/>
        <w:rPr>
          <w:sz w:val="20"/>
          <w:szCs w:val="20"/>
          <w:color w:val="auto"/>
        </w:rPr>
      </w:pPr>
    </w:p>
    <w:p>
      <w:pPr>
        <w:ind w:right="60" w:firstLine="1018"/>
        <w:spacing w:after="0" w:line="255" w:lineRule="auto"/>
        <w:rPr>
          <w:sz w:val="20"/>
          <w:szCs w:val="20"/>
          <w:color w:val="auto"/>
        </w:rPr>
      </w:pPr>
      <w:r>
        <w:rPr>
          <w:rFonts w:ascii="Times New Roman" w:cs="Times New Roman" w:eastAsia="Times New Roman" w:hAnsi="Times New Roman"/>
          <w:sz w:val="18"/>
          <w:szCs w:val="18"/>
          <w:color w:val="auto"/>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parties share responsibility for the development of RT-114 worldwide, with the Company leading such development for preclinical activities through Phase 1 clinical trials. After initiation of the first Phase 2 clinical trial, the Company will lead development and commercialization of the Product in the United States, Canada, Europe (including the United Kingdom) and Australia, and ProGen will lead development and commercialization in all other countries.</w:t>
      </w:r>
    </w:p>
    <w:p>
      <w:pPr>
        <w:spacing w:after="0" w:line="18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spacing w:after="0" w:line="187"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Collaboration Agreement is not a contract with a customer and is therefore accounted for under ASC Topic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As of December 31, 2024, reimbursement received from ProGen recorded as contra-research and development expense was de minims.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229"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had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had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Rani LLC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Occupancy Services for the facility in Milpitas, California expired in August 2024.</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7" w:name="page138"/>
    <w:bookmarkEnd w:id="137"/>
    <w:p>
      <w:pPr>
        <w:ind w:firstLine="1018"/>
        <w:spacing w:after="0" w:line="254" w:lineRule="auto"/>
        <w:rPr>
          <w:sz w:val="20"/>
          <w:szCs w:val="20"/>
          <w:color w:val="auto"/>
        </w:rPr>
      </w:pPr>
      <w:r>
        <w:rPr>
          <w:rFonts w:ascii="Times New Roman" w:cs="Times New Roman" w:eastAsia="Times New Roman" w:hAnsi="Times New Roman"/>
          <w:sz w:val="18"/>
          <w:szCs w:val="18"/>
          <w:color w:val="auto"/>
        </w:rPr>
        <w:t>In June 2021, Rani Management Services, Inc.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88" w:lineRule="exact"/>
        <w:rPr>
          <w:sz w:val="20"/>
          <w:szCs w:val="20"/>
          <w:color w:val="auto"/>
        </w:rPr>
      </w:pPr>
    </w:p>
    <w:p>
      <w:pPr>
        <w:ind w:right="620" w:firstLine="1018"/>
        <w:spacing w:after="0" w:line="282"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the Company charged ICL, which is included in the consolidated statements of operations (in thousands):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94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20" w:firstLine="1018"/>
        <w:spacing w:after="0" w:line="282" w:lineRule="auto"/>
        <w:rPr>
          <w:sz w:val="20"/>
          <w:szCs w:val="20"/>
          <w:color w:val="auto"/>
        </w:rPr>
      </w:pPr>
      <w:r>
        <w:rPr>
          <w:rFonts w:ascii="Times New Roman" w:cs="Times New Roman" w:eastAsia="Times New Roman" w:hAnsi="Times New Roman"/>
          <w:sz w:val="18"/>
          <w:szCs w:val="18"/>
          <w:color w:val="auto"/>
        </w:rPr>
        <w:t>As of December 31, 2024, one of the Company's facilities was owned by an entity affiliated with the Company’s Chairman (Note 8). The Company pays for the use of this facility through the RMS-ICL Service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Non-Exclusive License Agreement between Rani and ICL (“Non-Exclusive License Agreement”)</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Certain parties to the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For each of the years ended December 31, 2024 and 2023, these parties to the TRA exchanged zero Paired Interests, respectively, that resulted in tax benefits subject to the TRA (Note 14).</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Rani LLC Agreement</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187" w:lineRule="exact"/>
        <w:rPr>
          <w:sz w:val="20"/>
          <w:szCs w:val="20"/>
          <w:color w:val="auto"/>
        </w:rPr>
      </w:pPr>
    </w:p>
    <w:p>
      <w:pPr>
        <w:ind w:right="400" w:firstLine="1018"/>
        <w:spacing w:after="0" w:line="282" w:lineRule="auto"/>
        <w:rPr>
          <w:sz w:val="20"/>
          <w:szCs w:val="20"/>
          <w:color w:val="auto"/>
        </w:rPr>
      </w:pPr>
      <w:r>
        <w:rPr>
          <w:rFonts w:ascii="Times New Roman" w:cs="Times New Roman" w:eastAsia="Times New Roman" w:hAnsi="Times New Roman"/>
          <w:sz w:val="18"/>
          <w:szCs w:val="18"/>
          <w:color w:val="auto"/>
        </w:rPr>
        <w:t>For each the years ended December 31, 2024 and 2023, certain related parties that are party to the Rani LLC Agreement exchanged zero Paired Interests, respectively, for an equal number of shares of the Company's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spacing w:after="0" w:line="189"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The Company pays for the use of its office, laboratory and manufacturing facility in San Jose, California as part of the RMS-ICL Service Agreement. In April 2022, RMS assigned the RMS-ICL Service Agreement to Rani LLC. In December 2022, RMS was dissolved.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 occupancy under the RMS-ICL Service Agreement upon six months’ notice. In January 2024, the Company determined it to be reasonably certain that it would exercise its renewal option for a successive twelve-month period through 2025. The Company accounted for the renewal option as a lease modification that did not result in a separate contract and recognized the additional right-of-use asset and corresponding lease liabilities associated with the Rani LLC-ICL Service Agreement in its consolidated balance sheet.</w:t>
      </w:r>
    </w:p>
    <w:p>
      <w:pPr>
        <w:spacing w:after="0" w:line="192"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Under the Rani LLC-ICL Service Agreement amended in March 2022, Rani LLC had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had a term until February 2024, following an extension granted in July 2022. The Company accounted for the lease extension as a lease modification that did not result in a separate contract and recognized the right-of-use asset and lease liabilities associated with the Rani LLC-ICL Service Agreement in the consolidated balance sheet as of the modification date in July 2022. The Company accounted for its Occupancy Services in San Antonio, Texas as a short-term lease. In December 2023, the Company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Company accounted for the March 2024 extension for its Occupancy Services in Milpitas, California as a short-term lease. The Occupancy Services for the facility in Milpitas, California expired in August 2024.</w:t>
      </w:r>
    </w:p>
    <w:p>
      <w:pPr>
        <w:spacing w:after="0" w:line="192" w:lineRule="exact"/>
        <w:rPr>
          <w:sz w:val="20"/>
          <w:szCs w:val="20"/>
          <w:color w:val="auto"/>
        </w:rPr>
      </w:pPr>
    </w:p>
    <w:p>
      <w:pPr>
        <w:ind w:right="140" w:firstLine="1018"/>
        <w:spacing w:after="0" w:line="258" w:lineRule="auto"/>
        <w:rPr>
          <w:sz w:val="20"/>
          <w:szCs w:val="20"/>
          <w:color w:val="auto"/>
        </w:rPr>
      </w:pPr>
      <w:r>
        <w:rPr>
          <w:rFonts w:ascii="Times New Roman" w:cs="Times New Roman" w:eastAsia="Times New Roman" w:hAnsi="Times New Roman"/>
          <w:sz w:val="18"/>
          <w:szCs w:val="18"/>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9" w:name="page140"/>
    <w:bookmarkEnd w:id="139"/>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Supplemental information on the Company’s consolidated balance sheet and statements of cash flows as of December 31, 2024 and 2023, respectively, related to leases was as follows (in thousands):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10.4 %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10.4 %</w:t>
            </w:r>
          </w:p>
        </w:tc>
      </w:tr>
      <w:tr>
        <w:trPr>
          <w:trHeight w:val="373"/>
        </w:trPr>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lease liabilities:</w:t>
            </w:r>
          </w:p>
        </w:tc>
        <w:tc>
          <w:tcPr>
            <w:tcW w:w="1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98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1,480</w:t>
            </w:r>
          </w:p>
        </w:tc>
        <w:tc>
          <w:tcPr>
            <w:tcW w:w="140" w:type="dxa"/>
            <w:vAlign w:val="bottom"/>
          </w:tcPr>
          <w:p>
            <w:pPr>
              <w:spacing w:after="0"/>
              <w:rPr>
                <w:sz w:val="20"/>
                <w:szCs w:val="20"/>
                <w:color w:val="auto"/>
              </w:rPr>
            </w:pPr>
          </w:p>
        </w:tc>
        <w:tc>
          <w:tcPr>
            <w:tcW w:w="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1,042</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120" w:firstLine="1018"/>
        <w:spacing w:after="0" w:line="282" w:lineRule="auto"/>
        <w:rPr>
          <w:sz w:val="20"/>
          <w:szCs w:val="20"/>
          <w:color w:val="auto"/>
        </w:rPr>
      </w:pPr>
      <w:r>
        <w:rPr>
          <w:rFonts w:ascii="Times New Roman" w:cs="Times New Roman" w:eastAsia="Times New Roman" w:hAnsi="Times New Roman"/>
          <w:sz w:val="18"/>
          <w:szCs w:val="18"/>
          <w:color w:val="auto"/>
        </w:rPr>
        <w:t>As of December 31, 2024, minimum annual rental payments under the Company’s operating lease agreements are as follows (in thousands), excluding short-term leases: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(1,101 )</w:t>
            </w:r>
          </w:p>
        </w:tc>
      </w:tr>
      <w:tr>
        <w:trPr>
          <w:trHeight w:val="249"/>
        </w:trPr>
        <w:tc>
          <w:tcPr>
            <w:tcW w:w="7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8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7"/>
                <w:szCs w:val="17"/>
                <w:color w:val="auto"/>
              </w:rPr>
            </w:pPr>
          </w:p>
        </w:tc>
      </w:tr>
      <w:tr>
        <w:trPr>
          <w:trHeight w:val="250"/>
        </w:trPr>
        <w:tc>
          <w:tcPr>
            <w:tcW w:w="7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current portion</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-762635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-334010</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-316230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In October 2024, as part of the October Offering, the Company issued (i) pre-funded warrants to purchase 333,333 shares of Class A common stock, and (ii) Series C common warrants, which will accompany the Class A common stock and pre-funded warrants, to purchase an aggregate of 3,333,333 shares of Class A common stock. The pre-funded warrants are exercisable immediately and have an unlimited term and an exercise price of $0.0001 per share. The Series C common warrants are exercisable immediately following the closing date of the October Offering, will expire five years from the date of issuance and will have an exercise price of $3.00 per share. The Series C warrants include certain rights upon “fundamental transactions,” as described in the Series C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C warrants on the date of the consummation of the fundamental transactions. In October 2024, the pre-funded warrants were fully exercised for de minimis proceeds. As of December 31, 2024, there were 3,333,333 Series C warrants outstanding.</w:t>
      </w:r>
    </w:p>
    <w:p>
      <w:pPr>
        <w:spacing w:after="0" w:line="1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July 2024, as part of the July Offering, the Company issued (i) pre-funded warrants to purchase 446,753 shares of Class A common stock,</w:t>
      </w:r>
    </w:p>
    <w:p>
      <w:pPr>
        <w:spacing w:after="0" w:line="27" w:lineRule="exact"/>
        <w:rPr>
          <w:sz w:val="20"/>
          <w:szCs w:val="20"/>
          <w:color w:val="auto"/>
        </w:rPr>
      </w:pPr>
    </w:p>
    <w:p>
      <w:pPr>
        <w:ind w:firstLine="8"/>
        <w:spacing w:after="0" w:line="251"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common warrants to purchase an aggregate of 3,246,753 shares of Class A common stock and (iii) Series B common warrants to purchase an aggregate of 3,246,753 shares of Class A common stock. The pre-funded warrants are exercisable immediately and have an unlimited term and an exercise price of $0.0001 per share. Pursuant to the October Offering, Series A common warrants to purchase an aggregate of 3,246,753 shares of Class A common stock issued in the July Offering were cancelled. The Series B warrants will be exercisable following the six-month anniversary of the closing date of the July Offering, will expire five and a half years from the date of issuance and will have an exercise price of $3.08 per share. The Series B warrants include certain rights upon “fundamental transactions,” as described in the Series B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B warrants on the date of the consummation of the fundamental transactions. In August 2024, the pre-funded warrants were fully exercised for de minimis proceeds. As of December 31, 2024, there were 3,246,753 Series B warrants outstanding.</w:t>
      </w:r>
    </w:p>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jc w:val="both"/>
        <w:ind w:right="100" w:firstLine="1018"/>
        <w:spacing w:after="0" w:line="261" w:lineRule="auto"/>
        <w:rPr>
          <w:sz w:val="20"/>
          <w:szCs w:val="20"/>
          <w:color w:val="auto"/>
        </w:rPr>
      </w:pPr>
      <w:r>
        <w:rPr>
          <w:rFonts w:ascii="Times New Roman" w:cs="Times New Roman" w:eastAsia="Times New Roman" w:hAnsi="Times New Roman"/>
          <w:sz w:val="18"/>
          <w:szCs w:val="18"/>
          <w:color w:val="auto"/>
        </w:rPr>
        <w:t>In August 2022, in conjunction with a loan and security agreement (Note 13),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December 31, 2024, there were 76,336 warrants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As of December 31, 2024, Rani Holdings held approximately 57% of the Class A Units of Rani LLC, and approximately 43% of the outstanding Class A Units of Rani LLC are held by the Continuing LLC Owners. From the date of the Organizational Transactions to December 31, 2024, 5,318,539 Paired Interests and 315,892 non-corresponding Class A Units of Rani LLC were exchanged for an equal number of shares of the Company's Class A common stock. For the years ended December 31, 2024 and 2023, certain of the Continuing LLC Owners executed an exchange of 144,592 and zero Paired Interests and 115,437 and 42,404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 In accordance with the Rani LLC Agreement, Rani LLC also issues a corresponding Class A Unit to Rani Holdings for each share of common stock issued by Rani Holdings. This increases Rani Holdings’ ownership in Rani LLC.</w:t>
      </w:r>
    </w:p>
    <w:p>
      <w:pPr>
        <w:spacing w:after="0" w:line="188"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In October 2024, the Company closed the October Offering, pursuant to which it issued and sold: (i) 3,000,000 shares of its Class A common stock, par value $0.0001 per share, (ii) pre-funded warrants to purchase 333,333 shares of Class A common stock, and (iii) Series C common warrants, which will accompany the Class A common stock and pre-funded warrants, to purchase an aggregate of 3,333,333 shares of Class A common stock. Pursuant to the October Securities Purchase Agreement, Series A common warrants to purchase an aggregate of 3,246,753 shares of Class A common stock issued in the July Offering were cancelled. The aggregate net proceeds from the October Offering totaled $9.4 million, after deducting placement agent fees and other offering expenses, and excluding potential proceeds, if any, from the exercise of the Series C common warrants issued in the October Offering. In October 2024, the pre-funded warrants were fully exercised for de minimis proceeds.</w:t>
      </w:r>
    </w:p>
    <w:p>
      <w:pPr>
        <w:spacing w:after="0" w:line="189" w:lineRule="exact"/>
        <w:rPr>
          <w:sz w:val="20"/>
          <w:szCs w:val="20"/>
          <w:color w:val="auto"/>
        </w:rPr>
      </w:pPr>
    </w:p>
    <w:p>
      <w:pPr>
        <w:ind w:right="80" w:firstLine="1018"/>
        <w:spacing w:after="0" w:line="255" w:lineRule="auto"/>
        <w:rPr>
          <w:sz w:val="20"/>
          <w:szCs w:val="20"/>
          <w:color w:val="auto"/>
        </w:rPr>
      </w:pPr>
      <w:r>
        <w:rPr>
          <w:rFonts w:ascii="Times New Roman" w:cs="Times New Roman" w:eastAsia="Times New Roman" w:hAnsi="Times New Roman"/>
          <w:sz w:val="18"/>
          <w:szCs w:val="18"/>
          <w:color w:val="auto"/>
        </w:rPr>
        <w:t>In July 2024, the Company closed the July Offering, pursuant to which it issued and sold: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aggregate net proceeds from the July Offering totaled $8.9 million, after deducting placement agent fees and other offering expenses, and excluding potential proceeds, if any, from the exercise of the Series A common warrants and Series B common warrants issued in the July Offering. In August 2024, the pre-funded warrants were fully exercised for de minimis proceeds.</w:t>
      </w:r>
    </w:p>
    <w:p>
      <w:pPr>
        <w:spacing w:after="0" w:line="189" w:lineRule="exact"/>
        <w:rPr>
          <w:sz w:val="20"/>
          <w:szCs w:val="20"/>
          <w:color w:val="auto"/>
        </w:rPr>
      </w:pPr>
    </w:p>
    <w:p>
      <w:pPr>
        <w:ind w:right="60" w:firstLine="1018"/>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reserved 0.5 million shares of Class A Common Stock for issuance under the Rani Therapeutics Holdings, Inc. 2021 Employee Stock Purchase Plan (the “ESPP”) and 2.0 million shares of Class A common stock for future issuance under the 2021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stock option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5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6,639,811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4,204,325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(18,757 )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(599,946 )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10,225,433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5,162,703</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7.52</w:t>
            </w:r>
          </w:p>
        </w:tc>
        <w:tc>
          <w:tcPr>
            <w:tcW w:w="1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44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Nonvested at December 31, 2024</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5,062,730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4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8.79</w:t>
            </w:r>
          </w:p>
        </w:tc>
        <w:tc>
          <w:tcPr>
            <w:tcW w:w="440" w:type="dxa"/>
            <w:vAlign w:val="bottom"/>
            <w:tcBorders>
              <w:bottom w:val="single" w:sz="8" w:color="CFF0FC"/>
            </w:tcBorders>
            <w:gridSpan w:val="2"/>
            <w:shd w:val="clear" w:color="auto" w:fill="CFF0FC"/>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-351155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-333375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1" w:name="page142"/>
    <w:bookmarkEnd w:id="141"/>
    <w:p>
      <w:pPr>
        <w:ind w:right="320" w:firstLine="1018"/>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each stock option award on the date of grant. The assumptions and estimates are as follows:</w:t>
      </w:r>
    </w:p>
    <w:p>
      <w:pPr>
        <w:spacing w:after="0" w:line="160" w:lineRule="exact"/>
        <w:rPr>
          <w:sz w:val="20"/>
          <w:szCs w:val="20"/>
          <w:color w:val="auto"/>
        </w:rPr>
      </w:pPr>
    </w:p>
    <w:p>
      <w:pPr>
        <w:ind w:left="1020" w:right="120" w:hanging="503"/>
        <w:spacing w:after="0" w:line="284"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of time that stock option awards are expected to remain outstanding.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expected term as the midpoint between actual or expected vesting date and the contractual term.</w:t>
      </w:r>
    </w:p>
    <w:p>
      <w:pPr>
        <w:spacing w:after="0" w:line="158" w:lineRule="exact"/>
        <w:rPr>
          <w:rFonts w:ascii="Times New Roman" w:cs="Times New Roman" w:eastAsia="Times New Roman" w:hAnsi="Times New Roman"/>
          <w:sz w:val="18"/>
          <w:szCs w:val="18"/>
          <w:color w:val="auto"/>
        </w:rPr>
      </w:pPr>
    </w:p>
    <w:p>
      <w:pPr>
        <w:jc w:val="both"/>
        <w:ind w:left="1020" w:right="20" w:hanging="503"/>
        <w:spacing w:after="0" w:line="267"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volatility was derived from the historical stock volatilities of peer public companies within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that are considered to be comparable businesses over a period equivalent to the expected term of the stock option awards, since there has been limited trading history of the Company's stock.</w:t>
      </w:r>
    </w:p>
    <w:p>
      <w:pPr>
        <w:spacing w:after="0" w:line="173"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curve in effect at the date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approximately equal to the stock option awards’ expected term.</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expected dividend yield is zero as the Company has no plans to make dividend payments.</w:t>
      </w:r>
    </w:p>
    <w:p>
      <w:pPr>
        <w:spacing w:after="0" w:line="2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weighted average assumptions used in estimating the fair value of stock option awards on the grant date:</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12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20" w:type="dxa"/>
            <w:vAlign w:val="bottom"/>
          </w:tcPr>
          <w:p>
            <w:pPr>
              <w:spacing w:after="0"/>
              <w:rPr>
                <w:sz w:val="12"/>
                <w:szCs w:val="12"/>
                <w:color w:val="auto"/>
              </w:rPr>
            </w:pPr>
          </w:p>
        </w:tc>
        <w:tc>
          <w:tcPr>
            <w:tcW w:w="11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Borders>
              <w:bottom w:val="single" w:sz="8" w:color="auto"/>
            </w:tcBorders>
          </w:tcPr>
          <w:p>
            <w:pPr>
              <w:jc w:val="right"/>
              <w:ind w:right="10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84.0 - 85.8  %</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3.73 - 3.93  %</w:t>
            </w: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5.1 - 5.9</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0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right="440" w:firstLine="1018"/>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$18.4 million of unrecognized stock-based compensation expense related to stock options which is expected to be recognized over a weighted-average period of approximately 2.6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RSU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20" w:type="dxa"/>
            <w:vAlign w:val="bottom"/>
          </w:tcPr>
          <w:p>
            <w:pPr>
              <w:spacing w:after="0"/>
              <w:rPr>
                <w:sz w:val="13"/>
                <w:szCs w:val="13"/>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5320" w:type="dxa"/>
            <w:vAlign w:val="bottom"/>
          </w:tcPr>
          <w:p>
            <w:pPr>
              <w:spacing w:after="0"/>
              <w:rPr>
                <w:sz w:val="15"/>
                <w:szCs w:val="15"/>
                <w:color w:val="auto"/>
              </w:rPr>
            </w:pPr>
          </w:p>
        </w:tc>
        <w:tc>
          <w:tcPr>
            <w:tcW w:w="222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1,276,111</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(394,760 )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(69,458 )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FF0FC"/>
          </w:tcPr>
          <w:p>
            <w:pPr>
              <w:spacing w:after="0"/>
              <w:rPr>
                <w:sz w:val="18"/>
                <w:szCs w:val="18"/>
                <w:color w:val="auto"/>
              </w:rPr>
            </w:pP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811,893</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$4.9 million of unrecognized stock-based compensation expense related to RSUs which is expected to be recognized over a weighted-average period of approximately 2.0 years. The total fair value of RSUs vested was $1.1 million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RSA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20" w:type="dxa"/>
            <w:vAlign w:val="bottom"/>
          </w:tcPr>
          <w:p>
            <w:pPr>
              <w:spacing w:after="0"/>
              <w:rPr>
                <w:sz w:val="13"/>
                <w:szCs w:val="13"/>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5320" w:type="dxa"/>
            <w:vAlign w:val="bottom"/>
          </w:tcPr>
          <w:p>
            <w:pPr>
              <w:spacing w:after="0"/>
              <w:rPr>
                <w:sz w:val="15"/>
                <w:szCs w:val="15"/>
                <w:color w:val="auto"/>
              </w:rPr>
            </w:pPr>
          </w:p>
        </w:tc>
        <w:tc>
          <w:tcPr>
            <w:tcW w:w="22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18"/>
                <w:szCs w:val="18"/>
                <w:color w:val="auto"/>
              </w:rPr>
            </w:pP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2024, unrecognized stock-based compensation expense related to RSAs was de minimis which is expected to be recognized over a weighted-average period of approximately 0.1 years. The total fair value of RSAs vested was $0.1 million for the year ended December 31, 2024.</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229"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As of December 31, 2024, 0.2 million shares of Class A common stock have been issued under the ESPP. During the years ended December 31, 2024 and 2023, the Company recognized $0.2 million and $0.3 million, respectively, of stock-based compensation expense related to the ESPP. As of December 31, 2024, unrecognized stock-based compensation expense related to the ESPP was de minimis which is expected to be recognized over a weighted-average period of approximately 0.1 years. As of December 31, 2024, contributions withheld from employees was de minimis and are recorded as a component of accrued expenses and other current liabilities in the consolidated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resulting from the grant of stock options, RSUs, RSAs, and the ESPP, recorded in the Company’s consolidated statement of operations and comprehensive loss (in thousands):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2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100" w:type="dxa"/>
            <w:vAlign w:val="bottom"/>
          </w:tcPr>
          <w:p>
            <w:pPr>
              <w:spacing w:after="0"/>
              <w:rPr>
                <w:sz w:val="18"/>
                <w:szCs w:val="18"/>
                <w:color w:val="auto"/>
              </w:rPr>
            </w:pPr>
          </w:p>
        </w:tc>
      </w:tr>
      <w:tr>
        <w:trPr>
          <w:trHeight w:val="230"/>
        </w:trPr>
        <w:tc>
          <w:tcPr>
            <w:tcW w:w="5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6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102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00" w:type="dxa"/>
            <w:vAlign w:val="bottom"/>
            <w:shd w:val="clear" w:color="auto" w:fill="CFF0FC"/>
          </w:tcPr>
          <w:p>
            <w:pPr>
              <w:spacing w:after="0"/>
              <w:rPr>
                <w:sz w:val="19"/>
                <w:szCs w:val="19"/>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The Company is party to a TRA with certain of the Continuing LLC Owners (Note 2). As of December 31, 2024,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$23.3 million at December 31, 2024.</w:t>
      </w:r>
    </w:p>
    <w:p>
      <w:pPr>
        <w:spacing w:after="0" w:line="183"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purpose of the Loans is for general corporate purposes. In exchange for access to this facility, the Company agreed to issue warrants (Note 9).</w:t>
      </w:r>
    </w:p>
    <w:p>
      <w:pPr>
        <w:spacing w:after="0" w:line="79"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3" w:name="page144"/>
    <w:bookmarkEnd w:id="143"/>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Pursuant to the Loan Agreement, the maturity date for the Loans is August 1, 2026 (the “Maturity Date”). The Loan principal is repayable in equal monthly installments beginning September 2024.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December 31, 2024, the effective interest rate on the Loans was 15.02% and there were no events of default during the year ended December 31, 2024.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December 31, 2024, the Company was in compliance with all applicable financial covenants under the Loan Agreement.</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of December 31, 2024, future principal payments for the Company’s debt are as follows (in thousands):</w:t>
      </w:r>
    </w:p>
    <w:p>
      <w:pPr>
        <w:spacing w:after="0" w:line="27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09"/>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principal payments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amount representing debt discount</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(387 )</w:t>
            </w:r>
          </w:p>
        </w:tc>
      </w:tr>
      <w:tr>
        <w:trPr>
          <w:trHeight w:val="210"/>
        </w:trPr>
        <w:tc>
          <w:tcPr>
            <w:tcW w:w="78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100" w:type="dxa"/>
            <w:vAlign w:val="bottom"/>
            <w:tcBorders>
              <w:top w:val="single" w:sz="8" w:color="CFF0FC"/>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2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Less: current portion of long-term debt</w:t>
            </w:r>
          </w:p>
        </w:tc>
        <w:tc>
          <w:tcPr>
            <w:tcW w:w="6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-479425</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right="200" w:firstLine="1018"/>
        <w:spacing w:after="0" w:line="261" w:lineRule="auto"/>
        <w:rPr>
          <w:sz w:val="20"/>
          <w:szCs w:val="20"/>
          <w:color w:val="auto"/>
        </w:rPr>
      </w:pPr>
      <w:r>
        <w:rPr>
          <w:rFonts w:ascii="Times New Roman" w:cs="Times New Roman" w:eastAsia="Times New Roman" w:hAnsi="Times New Roman"/>
          <w:sz w:val="18"/>
          <w:szCs w:val="18"/>
          <w:color w:val="auto"/>
        </w:rPr>
        <w:t>There was no income tax expense for the years ended December 31, 2024 and 2023, respectively. The effective tax rate for the years ended December 31, 2024 and 2023 is different from the federal statutory rate primarily due to the valuation allowance against deferred tax assets as a result of insufficient sources of income and pass-through loss not subject to income tax. A reconciliation between the Company’s effective tax rate and the applicable U.S. federal statutory income tax rate is summarized as follows:</w:t>
      </w:r>
    </w:p>
    <w:p>
      <w:pPr>
        <w:spacing w:after="0" w:line="25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7620</wp:posOffset>
            </wp:positionV>
            <wp:extent cx="27349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35"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21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30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300" w:type="dxa"/>
            <w:vAlign w:val="bottom"/>
            <w:shd w:val="clear" w:color="auto" w:fill="CFF0FC"/>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300" w:type="dxa"/>
            <w:vAlign w:val="bottom"/>
            <w:shd w:val="clear" w:color="auto" w:fill="CFF0FC"/>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(16.5 )</w:t>
            </w:r>
          </w:p>
        </w:tc>
        <w:tc>
          <w:tcPr>
            <w:tcW w:w="30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(16.1 )</w:t>
            </w:r>
          </w:p>
        </w:tc>
        <w:tc>
          <w:tcPr>
            <w:tcW w:w="300" w:type="dxa"/>
            <w:vAlign w:val="bottom"/>
            <w:shd w:val="clear" w:color="auto" w:fill="CFF0FC"/>
          </w:tcPr>
          <w:p>
            <w:pPr>
              <w:spacing w:after="0"/>
              <w:rPr>
                <w:sz w:val="18"/>
                <w:szCs w:val="18"/>
                <w:color w:val="auto"/>
              </w:rPr>
            </w:pPr>
          </w:p>
        </w:tc>
      </w:tr>
      <w:tr>
        <w:trPr>
          <w:trHeight w:val="210"/>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CFF0FC"/>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-170815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939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20" w:firstLine="1018"/>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46,258</w:t>
            </w:r>
          </w:p>
        </w:tc>
        <w:tc>
          <w:tcPr>
            <w:tcW w:w="28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69,072</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(69,072 )</w:t>
            </w:r>
          </w:p>
        </w:tc>
        <w:tc>
          <w:tcPr>
            <w:tcW w:w="7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(60,999 )</w:t>
            </w:r>
          </w:p>
        </w:tc>
      </w:tr>
      <w:tr>
        <w:trPr>
          <w:trHeight w:val="25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4" w:name="page145"/>
    <w:bookmarkEnd w:id="144"/>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Because of the Company’s recent history of operating losses, the Company believes that recognition of the deferred tax assets arising from the above-mentioned future tax benefits is currently not likely to be realized and, accordingly, has recognized a full valuation allowance on its deferred tax assets. The valuation allowance increased by $8.1 million and $8.2 million for the years ended December 31, 2024 and 2023, respectively, primarily due to the increase in the Company’s net operating losses (“NOL”) during the period.</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of December 31, 2024, the Company had the following tax attribute carryforwards that will expire on various dates as follows: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28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Years</w:t>
            </w: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losses, federal (post December 31, 2017)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61,725</w:t>
            </w:r>
          </w:p>
        </w:tc>
        <w:tc>
          <w:tcPr>
            <w:tcW w:w="28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state (definite)</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91,958</w:t>
            </w:r>
          </w:p>
        </w:tc>
        <w:tc>
          <w:tcPr>
            <w:tcW w:w="22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2041 - 2044</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 federal</w:t>
            </w: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2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2041 - 2044</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 state</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79"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Pursuant to Internal Revenue Code (“IRC”) Sections 382 and 383, annual use of the Company’s research and development credit carryforwards may be limited in the event cumulative change in ownership of more than 50% occurs within a three-year period. As of December 31, 2024,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3"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The Company is subject to United States federal and California income taxes and is not currently under examination by any federal or state taxing authorities. The federal and California returns for tax years 2020 through 2023 remain open to examination.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changes in the amount of the unrecognized tax benefits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current year positions</w:t>
            </w:r>
          </w:p>
        </w:tc>
        <w:tc>
          <w:tcPr>
            <w:tcW w:w="1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related to prior year positions</w:t>
            </w: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prior year positions</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260" w:firstLine="1018"/>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2024 is $0.6 million that if recognized would impact the Company’s income tax benefit and effective tax rate. The Company does not expect any significant increases or decreases in its unrecognized tax benefits within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The Company is party to a TRA with the Continuing LLC Owners (Note 2). As of December 31, 2024, the Company has not recorded a liability under the TRA related to the income tax benefits originating from the exchanges of Paired Interests or non-corresponding Class A Units of Rani LLC as it is not probable that the Company will realize such tax benefits (Note 12).</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29"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Class A common share attributable to Rani Holdings (in thousands, except per share data):</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(30,018 ) $</w:t>
            </w: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(33,970 )</w:t>
            </w:r>
          </w:p>
        </w:tc>
        <w:tc>
          <w:tcPr>
            <w:tcW w:w="0" w:type="dxa"/>
            <w:vAlign w:val="bottom"/>
          </w:tcPr>
          <w:p>
            <w:pPr>
              <w:spacing w:after="0"/>
              <w:rPr>
                <w:sz w:val="1"/>
                <w:szCs w:val="1"/>
                <w:color w:val="auto"/>
              </w:rPr>
            </w:pPr>
          </w:p>
        </w:tc>
      </w:tr>
      <w:tr>
        <w:trPr>
          <w:trHeight w:val="194"/>
        </w:trPr>
        <w:tc>
          <w:tcPr>
            <w:tcW w:w="6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w:t>
            </w:r>
          </w:p>
        </w:tc>
        <w:tc>
          <w:tcPr>
            <w:tcW w:w="360" w:type="dxa"/>
            <w:vAlign w:val="bottom"/>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Class A common share outstanding—basic and diluted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(1.05 ) $</w:t>
            </w:r>
          </w:p>
        </w:tc>
        <w:tc>
          <w:tcPr>
            <w:tcW w:w="1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4"/>
        </w:trPr>
        <w:tc>
          <w:tcPr>
            <w:tcW w:w="62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Inc.—basic and diluted</w:t>
            </w:r>
          </w:p>
        </w:tc>
        <w:tc>
          <w:tcPr>
            <w:tcW w:w="360" w:type="dxa"/>
            <w:vAlign w:val="bottom"/>
            <w:vMerge w:val="continue"/>
            <w:shd w:val="clear" w:color="auto" w:fill="CFF0FC"/>
          </w:tcPr>
          <w:p>
            <w:pPr>
              <w:spacing w:after="0"/>
              <w:rPr>
                <w:sz w:val="18"/>
                <w:szCs w:val="18"/>
                <w:color w:val="auto"/>
              </w:rPr>
            </w:pPr>
          </w:p>
        </w:tc>
        <w:tc>
          <w:tcPr>
            <w:tcW w:w="1660" w:type="dxa"/>
            <w:vAlign w:val="bottom"/>
            <w:gridSpan w:val="3"/>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-839470</wp:posOffset>
            </wp:positionV>
            <wp:extent cx="59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-839470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outstanding securities considered anti-dilutive and therefore excluded from the computation of diluted net loss per Class A common share attributable to Rani Holdings (in thousands):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21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150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Paired Interests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Non-corresponding Class A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42,960</w:t>
            </w: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33,601</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-170815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year ended December 31, 2024. Therefore, they are not included in the computation of net loss per Class A common share attributable to Rani Therapeutics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presented on a consolidated basis. The CODM assesses operating performance and makes resource allocation decisions primarily based on net loss, cash on-hand and cash flows utilizing the Company’s long-range plan, which includes product development roadmaps and long-range financial models. Significant expenses include research and development and general and administrative expenses, which are each separately presented on the Company’s Consolidated Statements of Operations. Other segment items within net loss include interest income and other, net and interest expense and other, net. See the consolidated financial statements for other financial information regarding the Company’s operating segment.</w:t>
      </w:r>
    </w:p>
    <w:p>
      <w:pPr>
        <w:spacing w:after="0" w:line="187" w:lineRule="exact"/>
        <w:rPr>
          <w:sz w:val="20"/>
          <w:szCs w:val="20"/>
          <w:color w:val="auto"/>
        </w:rPr>
      </w:pPr>
    </w:p>
    <w:p>
      <w:pPr>
        <w:ind w:right="360" w:firstLine="1018"/>
        <w:spacing w:after="0" w:line="282" w:lineRule="auto"/>
        <w:rPr>
          <w:sz w:val="20"/>
          <w:szCs w:val="20"/>
          <w:color w:val="auto"/>
        </w:rPr>
      </w:pPr>
      <w:r>
        <w:rPr>
          <w:rFonts w:ascii="Times New Roman" w:cs="Times New Roman" w:eastAsia="Times New Roman" w:hAnsi="Times New Roman"/>
          <w:sz w:val="18"/>
          <w:szCs w:val="18"/>
          <w:color w:val="auto"/>
        </w:rPr>
        <w:t>The Company’s long-lived assets recognized on the Consolidated Balance Sheets primarily consisted of property and equipment, net and operating lease right-of-use assets, which are located within the US.</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Annual Report on Form 10-K.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of the Exchange Act. Under the supervision and with the participation of our management, including our CEO and CFO,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our internal control over financial reporting was effective as of December 31, 2024.</w:t>
      </w:r>
    </w:p>
    <w:p>
      <w:pPr>
        <w:spacing w:after="0" w:line="187" w:lineRule="exact"/>
        <w:rPr>
          <w:sz w:val="20"/>
          <w:szCs w:val="20"/>
          <w:color w:val="auto"/>
        </w:rPr>
      </w:pPr>
    </w:p>
    <w:p>
      <w:pPr>
        <w:jc w:val="both"/>
        <w:ind w:firstLine="101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has evaluated any changes in our internal control over financial reporting that occurred during the quarter ended December 31, 2024, and has concluded that there was no change during such quarter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0" w:firstLine="101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is incorporated by reference to the information set forth in the sections titled “Election of Directors”, “Insider Trading Policy” and “Information Regarding the Board of Directors and Corporate Governance” in our definitive Proxy Statement for our 2025 Annual Meeting of Stockholders (the “Proxy Statement”) to be filed with the SEC within 120 days after December 31, 2024.</w:t>
      </w:r>
    </w:p>
    <w:p>
      <w:pPr>
        <w:spacing w:after="0" w:line="176"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https://www.ranitherapeutics.com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0" w:firstLine="10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“—Executive Compensation” in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40" w:firstLine="10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in the section titled “Security Ownership of Certain Beneficial Owners and Management” in our Proxy Statement.</w:t>
      </w:r>
    </w:p>
    <w:p>
      <w:pPr>
        <w:spacing w:after="0" w:line="162" w:lineRule="exact"/>
        <w:rPr>
          <w:sz w:val="20"/>
          <w:szCs w:val="20"/>
          <w:color w:val="auto"/>
        </w:rPr>
      </w:pPr>
    </w:p>
    <w:p>
      <w:pPr>
        <w:ind w:right="80" w:firstLine="101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of Regulation S-K will be set forth in the section titled “—Equity Compensation Plan Information” in our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60" w:firstLine="10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“Transactions with Related Persons and Indemnification” and “—Independence of The Board of Directors” in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“Ratification of Selection of Independent Registered Public Accounting Firm” in our Proxy Statement.</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p>
      <w:pPr>
        <w:spacing w:after="0" w:line="229"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The financial statements and reports of independent registered public accounting firm are filed as part of this Annual Report (see “Index to Consolidated Financial Statements” at Item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229"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included because the information is either provided in the consolidated financial statements, is not required under the instructions or is immaterial, and such schedules, therefore have been omitted.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r>
        <w:rPr>
          <w:rFonts w:ascii="Times New Roman" w:cs="Times New Roman" w:eastAsia="Times New Roman" w:hAnsi="Times New Roman"/>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40" w:type="dxa"/>
            <w:vAlign w:val="bottom"/>
            <w:gridSpan w:val="38"/>
          </w:tcPr>
          <w:p>
            <w:pPr>
              <w:jc w:val="right"/>
              <w:ind w:right="2320"/>
              <w:spacing w:after="0"/>
              <w:rPr>
                <w:sz w:val="20"/>
                <w:szCs w:val="20"/>
                <w:color w:val="auto"/>
              </w:rPr>
            </w:pPr>
            <w:r>
              <w:rPr>
                <w:rFonts w:ascii="Times New Roman" w:cs="Times New Roman" w:eastAsia="Times New Roman" w:hAnsi="Times New Roman"/>
                <w:sz w:val="18"/>
                <w:szCs w:val="18"/>
                <w:color w:val="auto"/>
                <w:w w:val="99"/>
              </w:rPr>
              <w:t>The following is a list of all exhibits and financial statement schedules filed or furnished as part of this report:</w:t>
            </w:r>
          </w:p>
        </w:tc>
        <w:tc>
          <w:tcPr>
            <w:tcW w:w="0" w:type="dxa"/>
            <w:vAlign w:val="bottom"/>
          </w:tcPr>
          <w:p>
            <w:pPr>
              <w:spacing w:after="0"/>
              <w:rPr>
                <w:sz w:val="1"/>
                <w:szCs w:val="1"/>
                <w:color w:val="auto"/>
              </w:rPr>
            </w:pPr>
          </w:p>
        </w:tc>
      </w:tr>
      <w:tr>
        <w:trPr>
          <w:trHeight w:val="3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gridSpan w:val="30"/>
            <w:vMerge w:val="restart"/>
          </w:tcPr>
          <w:p>
            <w:pPr>
              <w:jc w:val="right"/>
              <w:ind w:righ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80" w:type="dxa"/>
            <w:vAlign w:val="bottom"/>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960" w:type="dxa"/>
            <w:vAlign w:val="bottom"/>
            <w:tcBorders>
              <w:top w:val="single" w:sz="8" w:color="auto"/>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Amended and Restated Certificate of Incorporation of the Registrant as currently in effect (incorporated by reference to Exhibit 3.1 to the</w:t>
              </w:r>
            </w:hyperlink>
          </w:p>
        </w:tc>
        <w:tc>
          <w:tcPr>
            <w:tcW w:w="120" w:type="dxa"/>
            <w:vAlign w:val="bottom"/>
            <w:tcBorders>
              <w:top w:val="single" w:sz="8" w:color="auto"/>
            </w:tcBorders>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Registrant’s Registration Statement on Form S-1, as amended, filed with the SEC on July 26, 2021).</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4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Amended and Restated Bylaws of the Registrant as currently in effect (incorporated by reference to Exhibit 3.4 to the Registrant’s</w:t>
              </w:r>
            </w:hyperlink>
          </w:p>
        </w:tc>
        <w:tc>
          <w:tcPr>
            <w:tcW w:w="6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Registration Statement on Form S-1, as amended, filed with the SEC on July 9, 2021).</w:t>
              </w:r>
            </w:hyperlink>
          </w:p>
        </w:tc>
        <w:tc>
          <w:tcPr>
            <w:tcW w:w="20" w:type="dxa"/>
            <w:vAlign w:val="bottom"/>
            <w:tcBorders>
              <w:bottom w:val="single" w:sz="8" w:color="0000EE"/>
            </w:tcBorders>
          </w:tcPr>
          <w:p>
            <w:pPr>
              <w:spacing w:after="0"/>
              <w:rPr>
                <w:sz w:val="17"/>
                <w:szCs w:val="17"/>
                <w:color w:val="auto"/>
              </w:rPr>
            </w:pPr>
          </w:p>
        </w:tc>
        <w:tc>
          <w:tcPr>
            <w:tcW w:w="38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97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Specimen Class A common stock certificate of the Registrant (incorporated by reference to Exhibit 4.1 to the Registrant’s Registration</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Statement on Form S-1, as amended, filed with the SEC on July 26, 2021).</w:t>
              </w:r>
            </w:hyperlink>
          </w:p>
        </w:tc>
        <w:tc>
          <w:tcPr>
            <w:tcW w:w="20" w:type="dxa"/>
            <w:vAlign w:val="bottom"/>
            <w:tcBorders>
              <w:bottom w:val="single" w:sz="8" w:color="0000EE"/>
            </w:tcBorders>
          </w:tcPr>
          <w:p>
            <w:pPr>
              <w:spacing w:after="0"/>
              <w:rPr>
                <w:sz w:val="17"/>
                <w:szCs w:val="17"/>
                <w:color w:val="auto"/>
              </w:rPr>
            </w:pPr>
          </w:p>
        </w:tc>
        <w:tc>
          <w:tcPr>
            <w:tcW w:w="47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100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Description of Securities (incorporated by reference to Exhibit 4.2 to the Registrant’s Quarterly Report on Form 10-Q for the quarter ended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June 30, 2022 filed 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Form of Series B Common Warrant (incorporated by reference to Exhibit 4.2 to the Registrant’s Current Report on Form 8-K dated July</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22, 2024, filed with the SEC on July 23, 2024).</w:t>
              </w:r>
            </w:hyperlink>
          </w:p>
        </w:tc>
        <w:tc>
          <w:tcPr>
            <w:tcW w:w="20" w:type="dxa"/>
            <w:vAlign w:val="bottom"/>
            <w:tcBorders>
              <w:bottom w:val="single" w:sz="8" w:color="0000EE"/>
            </w:tcBorders>
          </w:tcPr>
          <w:p>
            <w:pPr>
              <w:spacing w:after="0"/>
              <w:rPr>
                <w:sz w:val="17"/>
                <w:szCs w:val="17"/>
                <w:color w:val="auto"/>
              </w:rPr>
            </w:pPr>
          </w:p>
        </w:tc>
        <w:tc>
          <w:tcPr>
            <w:tcW w:w="66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95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of Series C Common Warrant (incorporated by reference to Exhibit 4.1 to the Registrant’s Current Report on Form 8-K dated</w:t>
              </w:r>
            </w:hyperlink>
          </w:p>
        </w:tc>
        <w:tc>
          <w:tcPr>
            <w:tcW w:w="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October 15, 2024, filed with the SEC on October 16,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100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Form of Pre-Funded Warrant (incorporated by reference to Exhibit 4.3 to the Registrant’s Current Report on Form 8-K dated July 22, 2024,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filed with the SEC on July 23, 2024).</w:t>
              </w:r>
            </w:hyperlink>
          </w:p>
        </w:tc>
        <w:tc>
          <w:tcPr>
            <w:tcW w:w="20" w:type="dxa"/>
            <w:vAlign w:val="bottom"/>
            <w:tcBorders>
              <w:bottom w:val="single" w:sz="8" w:color="0000EE"/>
            </w:tcBorders>
          </w:tcPr>
          <w:p>
            <w:pPr>
              <w:spacing w:after="0"/>
              <w:rPr>
                <w:sz w:val="17"/>
                <w:szCs w:val="17"/>
                <w:color w:val="auto"/>
              </w:rPr>
            </w:pPr>
          </w:p>
        </w:tc>
        <w:tc>
          <w:tcPr>
            <w:tcW w:w="74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7"/>
                <w:szCs w:val="17"/>
                <w:color w:val="auto"/>
              </w:rPr>
            </w:pPr>
          </w:p>
        </w:tc>
        <w:tc>
          <w:tcPr>
            <w:tcW w:w="99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Form of Pre-Funded Warrant (incorporated by reference to Exhibit 4.2 to the Registrant’s Current Report on Form 8-K dated October 15,</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2024, filed with the SEC on October 16, 2024).</w:t>
              </w:r>
            </w:hyperlink>
          </w:p>
        </w:tc>
        <w:tc>
          <w:tcPr>
            <w:tcW w:w="66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7"/>
                <w:szCs w:val="17"/>
                <w:color w:val="auto"/>
              </w:rPr>
            </w:pPr>
          </w:p>
        </w:tc>
        <w:tc>
          <w:tcPr>
            <w:tcW w:w="93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Form of Warrant to purchase shares of Class A common stock of Registrant, issued to Avenue Venture Opportunities Fund, L.P.</w:t>
              </w:r>
            </w:hyperlink>
          </w:p>
        </w:tc>
        <w:tc>
          <w:tcPr>
            <w:tcW w:w="8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(incorporated by reference to Exhibit 10.3 to the Registrant’s Quarterly Report on form 10-Q for the quarter ended June 30, 2022, filed</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00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Tax Receivable Agreement, effective as of August 3, 2021 (incorporated by reference to Exhibit 10.1 to the Registrant’s Annual Report 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Form 10-K for the year ended December 31, 2021, filed with the SEC on March 31, 2022).</w:t>
              </w:r>
            </w:hyperlink>
          </w:p>
        </w:tc>
        <w:tc>
          <w:tcPr>
            <w:tcW w:w="20" w:type="dxa"/>
            <w:vAlign w:val="bottom"/>
            <w:tcBorders>
              <w:bottom w:val="single" w:sz="8" w:color="0000EE"/>
            </w:tcBorders>
          </w:tcPr>
          <w:p>
            <w:pPr>
              <w:spacing w:after="0"/>
              <w:rPr>
                <w:sz w:val="17"/>
                <w:szCs w:val="17"/>
                <w:color w:val="auto"/>
              </w:rPr>
            </w:pPr>
          </w:p>
        </w:tc>
        <w:tc>
          <w:tcPr>
            <w:tcW w:w="35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99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Class B Unit Exchange Agreement, effective as of August 3, 2021 (incorporated by reference to Exhibit 10.2 to the Registrant’s Quarterly</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0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97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Registration Rights Agreement, effective as of August 3, 2021 (incorporated by reference to Exhibit 10.3 to the Registrant’s Quarterly</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0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92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Fifth Amended and Restated Limited Liability Company Agreement of Rani Therapeutics, LLC, effective as of August 3, 2021</w:t>
              </w:r>
            </w:hyperlink>
          </w:p>
        </w:tc>
        <w:tc>
          <w:tcPr>
            <w:tcW w:w="8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(incorporated by reference to Exhibit 10.4 to the Registrant’s Quarterly Report on Form 10-Q for the quarter ended June 30, 2022 filed</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4580" w:type="dxa"/>
            <w:vAlign w:val="bottom"/>
            <w:gridSpan w:val="1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Form of Indemnification Agreement between the Registrant and each of its directors and executive officers (incorporated by reference to</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Exhibit 10.4 to the Registrant’s Registration Statement on Form S-1, filed with the SEC on July 9, 2021).</w:t>
              </w:r>
            </w:hyperlink>
          </w:p>
        </w:tc>
        <w:tc>
          <w:tcPr>
            <w:tcW w:w="25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Rani Therapeutics, LLC 2016 Equity Incentive Plan and forms of agreement thereunder (incorporated by reference to Exhibit 10.5 to the</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20" w:type="dxa"/>
            <w:vAlign w:val="bottom"/>
            <w:gridSpan w:val="15"/>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98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Rani Therapeutics Holdings, Inc. 2021 Equity Incentive Plan (incorporated by reference to Exhibit 10.7 to the Registrant’s Registration</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Statement on Form S-1, as amended, filed with the SEC on July 26, 2021).</w:t>
              </w:r>
            </w:hyperlink>
          </w:p>
        </w:tc>
        <w:tc>
          <w:tcPr>
            <w:tcW w:w="20" w:type="dxa"/>
            <w:vAlign w:val="bottom"/>
            <w:tcBorders>
              <w:bottom w:val="single" w:sz="8" w:color="0000EE"/>
            </w:tcBorders>
          </w:tcPr>
          <w:p>
            <w:pPr>
              <w:spacing w:after="0"/>
              <w:rPr>
                <w:sz w:val="17"/>
                <w:szCs w:val="17"/>
                <w:color w:val="auto"/>
              </w:rPr>
            </w:pPr>
          </w:p>
        </w:tc>
        <w:tc>
          <w:tcPr>
            <w:tcW w:w="47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7"/>
                <w:szCs w:val="17"/>
                <w:color w:val="auto"/>
              </w:rPr>
            </w:pPr>
          </w:p>
        </w:tc>
        <w:tc>
          <w:tcPr>
            <w:tcW w:w="99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Forms of Agreement under the Rani Therapeutics Holdings, Inc. 2021 Equity Incentive Plan (incorporated by reference to Exhibit 10.8 to</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7"/>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the Registrant’s Quarterly 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34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20" w:type="dxa"/>
            <w:vAlign w:val="bottom"/>
            <w:tcBorders>
              <w:top w:val="single" w:sz="8" w:color="0000FF"/>
            </w:tcBorders>
            <w:gridSpan w:val="19"/>
          </w:tcPr>
          <w:p>
            <w:pPr>
              <w:spacing w:after="0"/>
              <w:rPr>
                <w:sz w:val="24"/>
                <w:szCs w:val="24"/>
                <w:color w:val="auto"/>
              </w:rPr>
            </w:pPr>
          </w:p>
        </w:tc>
        <w:tc>
          <w:tcPr>
            <w:tcW w:w="1080" w:type="dxa"/>
            <w:vAlign w:val="bottom"/>
            <w:gridSpan w:val="18"/>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60" w:type="dxa"/>
            <w:vAlign w:val="bottom"/>
            <w:gridSpan w:val="25"/>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Rani Therapeutics Holdings, Inc. 2021 Employee Stock Purchase Plan (incorporated by reference to Exhibit 10.8 to the Registrant’s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Registration Statement on Form S-1, as amended, filed with the SEC on July 26,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Rani Therapeutics Holdings, Inc. Severance and Change in Control Plan (incorporated by reference to Exhibit 10.8 to the Registrant’s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Registration Statement on Form S-1,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Form of Participation Agreement under the Rani Therapeutics Holdings, Inc. Severance and Change in Control Plan (incorporated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4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reference to Exhibit 10.9 to the Registrant’s Registration Statement on Form S-1,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4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Rani Therapeutics Holdings, Inc. Non-Employee Director Compensation Policy (incorporated by reference to Exhibit 10.11 to the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4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Registrant’s Registration Statement on Form S-1, as amended, filed with the SEC on July 16,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4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Service Agreement, by and between Rani Therapeutics, LLC and InCube Labs, LLC, dated January 1, 2021 (incorporated by reference to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Exhibit 10.15 to the 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Amendment No. 1 to Service Agreement, dated March 21, 2022, by and between Rani Therapeutics, LLC and InCube Labs, LLC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(incorporated by reference to Exhibit 10.14 to the Registrant’s Quarterly Report on Form 10-Q for the quarter ended June 30, 2022, filed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with the SEC on August 10,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tcBorders>
              <w:left w:val="single" w:sz="8" w:color="0000EE"/>
            </w:tcBorders>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Amendment No. 2 to Service Agreement, dated March 15, 2024, by and between Rani Therapeutics, LLC and InCube Labs, LLC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(incorporated by reference to Exhibit 10.15 to the Registrant’s Annual Report on Form 10-K for the year ended December 31, 2023, filed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with the SEC on March 20, 2024).</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Service Agreement, by and between Rani Management Services, Inc. and InCube Labs, LLC, dated January 1, 2021 (incorporated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reference to Exhibit 10.16 to the 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Amendment No. 1 to RMS Service Agreement, dated March 15, 2024, by and between Rani Therapeutics, LLC and InCube Labs, LLC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(incorporated by reference to Exhibit 10.17 to the Registrant’s Annual Report on Form 10-K for the year ended December 31, 2023, filed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with the SEC on March 20, 2024).</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Amended and Restated Exclusive License Agreement, by and between Rani Therapeutics, LLC and InCube Labs, LLC, dated June 22,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2021 (incorporated by reference to Exhibit 10.17 to the Registrant’s Registration Statement on Form S-1, as amended, filed with the SEC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Non-Exclusive License Agreement, by and between Rani Therapeutics, LLC and InCube Labs, LLC, dated June 22, 2021 (incorporated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reference to Exhibit 10.18 to the 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Amended and Restated Employment Agreement, dated August 31, 2022, by and between Rani Therapeutics, LLC and Talat Imran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(incorporated by reference to Exhibit 10.19 to the Registrant’s Annual Report on form 10-K for the year ended December 31, 2022, filed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with the SEC on March 22, 2023).</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Amended and Restated Employment Agreement, dated August 31, 2022, by and between Rani Therapeutics, LLC and Mir Hashim</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(incorporated by reference to Exhibit 10.19 to the Registrant’s Annual Report on form 10-K for the year ended December 31, 2022, filed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with the SEC on March 22, 2023).</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Amended and Restated Employment Agreement, dated August 31, 2022, by and between Rani Therapeutics, LLC and Svai Sanford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(incorporated by reference to Exhibit 10.19 to the Registrant’s Annual Report on form 10-K for the year ended December 31, 2022, filed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with the SEC on March 22, 2023).</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Employment Agreement, dated April 12, 2022, by and between Rani Therapeutics, LLC and Eric Groen (incorporated by reference to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Exhibit 10.2 to the Registrant’s Quarterly Report on form 10-Q for the quarter ended March 31, 2022, filed with the SEC on May 11,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389">
              <w:r>
                <w:rPr>
                  <w:rFonts w:ascii="Times New Roman" w:cs="Times New Roman" w:eastAsia="Times New Roman" w:hAnsi="Times New Roman"/>
                  <w:sz w:val="18"/>
                  <w:szCs w:val="18"/>
                  <w:color w:val="0000FF"/>
                  <w:w w:val="90"/>
                </w:rPr>
                <w:t>2022).</w:t>
              </w:r>
            </w:hyperlink>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10.24+x</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Employment Agreement, dated May 17, 2023, by and between Rani Therapeutics, LLC and Kate McKinley (incorporated by reference to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Exhibit 10.2 to the Registrant’s Quarterly Report on form 10-Q for the quarter ended June 30, 2023, filed with the SEC on August 11,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390">
              <w:r>
                <w:rPr>
                  <w:rFonts w:ascii="Times New Roman" w:cs="Times New Roman" w:eastAsia="Times New Roman" w:hAnsi="Times New Roman"/>
                  <w:sz w:val="18"/>
                  <w:szCs w:val="18"/>
                  <w:color w:val="0000FF"/>
                  <w:w w:val="90"/>
                </w:rPr>
                <w:t>2023).</w:t>
              </w:r>
            </w:hyperlink>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Loan and Security Agreement, dated August 8, 2022, by and among the Registrant, its subsidiaries Rani Therapeutics, LLC and Rani</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Management Services, Inc., and Avenue Venture Opportunities Fund, L.P. (incorporated by reference to Exhibit 10.1 to the Registrant’s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Quarterly 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tcBorders>
              <w:right w:val="single" w:sz="8" w:color="0000EE"/>
            </w:tcBorders>
            <w:gridSpan w:val="5"/>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Supplement to the Loan and Security Agreement, dated August 8, 2022, by and among the Registrant, its subsidiaries Rani Therapeutics,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0" w:type="dxa"/>
            <w:vAlign w:val="bottom"/>
            <w:tcBorders>
              <w:right w:val="single" w:sz="8" w:color="0000FF"/>
            </w:tcBorders>
            <w:gridSpan w:val="8"/>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LLC and Rani Management Services, Inc., and Avenue Venture Opportunities Fund, L.P. (incorporated by reference to Exhibit 10.2 to the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0" w:type="dxa"/>
            <w:vAlign w:val="bottom"/>
            <w:tcBorders>
              <w:right w:val="single" w:sz="8" w:color="0000FF"/>
            </w:tcBorders>
            <w:gridSpan w:val="8"/>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Registrant’s Quarterly 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0" w:type="dxa"/>
            <w:vAlign w:val="bottom"/>
            <w:tcBorders>
              <w:right w:val="single" w:sz="8" w:color="0000EE"/>
            </w:tcBorders>
            <w:gridSpan w:val="8"/>
            <w:shd w:val="clear" w:color="auto" w:fill="0000FF"/>
          </w:tcPr>
          <w:p>
            <w:pPr>
              <w:spacing w:after="0" w:line="20" w:lineRule="exact"/>
              <w:rPr>
                <w:sz w:val="1"/>
                <w:szCs w:val="1"/>
                <w:color w:val="auto"/>
              </w:rPr>
            </w:pPr>
          </w:p>
        </w:tc>
        <w:tc>
          <w:tcPr>
            <w:tcW w:w="1300" w:type="dxa"/>
            <w:vAlign w:val="bottom"/>
            <w:gridSpan w:val="12"/>
            <w:vMerge w:val="restart"/>
          </w:tcPr>
          <w:p>
            <w:pPr>
              <w:jc w:val="right"/>
              <w:ind w:right="240"/>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Fitzgerald &amp;</w:t>
              </w:r>
            </w:hyperlink>
          </w:p>
        </w:tc>
        <w:tc>
          <w:tcPr>
            <w:tcW w:w="0" w:type="dxa"/>
            <w:vAlign w:val="bottom"/>
          </w:tcPr>
          <w:p>
            <w:pPr>
              <w:spacing w:after="0" w:line="20" w:lineRule="exact"/>
              <w:rPr>
                <w:sz w:val="1"/>
                <w:szCs w:val="1"/>
                <w:color w:val="auto"/>
              </w:rPr>
            </w:pPr>
          </w:p>
        </w:tc>
      </w:tr>
      <w:tr>
        <w:trPr>
          <w:trHeight w:val="115"/>
        </w:trPr>
        <w:tc>
          <w:tcPr>
            <w:tcW w:w="118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280" w:type="dxa"/>
            <w:vAlign w:val="bottom"/>
            <w:gridSpan w:val="3"/>
            <w:vMerge w:val="restart"/>
          </w:tcPr>
          <w:p>
            <w:pPr>
              <w:spacing w:after="0" w:line="196" w:lineRule="exact"/>
              <w:rPr>
                <w:rFonts w:ascii="Times New Roman" w:cs="Times New Roman" w:eastAsia="Times New Roman" w:hAnsi="Times New Roman"/>
                <w:sz w:val="18"/>
                <w:szCs w:val="18"/>
                <w:color w:val="0000FF"/>
                <w:w w:val="95"/>
              </w:rPr>
            </w:pPr>
            <w:hyperlink r:id="rId393">
              <w:r>
                <w:rPr>
                  <w:rFonts w:ascii="Times New Roman" w:cs="Times New Roman" w:eastAsia="Times New Roman" w:hAnsi="Times New Roman"/>
                  <w:sz w:val="18"/>
                  <w:szCs w:val="18"/>
                  <w:color w:val="0000FF"/>
                  <w:w w:val="95"/>
                </w:rPr>
                <w:t>Controlled Equity</w:t>
              </w:r>
            </w:hyperlink>
          </w:p>
        </w:tc>
        <w:tc>
          <w:tcPr>
            <w:tcW w:w="160" w:type="dxa"/>
            <w:vAlign w:val="bottom"/>
            <w:tcBorders>
              <w:bottom w:val="single" w:sz="8" w:color="0000FF"/>
            </w:tcBorders>
          </w:tcPr>
          <w:p>
            <w:pPr>
              <w:spacing w:after="0" w:line="102" w:lineRule="exact"/>
              <w:rPr>
                <w:rFonts w:ascii="Times New Roman" w:cs="Times New Roman" w:eastAsia="Times New Roman" w:hAnsi="Times New Roman"/>
                <w:sz w:val="11"/>
                <w:szCs w:val="11"/>
                <w:color w:val="0000FF"/>
                <w:w w:val="87"/>
              </w:rPr>
            </w:pPr>
            <w:hyperlink r:id="rId393">
              <w:r>
                <w:rPr>
                  <w:rFonts w:ascii="Times New Roman" w:cs="Times New Roman" w:eastAsia="Times New Roman" w:hAnsi="Times New Roman"/>
                  <w:sz w:val="11"/>
                  <w:szCs w:val="11"/>
                  <w:color w:val="0000FF"/>
                  <w:w w:val="87"/>
                </w:rPr>
                <w:t>SM</w:t>
              </w:r>
            </w:hyperlink>
          </w:p>
        </w:tc>
        <w:tc>
          <w:tcPr>
            <w:tcW w:w="7320" w:type="dxa"/>
            <w:vAlign w:val="bottom"/>
            <w:gridSpan w:val="9"/>
            <w:vMerge w:val="restart"/>
          </w:tcPr>
          <w:p>
            <w:pPr>
              <w:ind w:left="40"/>
              <w:spacing w:after="0" w:line="196" w:lineRule="exact"/>
              <w:rPr>
                <w:rFonts w:ascii="Times New Roman" w:cs="Times New Roman" w:eastAsia="Times New Roman" w:hAnsi="Times New Roman"/>
                <w:sz w:val="18"/>
                <w:szCs w:val="18"/>
                <w:color w:val="0000FF"/>
                <w:w w:val="98"/>
              </w:rPr>
            </w:pPr>
            <w:hyperlink r:id="rId393">
              <w:r>
                <w:rPr>
                  <w:rFonts w:ascii="Times New Roman" w:cs="Times New Roman" w:eastAsia="Times New Roman" w:hAnsi="Times New Roman"/>
                  <w:sz w:val="18"/>
                  <w:szCs w:val="18"/>
                  <w:color w:val="0000FF"/>
                  <w:w w:val="98"/>
                </w:rPr>
                <w:t>Sales Agreement, dated August 24, 2022, by and among Rani Therapeutics Holdings, Inc., and Cantor</w:t>
              </w:r>
            </w:hyperlink>
          </w:p>
        </w:tc>
        <w:tc>
          <w:tcPr>
            <w:tcW w:w="130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320" w:type="dxa"/>
            <w:vAlign w:val="bottom"/>
            <w:gridSpan w:val="9"/>
            <w:vMerge w:val="continue"/>
          </w:tcPr>
          <w:p>
            <w:pPr>
              <w:spacing w:after="0"/>
              <w:rPr>
                <w:sz w:val="5"/>
                <w:szCs w:val="5"/>
                <w:color w:val="auto"/>
              </w:rPr>
            </w:pPr>
          </w:p>
        </w:tc>
        <w:tc>
          <w:tcPr>
            <w:tcW w:w="13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300" w:type="dxa"/>
            <w:vAlign w:val="bottom"/>
            <w:gridSpan w:val="11"/>
            <w:shd w:val="clear" w:color="auto" w:fill="0000FF"/>
          </w:tcPr>
          <w:p>
            <w:pPr>
              <w:spacing w:after="0" w:line="20" w:lineRule="exact"/>
              <w:rPr>
                <w:sz w:val="1"/>
                <w:szCs w:val="1"/>
                <w:color w:val="auto"/>
              </w:rPr>
            </w:pPr>
          </w:p>
        </w:tc>
        <w:tc>
          <w:tcPr>
            <w:tcW w:w="40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Co. and H.C. Wainwright &amp; Co., LLC (incorporated by reference to Exhibit 1.1 to the Registrant’s Current Report on Form 8-K filed with</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300" w:type="dxa"/>
            <w:vAlign w:val="bottom"/>
            <w:gridSpan w:val="11"/>
            <w:shd w:val="clear" w:color="auto" w:fill="0000FF"/>
          </w:tcPr>
          <w:p>
            <w:pPr>
              <w:spacing w:after="0" w:line="20" w:lineRule="exact"/>
              <w:rPr>
                <w:sz w:val="1"/>
                <w:szCs w:val="1"/>
                <w:color w:val="auto"/>
              </w:rPr>
            </w:pPr>
          </w:p>
        </w:tc>
        <w:tc>
          <w:tcPr>
            <w:tcW w:w="44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the SEC on August 25,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7300" w:type="dxa"/>
            <w:vAlign w:val="bottom"/>
            <w:gridSpan w:val="11"/>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10.28x</w:t>
            </w: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License and Supply Agreement by and between Rani Therapeutics, LLC and Celltrion, Inc. dated January 6, 2023 (incorporated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180" w:type="dxa"/>
            <w:vAlign w:val="bottom"/>
            <w:gridSpan w:val="13"/>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reference to Exhibit 10.27 to the Registrant’s Annual Report on Form 10-K for the year ended December 31, 2022, filed with the SEC 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620" w:type="dxa"/>
            <w:vAlign w:val="bottom"/>
            <w:gridSpan w:val="2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March 22, 2023).</w:t>
              </w:r>
            </w:hyperlink>
          </w:p>
        </w:tc>
        <w:tc>
          <w:tcPr>
            <w:tcW w:w="0" w:type="dxa"/>
            <w:vAlign w:val="bottom"/>
          </w:tcPr>
          <w:p>
            <w:pPr>
              <w:spacing w:after="0"/>
              <w:rPr>
                <w:sz w:val="1"/>
                <w:szCs w:val="1"/>
                <w:color w:val="auto"/>
              </w:rPr>
            </w:pPr>
          </w:p>
        </w:tc>
      </w:tr>
      <w:tr>
        <w:trPr>
          <w:trHeight w:val="345"/>
        </w:trPr>
        <w:tc>
          <w:tcPr>
            <w:tcW w:w="1180" w:type="dxa"/>
            <w:vAlign w:val="bottom"/>
          </w:tcPr>
          <w:p>
            <w:pPr>
              <w:spacing w:after="0"/>
              <w:rPr>
                <w:sz w:val="24"/>
                <w:szCs w:val="24"/>
                <w:color w:val="auto"/>
              </w:rPr>
            </w:pPr>
          </w:p>
        </w:tc>
        <w:tc>
          <w:tcPr>
            <w:tcW w:w="1280" w:type="dxa"/>
            <w:vAlign w:val="bottom"/>
            <w:tcBorders>
              <w:top w:val="single" w:sz="8" w:color="0000FF"/>
            </w:tcBorders>
            <w:gridSpan w:val="3"/>
          </w:tcPr>
          <w:p>
            <w:pPr>
              <w:spacing w:after="0"/>
              <w:rPr>
                <w:sz w:val="24"/>
                <w:szCs w:val="24"/>
                <w:color w:val="auto"/>
              </w:rPr>
            </w:pPr>
          </w:p>
        </w:tc>
        <w:tc>
          <w:tcPr>
            <w:tcW w:w="8780" w:type="dxa"/>
            <w:vAlign w:val="bottom"/>
            <w:gridSpan w:val="2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51" w:name="page152"/>
    <w:bookmarkEnd w:id="151"/>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10.29x</w:t>
            </w:r>
          </w:p>
        </w:tc>
        <w:tc>
          <w:tcPr>
            <w:tcW w:w="10040" w:type="dxa"/>
            <w:vAlign w:val="bottom"/>
            <w:gridSpan w:val="14"/>
          </w:tcPr>
          <w:p>
            <w:pPr>
              <w:spacing w:after="0"/>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License and Supply Agreement by and between Rani Therapeutics, LLC and Celltrion, Inc. dated May 26, 2023 (incorporated by reference</w:t>
              </w:r>
            </w:hyperlink>
          </w:p>
        </w:tc>
      </w:tr>
      <w:tr>
        <w:trPr>
          <w:trHeight w:val="20"/>
        </w:trPr>
        <w:tc>
          <w:tcPr>
            <w:tcW w:w="11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to Exhibit.10.2 to the Registrant’s Quarterly Report on Form 10-Q for the quarter ended June 30, 2023, filed with the SEC on August 11,</w:t>
              </w:r>
            </w:hyperlink>
          </w:p>
        </w:tc>
      </w:tr>
      <w:tr>
        <w:trPr>
          <w:trHeight w:val="20"/>
        </w:trPr>
        <w:tc>
          <w:tcPr>
            <w:tcW w:w="11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394">
              <w:r>
                <w:rPr>
                  <w:rFonts w:ascii="Times New Roman" w:cs="Times New Roman" w:eastAsia="Times New Roman" w:hAnsi="Times New Roman"/>
                  <w:sz w:val="18"/>
                  <w:szCs w:val="18"/>
                  <w:color w:val="0000FF"/>
                  <w:w w:val="90"/>
                </w:rPr>
                <w:t>2023).</w:t>
              </w:r>
            </w:hyperlink>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10.30x</w:t>
            </w: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Standard Industrial/Commercial Multi-Tenant Lease – Net, by and between Rani Therapeutics, LLC and BKM South Bay 240, LLC, dated</w:t>
              </w:r>
            </w:hyperlink>
          </w:p>
        </w:tc>
      </w:tr>
      <w:tr>
        <w:trPr>
          <w:trHeight w:val="20"/>
        </w:trPr>
        <w:tc>
          <w:tcPr>
            <w:tcW w:w="116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as of November 1, 2023 (incorporated by reference to Exhibit 10.1 to the Registrant’s Quarterly Report on Form 10-Q for the quarter ended</w:t>
              </w:r>
            </w:hyperlink>
          </w:p>
        </w:tc>
      </w:tr>
      <w:tr>
        <w:trPr>
          <w:trHeight w:val="20"/>
        </w:trPr>
        <w:tc>
          <w:tcPr>
            <w:tcW w:w="116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September 30, 2023, filed with the SEC on November 8,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0040" w:type="dxa"/>
            <w:vAlign w:val="bottom"/>
            <w:gridSpan w:val="14"/>
          </w:tcPr>
          <w:p>
            <w:pPr>
              <w:spacing w:after="0" w:line="196" w:lineRule="exact"/>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Collaboration Agreement between Rani Therapeutics, LLC and ProGen Co., Ltd. dated June 17, 2024 (incorporated by reference to Exhibit</w:t>
              </w:r>
            </w:hyperlink>
          </w:p>
        </w:tc>
      </w:tr>
      <w:tr>
        <w:trPr>
          <w:trHeight w:val="20"/>
        </w:trPr>
        <w:tc>
          <w:tcPr>
            <w:tcW w:w="1160" w:type="dxa"/>
            <w:vAlign w:val="bottom"/>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Quarterly Report on Form 10-Q for the quarter ended June 30, 2024, filed with the SEC on August 6,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EE"/>
            </w:tcBorders>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Consent of Marcum LLP, Independent Registered Public Accounting Firm.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Reference is made to the signature page hereto.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1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46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4640" w:type="dxa"/>
            <w:vAlign w:val="bottom"/>
            <w:tcBorders>
              <w:left w:val="single" w:sz="8" w:color="0000FF"/>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1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46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4860" w:type="dxa"/>
            <w:vAlign w:val="bottom"/>
            <w:tcBorders>
              <w:left w:val="single" w:sz="8" w:color="0000FF"/>
            </w:tcBorders>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1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48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4"/>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Policy Relating to Recovery of Erroneously Awarded Compensation</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940" w:type="dxa"/>
            <w:vAlign w:val="bottom"/>
            <w:tcBorders>
              <w:right w:val="single" w:sz="8" w:color="0000EE"/>
            </w:tcBorders>
            <w:gridSpan w:val="7"/>
            <w:shd w:val="clear" w:color="auto" w:fill="0000FF"/>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160" w:type="dxa"/>
            <w:vAlign w:val="bottom"/>
          </w:tcPr>
          <w:p>
            <w:pPr>
              <w:spacing w:after="0"/>
              <w:rPr>
                <w:sz w:val="18"/>
                <w:szCs w:val="18"/>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right="4300" w:firstLine="21"/>
        <w:spacing w:after="0" w:line="375" w:lineRule="auto"/>
        <w:tabs>
          <w:tab w:leader="none" w:pos="114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9512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right="20" w:firstLine="8"/>
        <w:spacing w:after="0" w:line="250" w:lineRule="auto"/>
        <w:tabs>
          <w:tab w:leader="none" w:pos="1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which accompanies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rFonts w:ascii="Times New Roman" w:cs="Times New Roman" w:eastAsia="Times New Roman" w:hAnsi="Times New Roman"/>
          <w:sz w:val="18"/>
          <w:szCs w:val="18"/>
          <w:color w:val="auto"/>
        </w:rPr>
      </w:pP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Portions of this exhibit have been omitted as the Registrant has determined that (i) the omitted information is not material and (ii) the omitted material is of the type that the Registrant treats as private or confidential.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Rani Therapeutics Holdings, Inc.</w:t>
      </w:r>
    </w:p>
    <w:p>
      <w:pPr>
        <w:sectPr>
          <w:pgSz w:w="11900" w:h="16838" w:orient="portrait"/>
          <w:cols w:equalWidth="0" w:num="1">
            <w:col w:w="11240"/>
          </w:cols>
          <w:pgMar w:left="320" w:top="981"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31,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7"/>
          <w:szCs w:val="17"/>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24765</wp:posOffset>
            </wp:positionV>
            <wp:extent cx="32658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60" w:space="720"/>
            <w:col w:w="1740" w:space="720"/>
            <w:col w:w="3100"/>
          </w:cols>
          <w:pgMar w:left="320" w:top="981" w:right="339" w:bottom="1440" w:gutter="0" w:footer="0" w:header="0"/>
          <w:type w:val="continuous"/>
        </w:sectPr>
      </w:pPr>
    </w:p>
    <w:p>
      <w:pPr>
        <w:ind w:left="8200"/>
        <w:spacing w:after="0"/>
        <w:rPr>
          <w:sz w:val="20"/>
          <w:szCs w:val="20"/>
          <w:color w:val="auto"/>
        </w:rPr>
      </w:pPr>
      <w:r>
        <w:rPr>
          <w:rFonts w:ascii="Times New Roman" w:cs="Times New Roman" w:eastAsia="Times New Roman" w:hAnsi="Times New Roman"/>
          <w:sz w:val="18"/>
          <w:szCs w:val="18"/>
          <w:b w:val="1"/>
          <w:bCs w:val="1"/>
          <w:color w:val="auto"/>
        </w:rPr>
        <w:t>Talat Imran</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Talat Imran and Svai Sanford,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10" w:lineRule="exact"/>
        <w:rPr>
          <w:sz w:val="20"/>
          <w:szCs w:val="20"/>
          <w:color w:val="auto"/>
        </w:rPr>
      </w:pPr>
    </w:p>
    <w:p>
      <w:pPr>
        <w:ind w:right="580" w:firstLine="10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9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Talat Imran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Talat Imran</w:t>
            </w:r>
          </w:p>
        </w:tc>
        <w:tc>
          <w:tcPr>
            <w:tcW w:w="12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Svai Sanford</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Svai Sanford</w:t>
            </w:r>
          </w:p>
        </w:tc>
        <w:tc>
          <w:tcPr>
            <w:tcW w:w="12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Mir Imran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Mir Imran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Dennis Ausiello</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Dennis Ausiello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Jean-Luc Butel</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Jean-Luc Butel</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Laureen DeBuono</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Laureen DeBuono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Farquharson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Farquharson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Maulik Nanavaty</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Maulik Nanavaty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7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Lisa Rometty</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Lisa Rometty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r>
    </w:tbl>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1508760" cy="7886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p>
    <w:p>
      <w:pPr>
        <w:spacing w:after="0" w:line="225" w:lineRule="exact"/>
        <w:rPr>
          <w:sz w:val="20"/>
          <w:szCs w:val="20"/>
          <w:color w:val="auto"/>
        </w:rPr>
      </w:pPr>
    </w:p>
    <w:p>
      <w:pPr>
        <w:jc w:val="both"/>
        <w:ind w:left="80" w:firstLine="747"/>
        <w:spacing w:after="0" w:line="257" w:lineRule="auto"/>
        <w:rPr>
          <w:sz w:val="20"/>
          <w:szCs w:val="20"/>
          <w:color w:val="auto"/>
        </w:rPr>
      </w:pPr>
      <w:r>
        <w:rPr>
          <w:rFonts w:ascii="Times New Roman" w:cs="Times New Roman" w:eastAsia="Times New Roman" w:hAnsi="Times New Roman"/>
          <w:sz w:val="18"/>
          <w:szCs w:val="18"/>
          <w:color w:val="auto"/>
        </w:rPr>
        <w:t>This policy determines acceptable transactions in the securities of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Rani</w:t>
      </w:r>
      <w:r>
        <w:rPr>
          <w:rFonts w:ascii="Times New Roman" w:cs="Times New Roman" w:eastAsia="Times New Roman" w:hAnsi="Times New Roman"/>
          <w:sz w:val="18"/>
          <w:szCs w:val="18"/>
          <w:color w:val="auto"/>
        </w:rPr>
        <w:t>”) by our employees, directors and consultants. During the course of your employment, directorship or consultancy with the Company, you may receive important information that is not yet publicly available (“</w:t>
      </w:r>
      <w:r>
        <w:rPr>
          <w:rFonts w:ascii="Times New Roman" w:cs="Times New Roman" w:eastAsia="Times New Roman" w:hAnsi="Times New Roman"/>
          <w:sz w:val="18"/>
          <w:szCs w:val="18"/>
          <w:b w:val="1"/>
          <w:bCs w:val="1"/>
          <w:i w:val="1"/>
          <w:iCs w:val="1"/>
          <w:color w:val="auto"/>
        </w:rPr>
        <w:t>inside information</w:t>
      </w:r>
      <w:r>
        <w:rPr>
          <w:rFonts w:ascii="Times New Roman" w:cs="Times New Roman" w:eastAsia="Times New Roman" w:hAnsi="Times New Roman"/>
          <w:sz w:val="18"/>
          <w:szCs w:val="18"/>
          <w:color w:val="auto"/>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16" w:lineRule="exact"/>
        <w:rPr>
          <w:sz w:val="20"/>
          <w:szCs w:val="20"/>
          <w:color w:val="auto"/>
        </w:rPr>
      </w:pPr>
    </w:p>
    <w:p>
      <w:pPr>
        <w:jc w:val="both"/>
        <w:ind w:left="80" w:firstLine="747"/>
        <w:spacing w:after="0" w:line="256" w:lineRule="auto"/>
        <w:rPr>
          <w:sz w:val="20"/>
          <w:szCs w:val="20"/>
          <w:color w:val="auto"/>
        </w:rPr>
      </w:pPr>
      <w:r>
        <w:rPr>
          <w:rFonts w:ascii="Times New Roman" w:cs="Times New Roman" w:eastAsia="Times New Roman" w:hAnsi="Times New Roman"/>
          <w:sz w:val="18"/>
          <w:szCs w:val="18"/>
          <w:color w:val="auto"/>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option exercises for cash or purchases under the Company’s employee stock purchase plan, are permitted. However, the subsequent sale (including the sale of shares in a cashless exercise program) or other disposition of such stock is fully subject to these restrictions.</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Inside Information</w:t>
      </w:r>
    </w:p>
    <w:p>
      <w:pPr>
        <w:spacing w:after="0" w:line="229" w:lineRule="exact"/>
        <w:rPr>
          <w:sz w:val="20"/>
          <w:szCs w:val="20"/>
          <w:color w:val="auto"/>
        </w:rPr>
      </w:pPr>
    </w:p>
    <w:p>
      <w:pPr>
        <w:jc w:val="both"/>
        <w:ind w:left="80" w:firstLine="747"/>
        <w:spacing w:after="0" w:line="253" w:lineRule="auto"/>
        <w:rPr>
          <w:sz w:val="20"/>
          <w:szCs w:val="20"/>
          <w:color w:val="auto"/>
        </w:rPr>
      </w:pPr>
      <w:r>
        <w:rPr>
          <w:rFonts w:ascii="Times New Roman" w:cs="Times New Roman" w:eastAsia="Times New Roman" w:hAnsi="Times New Roman"/>
          <w:sz w:val="18"/>
          <w:szCs w:val="18"/>
          <w:color w:val="auto"/>
        </w:rPr>
        <w:t>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you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policy also applies to all family members and other household members of those covered by this policy and all companies controlled by those covered by this policy. You may never recommend to another person that he or she buy, hold or sell our stock.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includes engaging in short sales, transactions in put or call options, hedging transactions and other inherently speculative transactions.</w:t>
      </w:r>
    </w:p>
    <w:p>
      <w:pPr>
        <w:spacing w:after="0" w:line="178" w:lineRule="exact"/>
        <w:rPr>
          <w:sz w:val="20"/>
          <w:szCs w:val="20"/>
          <w:color w:val="auto"/>
        </w:rPr>
      </w:pPr>
    </w:p>
    <w:p>
      <w:pPr>
        <w:jc w:val="both"/>
        <w:ind w:left="80" w:firstLine="747"/>
        <w:spacing w:after="0" w:line="266" w:lineRule="auto"/>
        <w:rPr>
          <w:sz w:val="20"/>
          <w:szCs w:val="20"/>
          <w:color w:val="auto"/>
        </w:rPr>
      </w:pPr>
      <w:r>
        <w:rPr>
          <w:rFonts w:ascii="Times New Roman" w:cs="Times New Roman" w:eastAsia="Times New Roman" w:hAnsi="Times New Roman"/>
          <w:sz w:val="18"/>
          <w:szCs w:val="18"/>
          <w:color w:val="auto"/>
        </w:rPr>
        <w:t>You may not participate in “chat rooms” or other electronic discussion groups or contribute to blogs, bulletin boards or social media forums on the Internet concerning the activities of Rani or other companies with which Rani does business, even if you do so anonymously, unless doing so is part of your job responsibilities and you have explicit authorization from the Company’s Chief Financial Officer.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613410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440" w:right="479" w:bottom="1440" w:gutter="0" w:footer="0" w:header="0"/>
        </w:sectPr>
      </w:pPr>
    </w:p>
    <w:bookmarkStart w:id="154" w:name="page155"/>
    <w:bookmarkEnd w:id="154"/>
    <w:p>
      <w:pPr>
        <w:ind w:left="80" w:right="20" w:firstLine="747"/>
        <w:spacing w:after="0" w:line="282" w:lineRule="auto"/>
        <w:rPr>
          <w:sz w:val="20"/>
          <w:szCs w:val="20"/>
          <w:color w:val="auto"/>
        </w:rPr>
      </w:pPr>
      <w:r>
        <w:rPr>
          <w:rFonts w:ascii="Times New Roman" w:cs="Times New Roman" w:eastAsia="Times New Roman" w:hAnsi="Times New Roman"/>
          <w:sz w:val="18"/>
          <w:szCs w:val="18"/>
          <w:color w:val="auto"/>
        </w:rPr>
        <w:t>Although by no means an all-inclusive list, information about the following items may be considered to be inside information until it is publicly disseminated:</w:t>
      </w:r>
    </w:p>
    <w:p>
      <w:pPr>
        <w:spacing w:after="0" w:line="148" w:lineRule="exact"/>
        <w:rPr>
          <w:sz w:val="20"/>
          <w:szCs w:val="20"/>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financial results or forecasts;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major new products or processes;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acquisitions or dispositions of assets, divisions, companies, etc.;</w:t>
      </w:r>
    </w:p>
    <w:p>
      <w:pPr>
        <w:spacing w:after="0" w:line="210"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pending public or private sales of debt or equity securities;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major contract awards or cancellations;</w:t>
      </w:r>
    </w:p>
    <w:p>
      <w:pPr>
        <w:spacing w:after="0" w:line="210"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scientific, clinical or regulatory results;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top management or control changes;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possible tender offers or proxy fights;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writeoffs;</w:t>
      </w:r>
    </w:p>
    <w:p>
      <w:pPr>
        <w:spacing w:after="0" w:line="210"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litigation;</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impending bankruptcy;</w:t>
      </w:r>
    </w:p>
    <w:p>
      <w:pPr>
        <w:spacing w:after="0" w:line="224" w:lineRule="exact"/>
        <w:rPr>
          <w:rFonts w:ascii="Arial" w:cs="Arial" w:eastAsia="Arial" w:hAnsi="Arial"/>
          <w:sz w:val="18"/>
          <w:szCs w:val="18"/>
          <w:color w:val="auto"/>
        </w:rPr>
      </w:pPr>
    </w:p>
    <w:p>
      <w:pPr>
        <w:ind w:left="1560" w:hanging="734"/>
        <w:spacing w:after="0"/>
        <w:tabs>
          <w:tab w:leader="none" w:pos="156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gain or loss of a significant license agreement or other contracts with customers or suppliers;</w:t>
      </w:r>
    </w:p>
    <w:p>
      <w:pPr>
        <w:spacing w:after="0" w:line="210"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pricing changes or discount policies;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corporate partner relationships; and</w:t>
      </w:r>
    </w:p>
    <w:p>
      <w:pPr>
        <w:spacing w:after="0" w:line="210"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notice of issuance of patents;</w:t>
      </w:r>
    </w:p>
    <w:p>
      <w:pPr>
        <w:spacing w:after="0" w:line="224" w:lineRule="exact"/>
        <w:rPr>
          <w:rFonts w:ascii="Arial" w:cs="Arial" w:eastAsia="Arial" w:hAnsi="Arial"/>
          <w:sz w:val="18"/>
          <w:szCs w:val="18"/>
          <w:color w:val="auto"/>
        </w:rPr>
      </w:pPr>
    </w:p>
    <w:p>
      <w:pPr>
        <w:ind w:left="1580" w:hanging="754"/>
        <w:spacing w:after="0"/>
        <w:tabs>
          <w:tab w:leader="none" w:pos="1580" w:val="left"/>
        </w:tabs>
        <w:numPr>
          <w:ilvl w:val="0"/>
          <w:numId w:val="74"/>
        </w:numPr>
        <w:rPr>
          <w:rFonts w:ascii="Arial" w:cs="Arial" w:eastAsia="Arial" w:hAnsi="Arial"/>
          <w:sz w:val="18"/>
          <w:szCs w:val="18"/>
          <w:color w:val="auto"/>
        </w:rPr>
      </w:pPr>
      <w:r>
        <w:rPr>
          <w:rFonts w:ascii="Times New Roman" w:cs="Times New Roman" w:eastAsia="Times New Roman" w:hAnsi="Times New Roman"/>
          <w:sz w:val="18"/>
          <w:szCs w:val="18"/>
          <w:color w:val="auto"/>
        </w:rPr>
        <w:t>declaration of stock splits, dividends or changes in dividend policy.</w:t>
      </w:r>
    </w:p>
    <w:p>
      <w:pPr>
        <w:spacing w:after="0" w:line="224" w:lineRule="exact"/>
        <w:rPr>
          <w:sz w:val="20"/>
          <w:szCs w:val="20"/>
          <w:color w:val="auto"/>
        </w:rPr>
      </w:pPr>
    </w:p>
    <w:p>
      <w:pPr>
        <w:jc w:val="both"/>
        <w:ind w:left="80" w:firstLine="747"/>
        <w:spacing w:after="0" w:line="258" w:lineRule="auto"/>
        <w:rPr>
          <w:sz w:val="20"/>
          <w:szCs w:val="20"/>
          <w:color w:val="auto"/>
        </w:rPr>
      </w:pPr>
      <w:r>
        <w:rPr>
          <w:rFonts w:ascii="Times New Roman" w:cs="Times New Roman" w:eastAsia="Times New Roman" w:hAnsi="Times New Roman"/>
          <w:sz w:val="18"/>
          <w:szCs w:val="18"/>
          <w:color w:val="auto"/>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spacing w:after="0" w:line="1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 by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mployees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onsultants</w:t>
      </w:r>
    </w:p>
    <w:p>
      <w:pPr>
        <w:spacing w:after="0" w:line="229" w:lineRule="exact"/>
        <w:rPr>
          <w:sz w:val="20"/>
          <w:szCs w:val="20"/>
          <w:color w:val="auto"/>
        </w:rPr>
      </w:pPr>
    </w:p>
    <w:p>
      <w:pPr>
        <w:jc w:val="both"/>
        <w:ind w:left="80" w:firstLine="747"/>
        <w:spacing w:after="0" w:line="266" w:lineRule="auto"/>
        <w:rPr>
          <w:sz w:val="20"/>
          <w:szCs w:val="20"/>
          <w:color w:val="auto"/>
        </w:rPr>
      </w:pPr>
      <w:r>
        <w:rPr>
          <w:rFonts w:ascii="Times New Roman" w:cs="Times New Roman" w:eastAsia="Times New Roman" w:hAnsi="Times New Roman"/>
          <w:sz w:val="18"/>
          <w:szCs w:val="18"/>
          <w:color w:val="auto"/>
        </w:rPr>
        <w:t>We require that all directors, employees and consultants limit their transactions in the Company’s stock to defined time periods following public dissemination of quarterly and annual financial results and notify, and receive approval from, the Company’s Chief Financial Officer prior to engaging in transactions in the Company’s stock and observe other restrictions designed to minimize the risk of apparent or actual insider trading.</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Covered Insiders</w:t>
      </w:r>
    </w:p>
    <w:p>
      <w:pPr>
        <w:spacing w:after="0" w:line="229" w:lineRule="exact"/>
        <w:rPr>
          <w:sz w:val="20"/>
          <w:szCs w:val="20"/>
          <w:color w:val="auto"/>
        </w:rPr>
      </w:pPr>
    </w:p>
    <w:p>
      <w:pPr>
        <w:jc w:val="both"/>
        <w:ind w:left="80" w:firstLine="747"/>
        <w:spacing w:after="0" w:line="282" w:lineRule="auto"/>
        <w:rPr>
          <w:sz w:val="20"/>
          <w:szCs w:val="20"/>
          <w:color w:val="auto"/>
        </w:rPr>
      </w:pPr>
      <w:r>
        <w:rPr>
          <w:rFonts w:ascii="Times New Roman" w:cs="Times New Roman" w:eastAsia="Times New Roman" w:hAnsi="Times New Roman"/>
          <w:sz w:val="18"/>
          <w:szCs w:val="18"/>
          <w:color w:val="auto"/>
        </w:rPr>
        <w:t>The provisions outlined in this stock trading policy apply to all directors, employees and consultants of the Company. Generally, any entities or family members or others whose trading activities are controlled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417" w:right="479" w:bottom="1440" w:gutter="0" w:footer="0" w:header="0"/>
        </w:sectPr>
      </w:pPr>
    </w:p>
    <w:bookmarkStart w:id="155" w:name="page156"/>
    <w:bookmarkEnd w:id="155"/>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or influenced by any of such persons should be considered to be subject to the same restrictions. Persons subject to this policy are reminded that although this policy is not applicable to third-parties such as investment funds and partnerships engaged in the investment of securities in the ordinary course of business that such person may be deemed to control or influence, federal securities laws prohibiting insider trading remain applicable, and such persons are advised to seek separate counsel if the trading activities of such third-party would, if this policy were applicable, otherwise violate this policy.</w:t>
      </w:r>
    </w:p>
    <w:p>
      <w:pPr>
        <w:spacing w:after="0" w:line="1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Window Period</w:t>
      </w:r>
    </w:p>
    <w:p>
      <w:pPr>
        <w:spacing w:after="0" w:line="229" w:lineRule="exact"/>
        <w:rPr>
          <w:sz w:val="20"/>
          <w:szCs w:val="20"/>
          <w:color w:val="auto"/>
        </w:rPr>
      </w:pPr>
    </w:p>
    <w:p>
      <w:pPr>
        <w:jc w:val="both"/>
        <w:ind w:left="80" w:firstLine="747"/>
        <w:spacing w:after="0" w:line="254" w:lineRule="auto"/>
        <w:rPr>
          <w:sz w:val="20"/>
          <w:szCs w:val="20"/>
          <w:color w:val="auto"/>
        </w:rPr>
      </w:pPr>
      <w:r>
        <w:rPr>
          <w:rFonts w:ascii="Times New Roman" w:cs="Times New Roman" w:eastAsia="Times New Roman" w:hAnsi="Times New Roman"/>
          <w:sz w:val="18"/>
          <w:szCs w:val="18"/>
          <w:color w:val="auto"/>
        </w:rPr>
        <w:t>Generally, except as set forth in this policy, all directors, employees and consultants may buy or sell securities of the Company only during a “window period” that opens after two full trading days have elapsed after the public dissemination of the Company’s annual or quarterly financial results and closes two weeks before the end of the next quarter. This window period may be closed early or may not open if, in the judgment of the Company’s (i) Chief Executive Officer and (ii) Chief Financial Officer, there exists undisclosed information that would make trades by the Company’s directors, employees and consultants inappropriate. It is important to note that the fact that the window period has closed early or has not opened should be considered inside information. Any directors, employees or consultants who believe that special circumstances require him or her to trade outside the window period should consult with the Company’s Chief Financial Officer who will consult with the Company’s outside counsel. Permission to trade outside the window period will be granted only where the circumstances are extenuating and there appears to be no significant risk that the trade may subsequently be questioned.</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Exceptions to Window Period</w:t>
      </w:r>
    </w:p>
    <w:p>
      <w:pPr>
        <w:spacing w:after="0" w:line="212" w:lineRule="exact"/>
        <w:rPr>
          <w:sz w:val="20"/>
          <w:szCs w:val="20"/>
          <w:color w:val="auto"/>
        </w:rPr>
      </w:pPr>
    </w:p>
    <w:p>
      <w:pPr>
        <w:jc w:val="both"/>
        <w:ind w:left="80" w:firstLine="749"/>
        <w:spacing w:after="0" w:line="259" w:lineRule="auto"/>
        <w:rPr>
          <w:sz w:val="20"/>
          <w:szCs w:val="20"/>
          <w:color w:val="auto"/>
        </w:rPr>
      </w:pPr>
      <w:r>
        <w:rPr>
          <w:rFonts w:ascii="Arial" w:cs="Arial" w:eastAsia="Arial" w:hAnsi="Arial"/>
          <w:sz w:val="18"/>
          <w:szCs w:val="18"/>
          <w:b w:val="1"/>
          <w:bCs w:val="1"/>
          <w:color w:val="auto"/>
        </w:rPr>
        <w:t>1.</w:t>
      </w:r>
      <w:r>
        <w:rPr>
          <w:rFonts w:ascii="Times New Roman" w:cs="Times New Roman" w:eastAsia="Times New Roman" w:hAnsi="Times New Roman"/>
          <w:sz w:val="18"/>
          <w:szCs w:val="18"/>
          <w:b w:val="1"/>
          <w:bCs w:val="1"/>
          <w:color w:val="auto"/>
        </w:rPr>
        <w:t>ESPP/Option Exercises</w:t>
      </w:r>
      <w:r>
        <w:rPr>
          <w:rFonts w:ascii="Times New Roman" w:cs="Times New Roman" w:eastAsia="Times New Roman" w:hAnsi="Times New Roman"/>
          <w:sz w:val="18"/>
          <w:szCs w:val="18"/>
          <w:color w:val="auto"/>
        </w:rPr>
        <w:t>. Employees who are eligible to do so may purchase stock under the Company’s Employee Stock Purchase Plan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on periodic designated dates in accordance with the ESPP without restriction to any particular period. Directors, employees and consultants may exercise options for cash granted under the Company’s stock option plans without restriction to any particular period. However, the subsequent sale of the stock (including sales of stock in a cashless exercise, but not forfeitures of stock to the Company) acquired upon the exercise of options or pursuant to the ESPP is subject to all provisions of this policy.</w:t>
      </w:r>
    </w:p>
    <w:p>
      <w:pPr>
        <w:spacing w:after="0" w:line="177" w:lineRule="exact"/>
        <w:rPr>
          <w:sz w:val="20"/>
          <w:szCs w:val="20"/>
          <w:color w:val="auto"/>
        </w:rPr>
      </w:pPr>
    </w:p>
    <w:p>
      <w:pPr>
        <w:jc w:val="both"/>
        <w:ind w:left="80" w:firstLine="749"/>
        <w:spacing w:after="0" w:line="255" w:lineRule="auto"/>
        <w:rPr>
          <w:sz w:val="20"/>
          <w:szCs w:val="20"/>
          <w:color w:val="auto"/>
        </w:rPr>
      </w:pPr>
      <w:r>
        <w:rPr>
          <w:rFonts w:ascii="Arial" w:cs="Arial" w:eastAsia="Arial" w:hAnsi="Arial"/>
          <w:sz w:val="18"/>
          <w:szCs w:val="18"/>
          <w:b w:val="1"/>
          <w:bCs w:val="1"/>
          <w:color w:val="auto"/>
        </w:rPr>
        <w:t>2.</w:t>
      </w:r>
      <w:r>
        <w:rPr>
          <w:rFonts w:ascii="Times New Roman" w:cs="Times New Roman" w:eastAsia="Times New Roman" w:hAnsi="Times New Roman"/>
          <w:sz w:val="18"/>
          <w:szCs w:val="18"/>
          <w:b w:val="1"/>
          <w:bCs w:val="1"/>
          <w:color w:val="auto"/>
        </w:rPr>
        <w:t>10b5-1 Automatic Trading Programs</w:t>
      </w:r>
      <w:r>
        <w:rPr>
          <w:rFonts w:ascii="Times New Roman" w:cs="Times New Roman" w:eastAsia="Times New Roman" w:hAnsi="Times New Roman"/>
          <w:sz w:val="18"/>
          <w:szCs w:val="18"/>
          <w:color w:val="auto"/>
        </w:rPr>
        <w:t>. In addition, purchases or sales of the Company’s securities made pursuant to, and in compliance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with, a written plan established by a director or executive officer or other member of management that meets the requirements of Rule 10b5-1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w:t>
      </w:r>
    </w:p>
    <w:p>
      <w:pPr>
        <w:spacing w:after="0" w:line="1" w:lineRule="exact"/>
        <w:rPr>
          <w:sz w:val="20"/>
          <w:szCs w:val="20"/>
          <w:color w:val="auto"/>
        </w:rPr>
      </w:pPr>
    </w:p>
    <w:p>
      <w:pPr>
        <w:jc w:val="both"/>
        <w:ind w:left="80" w:hanging="7"/>
        <w:spacing w:after="0" w:line="255" w:lineRule="auto"/>
        <w:tabs>
          <w:tab w:leader="none" w:pos="3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was reviewed by the Company prior to establishment, solely to confirm compliance with this policy and the securities laws. The Company must be notified of the establishment of any such Trading Plan, any amendments to such Trading Plan and the termination of such Trading Plan.</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Pre-Clearance and Advance Notice of Transactions</w:t>
      </w:r>
    </w:p>
    <w:p>
      <w:pPr>
        <w:spacing w:after="0" w:line="216" w:lineRule="exact"/>
        <w:rPr>
          <w:sz w:val="20"/>
          <w:szCs w:val="20"/>
          <w:color w:val="auto"/>
        </w:rPr>
      </w:pPr>
    </w:p>
    <w:p>
      <w:pPr>
        <w:jc w:val="both"/>
        <w:ind w:left="80" w:firstLine="747"/>
        <w:spacing w:after="0" w:line="255" w:lineRule="auto"/>
        <w:rPr>
          <w:sz w:val="20"/>
          <w:szCs w:val="20"/>
          <w:color w:val="auto"/>
        </w:rPr>
      </w:pPr>
      <w:r>
        <w:rPr>
          <w:rFonts w:ascii="Times New Roman" w:cs="Times New Roman" w:eastAsia="Times New Roman" w:hAnsi="Times New Roman"/>
          <w:sz w:val="18"/>
          <w:szCs w:val="18"/>
          <w:color w:val="auto"/>
        </w:rPr>
        <w:t>In addition to the requirements of above, directors and executive officers may not engage in any transaction in the Company’s securities, including any purchase or sale in the open market, loan, pledge, hedge or other transfer of beneficial ownership. Officers and directors must first obtain pre-clearance of the transaction from the Company’s Chief Financial Officer (the “</w:t>
      </w:r>
      <w:r>
        <w:rPr>
          <w:rFonts w:ascii="Times New Roman" w:cs="Times New Roman" w:eastAsia="Times New Roman" w:hAnsi="Times New Roman"/>
          <w:sz w:val="18"/>
          <w:szCs w:val="18"/>
          <w:b w:val="1"/>
          <w:bCs w:val="1"/>
          <w:i w:val="1"/>
          <w:iCs w:val="1"/>
          <w:color w:val="auto"/>
        </w:rPr>
        <w:t>Clearing Officer</w:t>
      </w:r>
      <w:r>
        <w:rPr>
          <w:rFonts w:ascii="Times New Roman" w:cs="Times New Roman" w:eastAsia="Times New Roman" w:hAnsi="Times New Roman"/>
          <w:sz w:val="18"/>
          <w:szCs w:val="18"/>
          <w:color w:val="auto"/>
        </w:rPr>
        <w:t>”)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 Section 16(a) of the Exchange Act, if any. Pre-cleared transactions not completed within five business days shall require new pre-clearance under the provisions of this paragraph. The Company may, at its discretion, shorten such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417" w:right="479" w:bottom="1440" w:gutter="0" w:footer="0" w:header="0"/>
        </w:sectPr>
      </w:pPr>
    </w:p>
    <w:bookmarkStart w:id="156" w:name="page157"/>
    <w:bookmarkEnd w:id="156"/>
    <w:p>
      <w:pPr>
        <w:jc w:val="both"/>
        <w:ind w:left="80" w:firstLine="747"/>
        <w:spacing w:after="0" w:line="261" w:lineRule="auto"/>
        <w:rPr>
          <w:sz w:val="20"/>
          <w:szCs w:val="20"/>
          <w:color w:val="auto"/>
        </w:rPr>
      </w:pPr>
      <w:r>
        <w:rPr>
          <w:rFonts w:ascii="Times New Roman" w:cs="Times New Roman" w:eastAsia="Times New Roman" w:hAnsi="Times New Roman"/>
          <w:sz w:val="18"/>
          <w:szCs w:val="18"/>
          <w:color w:val="auto"/>
        </w:rPr>
        <w:t>Advance notice of gifts or an intent to exercise an outstanding stock option shall be given to a Clearing Officer. To the extent possible, advance notice of upcoming transactions to be effected pursuant to an established Trading Plan shall also be given to a Clearing Officer. Upon completion of any transaction, the directors, employees or consultants must immediately notify the Compliance Coordinator and any other individuals identified in Section 3 of the Company’s Section 16 Compliance Program so that the Company may assist in any Section 16 reporting obligations.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Prohibition of Speculative or Short-Term Trading</w:t>
      </w:r>
    </w:p>
    <w:p>
      <w:pPr>
        <w:spacing w:after="0" w:line="229" w:lineRule="exact"/>
        <w:rPr>
          <w:sz w:val="20"/>
          <w:szCs w:val="20"/>
          <w:color w:val="auto"/>
        </w:rPr>
      </w:pPr>
    </w:p>
    <w:p>
      <w:pPr>
        <w:jc w:val="both"/>
        <w:ind w:left="80" w:right="20" w:firstLine="747"/>
        <w:spacing w:after="0" w:line="282" w:lineRule="auto"/>
        <w:rPr>
          <w:sz w:val="20"/>
          <w:szCs w:val="20"/>
          <w:color w:val="auto"/>
        </w:rPr>
      </w:pPr>
      <w:r>
        <w:rPr>
          <w:rFonts w:ascii="Times New Roman" w:cs="Times New Roman" w:eastAsia="Times New Roman" w:hAnsi="Times New Roman"/>
          <w:sz w:val="18"/>
          <w:szCs w:val="18"/>
          <w:color w:val="auto"/>
        </w:rPr>
        <w:t>No director, employee or consultant to Rani may engage in short sales, transactions in put or call options, hedging transactions, margin accounts, pledges, or other inherently speculative transactions with respect to the Company’s stock at any time.</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Short-Swing Trading/Control Stock/Section 16 Reports</w:t>
      </w:r>
    </w:p>
    <w:p>
      <w:pPr>
        <w:spacing w:after="0" w:line="216" w:lineRule="exact"/>
        <w:rPr>
          <w:sz w:val="20"/>
          <w:szCs w:val="20"/>
          <w:color w:val="auto"/>
        </w:rPr>
      </w:pPr>
    </w:p>
    <w:p>
      <w:pPr>
        <w:jc w:val="both"/>
        <w:ind w:left="80" w:right="20" w:firstLine="747"/>
        <w:spacing w:after="0" w:line="261"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uration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pplicability</w:t>
      </w:r>
    </w:p>
    <w:p>
      <w:pPr>
        <w:spacing w:after="0" w:line="229" w:lineRule="exact"/>
        <w:rPr>
          <w:sz w:val="20"/>
          <w:szCs w:val="20"/>
          <w:color w:val="auto"/>
        </w:rPr>
      </w:pPr>
    </w:p>
    <w:p>
      <w:pPr>
        <w:jc w:val="both"/>
        <w:ind w:left="80" w:firstLine="747"/>
        <w:spacing w:after="0" w:line="261" w:lineRule="auto"/>
        <w:rPr>
          <w:sz w:val="20"/>
          <w:szCs w:val="20"/>
          <w:color w:val="auto"/>
        </w:rPr>
      </w:pPr>
      <w:r>
        <w:rPr>
          <w:rFonts w:ascii="Times New Roman" w:cs="Times New Roman" w:eastAsia="Times New Roman" w:hAnsi="Times New Roman"/>
          <w:sz w:val="18"/>
          <w:szCs w:val="18"/>
          <w:color w:val="auto"/>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enalties</w:t>
      </w:r>
    </w:p>
    <w:p>
      <w:pPr>
        <w:spacing w:after="0" w:line="229" w:lineRule="exact"/>
        <w:rPr>
          <w:sz w:val="20"/>
          <w:szCs w:val="20"/>
          <w:color w:val="auto"/>
        </w:rPr>
      </w:pPr>
    </w:p>
    <w:p>
      <w:pPr>
        <w:jc w:val="both"/>
        <w:ind w:left="80" w:firstLine="747"/>
        <w:spacing w:after="0" w:line="261" w:lineRule="auto"/>
        <w:rPr>
          <w:sz w:val="20"/>
          <w:szCs w:val="20"/>
          <w:color w:val="auto"/>
        </w:rPr>
      </w:pPr>
      <w:r>
        <w:rPr>
          <w:rFonts w:ascii="Times New Roman" w:cs="Times New Roman" w:eastAsia="Times New Roman" w:hAnsi="Times New Roman"/>
          <w:sz w:val="18"/>
          <w:szCs w:val="18"/>
          <w:color w:val="auto"/>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General Counsel.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613410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417" w:right="47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List of subsidiaries of Rani Therapeutics Holdings, Inc.</w:t>
            </w:r>
          </w:p>
        </w:tc>
      </w:tr>
      <w:tr>
        <w:trPr>
          <w:trHeight w:val="392"/>
        </w:trPr>
        <w:tc>
          <w:tcPr>
            <w:tcW w:w="7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333333"/>
                <w:w w:val="98"/>
              </w:rPr>
              <w:t>Name of Subsidiary</w:t>
            </w:r>
          </w:p>
        </w:tc>
        <w:tc>
          <w:tcPr>
            <w:tcW w:w="800" w:type="dxa"/>
            <w:vAlign w:val="bottom"/>
          </w:tcPr>
          <w:p>
            <w:pPr>
              <w:spacing w:after="0"/>
              <w:rPr>
                <w:sz w:val="24"/>
                <w:szCs w:val="24"/>
                <w:color w:val="auto"/>
              </w:rPr>
            </w:pPr>
          </w:p>
        </w:tc>
        <w:tc>
          <w:tcPr>
            <w:tcW w:w="822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333333"/>
              </w:rPr>
              <w:t>Jurisdiction of Organization</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33333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shd w:val="clear" w:color="auto" w:fill="33333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333333"/>
              </w:rPr>
              <w:t>Rani Therapeutics, LLC</w:t>
            </w:r>
          </w:p>
        </w:tc>
        <w:tc>
          <w:tcPr>
            <w:tcW w:w="822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333333"/>
              </w:rPr>
              <w:t>California, United States of America</w:t>
            </w:r>
          </w:p>
        </w:tc>
      </w:tr>
      <w:tr>
        <w:trPr>
          <w:trHeight w:val="1195"/>
        </w:trPr>
        <w:tc>
          <w:tcPr>
            <w:tcW w:w="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Marcum LLP, Independent Registered Public Accounting Firm</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Rani Therapeutics Holdings, Inc. (the “Company”) on Forms S-3 (File No. 333-266444 and 333-268855), and Forms S-8 (File No. 333-278116, 333-270747, 333-258415 and 333-264018), of our report dated March 31, 2025, which includes an explanatory paragraph as to the Company’s ability to continue as a going concern, with respect to our audit of the consolidated financial statements of Rani Therapeutics Holdings, Inc. as of December 31, 2024 and for the year ended December 31, 2024, which report is included in this Annual Report on Form 10-K of the Company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Consent of Ernst &amp; Young LLP,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333-266444 and 333-268855) of Rani Therapeutics Holdings, Inc., and</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66"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333-278116, 333-270747, 333-258415 and 333-264018) pertaining to the Rani Therapeutics Holdings, Inc. 2021 Equity Incentive Plan, the Rani Therapeutics Holdings, Inc. 2021 Employee Stock Purchase Plan and the Rani Therapeutics, LLC 2016 Equity Incentive Plan of Rani Therapeutics Holdings, Inc.;</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of our report dated March 20, 2024, with respect to the consolidated financial statements of Rani Therapeutics Holdings, Inc. included in this Annual Report (Form 10-K) of Rani Therapeutics Holdings, Inc.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Talat Imran, certify that:</w:t>
      </w:r>
    </w:p>
    <w:p>
      <w:pPr>
        <w:spacing w:after="0" w:line="223" w:lineRule="exact"/>
        <w:rPr>
          <w:sz w:val="20"/>
          <w:szCs w:val="20"/>
          <w:color w:val="auto"/>
        </w:rPr>
      </w:pPr>
    </w:p>
    <w:p>
      <w:pPr>
        <w:ind w:left="760" w:hanging="752"/>
        <w:spacing w:after="0"/>
        <w:tabs>
          <w:tab w:leader="none" w:pos="7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Rani Therapeutics Holdings, Inc.;</w:t>
      </w:r>
    </w:p>
    <w:p>
      <w:pPr>
        <w:spacing w:after="0" w:line="223" w:lineRule="exact"/>
        <w:rPr>
          <w:rFonts w:ascii="Times New Roman" w:cs="Times New Roman" w:eastAsia="Times New Roman" w:hAnsi="Times New Roman"/>
          <w:sz w:val="17"/>
          <w:szCs w:val="17"/>
          <w:color w:val="auto"/>
        </w:rPr>
      </w:pPr>
    </w:p>
    <w:p>
      <w:pPr>
        <w:ind w:left="760" w:hanging="752"/>
        <w:spacing w:after="0" w:line="281" w:lineRule="auto"/>
        <w:tabs>
          <w:tab w:leader="none" w:pos="7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760" w:right="20" w:hanging="752"/>
        <w:spacing w:after="0" w:line="281" w:lineRule="auto"/>
        <w:tabs>
          <w:tab w:leader="none" w:pos="7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jc w:val="both"/>
        <w:ind w:left="760" w:hanging="752"/>
        <w:spacing w:after="0" w:line="265" w:lineRule="auto"/>
        <w:tabs>
          <w:tab w:leader="none" w:pos="7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jc w:val="both"/>
        <w:ind w:left="1500" w:hanging="743"/>
        <w:spacing w:after="0" w:line="265" w:lineRule="auto"/>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jc w:val="both"/>
        <w:ind w:left="1500" w:hanging="743"/>
        <w:spacing w:after="0" w:line="265" w:lineRule="auto"/>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7"/>
          <w:szCs w:val="17"/>
          <w:color w:val="auto"/>
        </w:rPr>
      </w:pPr>
    </w:p>
    <w:p>
      <w:pPr>
        <w:ind w:left="1500" w:right="20" w:hanging="743"/>
        <w:spacing w:after="0" w:line="281" w:lineRule="auto"/>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jc w:val="both"/>
        <w:ind w:left="1500" w:hanging="743"/>
        <w:spacing w:after="0" w:line="265" w:lineRule="auto"/>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760" w:hanging="752"/>
        <w:spacing w:after="0" w:line="281" w:lineRule="auto"/>
        <w:tabs>
          <w:tab w:leader="none" w:pos="7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500" w:hanging="743"/>
        <w:spacing w:after="0" w:line="281" w:lineRule="auto"/>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500" w:hanging="743"/>
        <w:spacing w:after="0" w:line="281" w:lineRule="auto"/>
        <w:tabs>
          <w:tab w:leader="none" w:pos="1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31, 2025</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Talat Imran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-121920</wp:posOffset>
            </wp:positionV>
            <wp:extent cx="3566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Svai Sanford, certify that:</w:t>
      </w:r>
    </w:p>
    <w:p>
      <w:pPr>
        <w:spacing w:after="0" w:line="223" w:lineRule="exact"/>
        <w:rPr>
          <w:sz w:val="20"/>
          <w:szCs w:val="20"/>
          <w:color w:val="auto"/>
        </w:rPr>
      </w:pPr>
    </w:p>
    <w:p>
      <w:pPr>
        <w:ind w:left="760" w:hanging="752"/>
        <w:spacing w:after="0"/>
        <w:tabs>
          <w:tab w:leader="none" w:pos="7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Rani Therapeutics Holdings, Inc.;</w:t>
      </w:r>
    </w:p>
    <w:p>
      <w:pPr>
        <w:spacing w:after="0" w:line="223" w:lineRule="exact"/>
        <w:rPr>
          <w:rFonts w:ascii="Times New Roman" w:cs="Times New Roman" w:eastAsia="Times New Roman" w:hAnsi="Times New Roman"/>
          <w:sz w:val="17"/>
          <w:szCs w:val="17"/>
          <w:color w:val="auto"/>
        </w:rPr>
      </w:pPr>
    </w:p>
    <w:p>
      <w:pPr>
        <w:ind w:left="760" w:hanging="752"/>
        <w:spacing w:after="0" w:line="281" w:lineRule="auto"/>
        <w:tabs>
          <w:tab w:leader="none" w:pos="7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760" w:right="20" w:hanging="752"/>
        <w:spacing w:after="0" w:line="281" w:lineRule="auto"/>
        <w:tabs>
          <w:tab w:leader="none" w:pos="7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jc w:val="both"/>
        <w:ind w:left="760" w:hanging="752"/>
        <w:spacing w:after="0" w:line="265" w:lineRule="auto"/>
        <w:tabs>
          <w:tab w:leader="none" w:pos="7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jc w:val="both"/>
        <w:ind w:left="1500" w:hanging="743"/>
        <w:spacing w:after="0" w:line="265" w:lineRule="auto"/>
        <w:tabs>
          <w:tab w:leader="none" w:pos="15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jc w:val="both"/>
        <w:ind w:left="1500" w:hanging="743"/>
        <w:spacing w:after="0" w:line="265" w:lineRule="auto"/>
        <w:tabs>
          <w:tab w:leader="none" w:pos="15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7"/>
          <w:szCs w:val="17"/>
          <w:color w:val="auto"/>
        </w:rPr>
      </w:pPr>
    </w:p>
    <w:p>
      <w:pPr>
        <w:ind w:left="1500" w:right="20" w:hanging="743"/>
        <w:spacing w:after="0" w:line="281" w:lineRule="auto"/>
        <w:tabs>
          <w:tab w:leader="none" w:pos="15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jc w:val="both"/>
        <w:ind w:left="1500" w:hanging="743"/>
        <w:spacing w:after="0" w:line="265" w:lineRule="auto"/>
        <w:tabs>
          <w:tab w:leader="none" w:pos="15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760" w:hanging="752"/>
        <w:spacing w:after="0" w:line="281" w:lineRule="auto"/>
        <w:tabs>
          <w:tab w:leader="none" w:pos="7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500" w:hanging="743"/>
        <w:spacing w:after="0" w:line="281" w:lineRule="auto"/>
        <w:tabs>
          <w:tab w:leader="none" w:pos="15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500" w:hanging="743"/>
        <w:spacing w:after="0" w:line="281" w:lineRule="auto"/>
        <w:tabs>
          <w:tab w:leader="none" w:pos="15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31, 2025</w:t>
      </w:r>
    </w:p>
    <w:p>
      <w:pPr>
        <w:spacing w:after="0" w:line="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/s/ Svai Sanford</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-121920</wp:posOffset>
            </wp:positionV>
            <wp:extent cx="28200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62" w:name="page163"/>
    <w:bookmarkEnd w:id="162"/>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or her knowledge:</w:t>
      </w:r>
    </w:p>
    <w:p>
      <w:pPr>
        <w:spacing w:after="0" w:line="186" w:lineRule="exact"/>
        <w:rPr>
          <w:sz w:val="20"/>
          <w:szCs w:val="20"/>
          <w:color w:val="auto"/>
        </w:rPr>
      </w:pPr>
    </w:p>
    <w:p>
      <w:pPr>
        <w:ind w:left="760" w:hanging="752"/>
        <w:spacing w:after="0" w:line="282" w:lineRule="auto"/>
        <w:tabs>
          <w:tab w:leader="none" w:pos="7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b w:val="1"/>
          <w:bCs w:val="1"/>
          <w:color w:val="auto"/>
        </w:rPr>
      </w:pPr>
    </w:p>
    <w:p>
      <w:pPr>
        <w:ind w:left="760" w:hanging="752"/>
        <w:spacing w:after="0" w:line="282" w:lineRule="auto"/>
        <w:tabs>
          <w:tab w:leader="none" w:pos="7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31st day of March,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Talat Imran</w:t>
            </w:r>
          </w:p>
        </w:tc>
        <w:tc>
          <w:tcPr>
            <w:tcW w:w="1780" w:type="dxa"/>
            <w:vAlign w:val="bottom"/>
          </w:tcPr>
          <w:p>
            <w:pPr>
              <w:spacing w:after="0"/>
              <w:rPr>
                <w:sz w:val="20"/>
                <w:szCs w:val="20"/>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r>
      <w:tr>
        <w:trPr>
          <w:trHeight w:val="191"/>
        </w:trPr>
        <w:tc>
          <w:tcPr>
            <w:tcW w:w="4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Talat Imran</w:t>
            </w:r>
          </w:p>
        </w:tc>
        <w:tc>
          <w:tcPr>
            <w:tcW w:w="1780" w:type="dxa"/>
            <w:vAlign w:val="bottom"/>
          </w:tcPr>
          <w:p>
            <w:pPr>
              <w:spacing w:after="0"/>
              <w:rPr>
                <w:sz w:val="16"/>
                <w:szCs w:val="16"/>
                <w:color w:val="auto"/>
              </w:rPr>
            </w:pPr>
          </w:p>
        </w:tc>
        <w:tc>
          <w:tcPr>
            <w:tcW w:w="4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Svai Sanford</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78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8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p>
    <w:p>
      <w:pPr>
        <w:spacing w:after="0" w:line="21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Rani Therapeutics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5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p>
    <w:p>
      <w:pPr>
        <w:spacing w:after="0" w:line="21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This Policy shall apply to all Incentive Compensation that is received by a Covered Officer on or after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Incentive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44"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12" w:lineRule="exact"/>
        <w:rPr>
          <w:sz w:val="20"/>
          <w:szCs w:val="20"/>
          <w:color w:val="auto"/>
        </w:rPr>
      </w:pPr>
    </w:p>
    <w:p>
      <w:pPr>
        <w:jc w:val="both"/>
        <w:ind w:firstLine="84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 Date</w:t>
      </w:r>
      <w:r>
        <w:rPr>
          <w:rFonts w:ascii="Times New Roman" w:cs="Times New Roman" w:eastAsia="Times New Roman" w:hAnsi="Times New Roman"/>
          <w:sz w:val="18"/>
          <w:szCs w:val="18"/>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Compensation Committee or, in the absence of such committee, the Board.</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means each current and former Executive Officer.</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Nasdaq Stock Market.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9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61" w:lineRule="auto"/>
        <w:rPr>
          <w:sz w:val="20"/>
          <w:szCs w:val="20"/>
          <w:color w:val="auto"/>
        </w:rPr>
      </w:pPr>
      <w:r>
        <w:rPr>
          <w:rFonts w:ascii="Times New Roman" w:cs="Times New Roman" w:eastAsia="Times New Roman" w:hAnsi="Times New Roman"/>
          <w:sz w:val="18"/>
          <w:szCs w:val="18"/>
          <w:color w:val="auto"/>
        </w:rPr>
        <w:t>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4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12"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ecoupment</w:t>
      </w:r>
    </w:p>
    <w:p>
      <w:pPr>
        <w:spacing w:after="0" w:line="211"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01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Applicability of Policy. </w:t>
      </w:r>
      <w:r>
        <w:rPr>
          <w:rFonts w:ascii="Times New Roman" w:cs="Times New Roman" w:eastAsia="Times New Roman" w:hAnsi="Times New Roman"/>
          <w:sz w:val="18"/>
          <w:szCs w:val="18"/>
          <w:color w:val="auto"/>
        </w:rPr>
        <w:t>This Policy applies to Incentive Compensation received by a Covered Officer (i) after beginning services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43" w:lineRule="exact"/>
        <w:rPr>
          <w:rFonts w:ascii="Times New Roman" w:cs="Times New Roman" w:eastAsia="Times New Roman" w:hAnsi="Times New Roman"/>
          <w:sz w:val="18"/>
          <w:szCs w:val="18"/>
          <w:b w:val="1"/>
          <w:bCs w:val="1"/>
          <w:color w:val="auto"/>
        </w:rPr>
      </w:pPr>
    </w:p>
    <w:p>
      <w:pPr>
        <w:jc w:val="both"/>
        <w:ind w:firstLine="757"/>
        <w:spacing w:after="0" w:line="257" w:lineRule="auto"/>
        <w:tabs>
          <w:tab w:leader="none" w:pos="101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Generally. </w:t>
      </w:r>
      <w:r>
        <w:rPr>
          <w:rFonts w:ascii="Times New Roman" w:cs="Times New Roman" w:eastAsia="Times New Roman" w:hAnsi="Times New Roman"/>
          <w:sz w:val="18"/>
          <w:szCs w:val="18"/>
          <w:color w:val="auto"/>
        </w:rPr>
        <w:t>Pursuant to the provisions of this Policy, if there is an Accounting Restatement, the Company must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68"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Impracticability of Recovery. </w:t>
      </w:r>
      <w:r>
        <w:rPr>
          <w:rFonts w:ascii="Times New Roman" w:cs="Times New Roman" w:eastAsia="Times New Roman" w:hAnsi="Times New Roman"/>
          <w:sz w:val="18"/>
          <w:szCs w:val="18"/>
          <w:color w:val="auto"/>
        </w:rPr>
        <w:t>Recoupment may be determined to be impracticable if, and only if:</w:t>
      </w:r>
    </w:p>
    <w:p>
      <w:pPr>
        <w:spacing w:after="0" w:line="215" w:lineRule="exact"/>
        <w:rPr>
          <w:rFonts w:ascii="Times New Roman" w:cs="Times New Roman" w:eastAsia="Times New Roman" w:hAnsi="Times New Roman"/>
          <w:sz w:val="18"/>
          <w:szCs w:val="18"/>
          <w:b w:val="1"/>
          <w:bCs w:val="1"/>
          <w:color w:val="auto"/>
        </w:rPr>
      </w:pPr>
    </w:p>
    <w:p>
      <w:pPr>
        <w:ind w:left="2040" w:hanging="535"/>
        <w:spacing w:after="0"/>
        <w:tabs>
          <w:tab w:leader="none" w:pos="204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5" w:name="page166"/>
    <w:bookmarkEnd w:id="165"/>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66" w:lineRule="exact"/>
        <w:rPr>
          <w:sz w:val="20"/>
          <w:szCs w:val="20"/>
          <w:color w:val="auto"/>
        </w:rPr>
      </w:pPr>
    </w:p>
    <w:p>
      <w:pPr>
        <w:jc w:val="both"/>
        <w:ind w:left="760" w:firstLine="745"/>
        <w:spacing w:after="0" w:line="266" w:lineRule="auto"/>
        <w:tabs>
          <w:tab w:leader="none" w:pos="2048"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4"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Sources of Recoupment. </w:t>
      </w:r>
      <w:r>
        <w:rPr>
          <w:rFonts w:ascii="Times New Roman" w:cs="Times New Roman" w:eastAsia="Times New Roman" w:hAnsi="Times New Roman"/>
          <w:sz w:val="18"/>
          <w:szCs w:val="18"/>
          <w:color w:val="auto"/>
        </w:rPr>
        <w:t>To the extent permitted by applicable law, the Administrator shall, in its sole discretion, determine the timing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68"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of Covered Officers. </w:t>
      </w:r>
      <w:r>
        <w:rPr>
          <w:rFonts w:ascii="Times New Roman" w:cs="Times New Roman" w:eastAsia="Times New Roman" w:hAnsi="Times New Roman"/>
          <w:sz w:val="18"/>
          <w:szCs w:val="18"/>
          <w:color w:val="auto"/>
        </w:rPr>
        <w:t>Notwithstanding any indemnification agreement, applicable insurance policy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62" w:lineRule="exact"/>
        <w:rPr>
          <w:rFonts w:ascii="Times New Roman" w:cs="Times New Roman" w:eastAsia="Times New Roman" w:hAnsi="Times New Roman"/>
          <w:sz w:val="18"/>
          <w:szCs w:val="18"/>
          <w:b w:val="1"/>
          <w:bCs w:val="1"/>
          <w:color w:val="auto"/>
        </w:rPr>
      </w:pPr>
    </w:p>
    <w:p>
      <w:pPr>
        <w:jc w:val="both"/>
        <w:ind w:firstLine="757"/>
        <w:spacing w:after="0" w:line="260" w:lineRule="auto"/>
        <w:tabs>
          <w:tab w:leader="none" w:pos="1018"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of Administrator. </w:t>
      </w:r>
      <w:r>
        <w:rPr>
          <w:rFonts w:ascii="Times New Roman" w:cs="Times New Roman" w:eastAsia="Times New Roman" w:hAnsi="Times New Roman"/>
          <w:sz w:val="18"/>
          <w:szCs w:val="18"/>
          <w:color w:val="auto"/>
        </w:rPr>
        <w:t>Any members of the Administrator, and any other members of the Board who assist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372"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“Good Reason” for Covered Officers. </w:t>
      </w:r>
      <w:r>
        <w:rPr>
          <w:rFonts w:ascii="Times New Roman" w:cs="Times New Roman" w:eastAsia="Times New Roman" w:hAnsi="Times New Roman"/>
          <w:sz w:val="18"/>
          <w:szCs w:val="18"/>
          <w:color w:val="auto"/>
        </w:rPr>
        <w:t>Any action by the Company to recoup or any recoupment of Recoverable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62"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p>
    <w:p>
      <w:pPr>
        <w:spacing w:after="0" w:line="21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appropriate to carry out the purpose and intent of this Policy (other than with respect to any recovery under this Policy involving such officer or employee).</w:t>
      </w:r>
    </w:p>
    <w:p>
      <w:pPr>
        <w:spacing w:after="0" w:line="208"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58"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mpairment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8"/>
          <w:szCs w:val="18"/>
          <w:b w:val="1"/>
          <w:bCs w:val="1"/>
          <w:color w:val="auto"/>
        </w:rPr>
        <w:t>SOX 304</w:t>
      </w:r>
      <w:r>
        <w:rPr>
          <w:rFonts w:ascii="Times New Roman" w:cs="Times New Roman" w:eastAsia="Times New Roman" w:hAnsi="Times New Roman"/>
          <w:sz w:val="18"/>
          <w:szCs w:val="18"/>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7" w:name="page168"/>
    <w:bookmarkEnd w:id="167"/>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p>
    <w:p>
      <w:pPr>
        <w:spacing w:after="0" w:line="2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31"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uccessors</w:t>
      </w:r>
    </w:p>
    <w:p>
      <w:pPr>
        <w:spacing w:after="0" w:line="2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44" w:lineRule="exact"/>
        <w:rPr>
          <w:sz w:val="20"/>
          <w:szCs w:val="20"/>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shall make any disclosures and filings with respect to this Policy that are required by law, including as required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lvl w:ilvl="1">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decimal"/>
      <w:start w:val="2"/>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decimal"/>
      <w:start w:val="105"/>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lowerRoman"/>
      <w:start w:val="2"/>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lvl w:ilvl="1">
      <w:lvlJc w:val="left"/>
      <w:lvlText w:val="%2"/>
      <w:numFmt w:val="decimal"/>
      <w:start w:val="104"/>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lowerLetter"/>
      <w:start w:val="1"/>
    </w:lvl>
  </w:abstractNum>
  <w:abstractNum w:abstractNumId="74">
    <w:nsid w:val="1A27709E"/>
    <w:multiLevelType w:val="hybridMultilevel"/>
    <w:lvl w:ilvl="0">
      <w:lvlJc w:val="left"/>
      <w:lvlText w:val="(%1)"/>
      <w:numFmt w:val="lowerRoman"/>
      <w:start w:val="2"/>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decimal"/>
      <w:start w:val="1"/>
    </w:lvl>
    <w:lvl w:ilvl="1">
      <w:lvlJc w:val="left"/>
      <w:lvlText w:val="(%2)"/>
      <w:numFmt w:val="lowerLetter"/>
      <w:start w:val="1"/>
    </w:lvl>
  </w:abstractNum>
  <w:abstractNum w:abstractNumId="77">
    <w:nsid w:val="7FB7E0AA"/>
    <w:multiLevelType w:val="hybridMultilevel"/>
    <w:lvl w:ilvl="0">
      <w:lvlJc w:val="left"/>
      <w:lvlText w:val="%1."/>
      <w:numFmt w:val="decimal"/>
      <w:start w:val="1"/>
    </w:lvl>
    <w:lvl w:ilvl="1">
      <w:lvlJc w:val="left"/>
      <w:lvlText w:val="(%2)"/>
      <w:numFmt w:val="lowerLetter"/>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2"/>
    </w:lvl>
  </w:abstractNum>
  <w:abstractNum w:abstractNumId="81">
    <w:nsid w:val="885E1B"/>
    <w:multiLevelType w:val="hybridMultilevel"/>
    <w:lvl w:ilvl="0">
      <w:lvlJc w:val="left"/>
      <w:lvlText w:val="%1."/>
      <w:numFmt w:val="decimal"/>
      <w:start w:val="3"/>
    </w:lvl>
  </w:abstractNum>
  <w:abstractNum w:abstractNumId="82">
    <w:nsid w:val="7627211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83">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4">
    <w:nsid w:val="1716703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5">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86">
    <w:nsid w:val="3222E7CD"/>
    <w:multiLevelType w:val="hybridMultilevel"/>
    <w:lvl w:ilvl="0">
      <w:lvlJc w:val="left"/>
      <w:lvlText w:val="%1."/>
      <w:numFmt w:val="decimal"/>
      <w:start w:val="6"/>
    </w:lvl>
  </w:abstractNum>
  <w:abstractNum w:abstractNumId="87">
    <w:nsid w:val="74DE0EE3"/>
    <w:multiLevelType w:val="hybridMultilevel"/>
    <w:lvl w:ilvl="0">
      <w:lvlJc w:val="left"/>
      <w:lvlText w:val="%1."/>
      <w:numFmt w:val="decimal"/>
      <w:start w:val="7"/>
    </w:lvl>
  </w:abstractNum>
  <w:abstractNum w:abstractNumId="88">
    <w:nsid w:val="68EBC550"/>
    <w:multiLevelType w:val="hybridMultilevel"/>
    <w:lvl w:ilvl="0">
      <w:lvlJc w:val="left"/>
      <w:lvlText w:val="%1."/>
      <w:numFmt w:val="decimal"/>
      <w:start w:val="8"/>
    </w:lvl>
  </w:abstractNum>
  <w:abstractNum w:abstractNumId="89">
    <w:nsid w:val="2DF6D648"/>
    <w:multiLevelType w:val="hybridMultilevel"/>
    <w:lvl w:ilvl="0">
      <w:lvlJc w:val="left"/>
      <w:lvlText w:val="%1."/>
      <w:numFmt w:val="decimal"/>
      <w:start w:val="9"/>
    </w:lvl>
  </w:abstractNum>
  <w:abstractNum w:abstractNumId="90">
    <w:nsid w:val="46B7D44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jpe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356" Type="http://schemas.openxmlformats.org/officeDocument/2006/relationships/hyperlink" Target="https://www.sec.gov/Archives/edgar/data/1856725/000119312521223596/d151628dex31.htm" TargetMode="External"/><Relationship Id="rId357" Type="http://schemas.openxmlformats.org/officeDocument/2006/relationships/hyperlink" Target="https://www.sec.gov/Archives/edgar/data/1856725/000119312521211922/d151628dex34.htm" TargetMode="External"/><Relationship Id="rId358" Type="http://schemas.openxmlformats.org/officeDocument/2006/relationships/hyperlink" Target="https://www.sec.gov/Archives/edgar/data/1856725/000119312521223596/d151628dex41.htm" TargetMode="External"/><Relationship Id="rId359" Type="http://schemas.openxmlformats.org/officeDocument/2006/relationships/hyperlink" Target="https://www.sec.gov/Archives/edgar/data/1856725/000095017022005088/rani-ex4_2.htm" TargetMode="External"/><Relationship Id="rId360" Type="http://schemas.openxmlformats.org/officeDocument/2006/relationships/hyperlink" Target="https://www.sec.gov/Archives/edgar/data/1856725/000119312524182549/d873880dex42.htm" TargetMode="External"/><Relationship Id="rId361" Type="http://schemas.openxmlformats.org/officeDocument/2006/relationships/hyperlink" Target="https://www.sec.gov/Archives/edgar/data/1856725/000119312524237838/d816394dex41.htm" TargetMode="External"/><Relationship Id="rId362" Type="http://schemas.openxmlformats.org/officeDocument/2006/relationships/hyperlink" Target="https://www.sec.gov/Archives/edgar/data/1856725/000119312524182549/d873880dex43.htm" TargetMode="External"/><Relationship Id="rId363" Type="http://schemas.openxmlformats.org/officeDocument/2006/relationships/hyperlink" Target="https://www.sec.gov/Archives/edgar/data/1856725/000119312524237838/d816394dex42.htm" TargetMode="External"/><Relationship Id="rId364" Type="http://schemas.openxmlformats.org/officeDocument/2006/relationships/hyperlink" Target="https://www.sec.gov/Archives/edgar/data/1856725/000095017022016492/rani-ex10_3.htm" TargetMode="External"/><Relationship Id="rId365" Type="http://schemas.openxmlformats.org/officeDocument/2006/relationships/hyperlink" Target="https://www.sec.gov/Archives/edgar/data/1856725/000095017022005088/rani-ex10_1.htm" TargetMode="External"/><Relationship Id="rId366" Type="http://schemas.openxmlformats.org/officeDocument/2006/relationships/hyperlink" Target="https://www.sec.gov/Archives/edgar/data/1856725/000095017022005088/rani-ex10_2.htm" TargetMode="External"/><Relationship Id="rId367" Type="http://schemas.openxmlformats.org/officeDocument/2006/relationships/hyperlink" Target="https://www.sec.gov/Archives/edgar/data/1856725/000095017022005088/rani-ex10_3.htm" TargetMode="External"/><Relationship Id="rId368" Type="http://schemas.openxmlformats.org/officeDocument/2006/relationships/hyperlink" Target="https://www.sec.gov/Archives/edgar/data/1856725/000095017022005088/rani-ex10_4.htm" TargetMode="External"/><Relationship Id="rId369" Type="http://schemas.openxmlformats.org/officeDocument/2006/relationships/hyperlink" Target="https://www.sec.gov/Archives/edgar/data/1856725/000119312521211922/d151628dex104.htm" TargetMode="External"/><Relationship Id="rId370" Type="http://schemas.openxmlformats.org/officeDocument/2006/relationships/hyperlink" Target="https://www.sec.gov/Archives/edgar/data/1856725/000119312521211922/d151628dex105.htm" TargetMode="External"/><Relationship Id="rId371" Type="http://schemas.openxmlformats.org/officeDocument/2006/relationships/hyperlink" Target="https://www.sec.gov/Archives/edgar/data/1856725/000119312521223596/d151628dex107.htm" TargetMode="External"/><Relationship Id="rId372" Type="http://schemas.openxmlformats.org/officeDocument/2006/relationships/hyperlink" Target="https://www.sec.gov/Archives/edgar/data/1856725/000095017022005088/rani-ex10_8.htm" TargetMode="External"/><Relationship Id="rId375" Type="http://schemas.openxmlformats.org/officeDocument/2006/relationships/hyperlink" Target="https://www.sec.gov/Archives/edgar/data/1856725/000119312521223596/d151628dex108.htm" TargetMode="External"/><Relationship Id="rId376" Type="http://schemas.openxmlformats.org/officeDocument/2006/relationships/hyperlink" Target="https://www.sec.gov/Archives/edgar/data/1856725/000119312521211922/d151628dex108.htm" TargetMode="External"/><Relationship Id="rId377" Type="http://schemas.openxmlformats.org/officeDocument/2006/relationships/hyperlink" Target="https://www.sec.gov/Archives/edgar/data/1856725/000119312521211922/d151628dex109.htm" TargetMode="External"/><Relationship Id="rId378" Type="http://schemas.openxmlformats.org/officeDocument/2006/relationships/hyperlink" Target="https://www.sec.gov/Archives/edgar/data/1856725/000119312521217338/d151628dex1011.htm" TargetMode="External"/><Relationship Id="rId379" Type="http://schemas.openxmlformats.org/officeDocument/2006/relationships/hyperlink" Target="https://www.sec.gov/Archives/edgar/data/1856725/000119312521211922/d151628dex1015.htm" TargetMode="External"/><Relationship Id="rId380" Type="http://schemas.openxmlformats.org/officeDocument/2006/relationships/hyperlink" Target="https://www.sec.gov/Archives/edgar/data/1856725/000095017022005088/rani-ex10_14.htm" TargetMode="External"/><Relationship Id="rId381" Type="http://schemas.openxmlformats.org/officeDocument/2006/relationships/hyperlink" Target="https://www.sec.gov/Archives/edgar/data/1856725/000095017024034163/rani-ex10_15.htm" TargetMode="External"/><Relationship Id="rId382" Type="http://schemas.openxmlformats.org/officeDocument/2006/relationships/hyperlink" Target="https://www.sec.gov/Archives/edgar/data/1856725/000119312521211922/d151628dex1016.htm" TargetMode="External"/><Relationship Id="rId383" Type="http://schemas.openxmlformats.org/officeDocument/2006/relationships/hyperlink" Target="https://www.sec.gov/Archives/edgar/data/1856725/000095017024034163/rani-ex10_17.htm" TargetMode="External"/><Relationship Id="rId384" Type="http://schemas.openxmlformats.org/officeDocument/2006/relationships/hyperlink" Target="https://www.sec.gov/Archives/edgar/data/1856725/000119312521211922/d151628dex1017.htm" TargetMode="External"/><Relationship Id="rId385" Type="http://schemas.openxmlformats.org/officeDocument/2006/relationships/hyperlink" Target="https://www.sec.gov/Archives/edgar/data/1856725/000119312521211922/d151628dex1018.htm" TargetMode="External"/><Relationship Id="rId386" Type="http://schemas.openxmlformats.org/officeDocument/2006/relationships/hyperlink" Target="https://www.sec.gov/Archives/edgar/data/1856725/000095017023009178/rani-ex10_19.htm" TargetMode="External"/><Relationship Id="rId387" Type="http://schemas.openxmlformats.org/officeDocument/2006/relationships/hyperlink" Target="https://www.sec.gov/Archives/edgar/data/1856725/000095017023009178/rani-ex10_20.htm" TargetMode="External"/><Relationship Id="rId388" Type="http://schemas.openxmlformats.org/officeDocument/2006/relationships/hyperlink" Target="https://www.sec.gov/Archives/edgar/data/1856725/000095017023009178/rani-ex10_21.htm" TargetMode="External"/><Relationship Id="rId389" Type="http://schemas.openxmlformats.org/officeDocument/2006/relationships/hyperlink" Target="https://www.sec.gov/Archives/edgar/data/1856725/000095017022009334/rani-ex10_2.htm" TargetMode="External"/><Relationship Id="rId390" Type="http://schemas.openxmlformats.org/officeDocument/2006/relationships/hyperlink" Target="https://www.sec.gov/Archives/edgar/data/1856725/000095017023041852/rani-ex10_2.htm" TargetMode="External"/><Relationship Id="rId391" Type="http://schemas.openxmlformats.org/officeDocument/2006/relationships/hyperlink" Target="https://www.sec.gov/Archives/edgar/data/1856725/000095017022016492/rani-ex10_1.htm" TargetMode="External"/><Relationship Id="rId392" Type="http://schemas.openxmlformats.org/officeDocument/2006/relationships/hyperlink" Target="https://www.sec.gov/Archives/edgar/data/1856725/000095017022016492/rani-ex10_2.htm" TargetMode="External"/><Relationship Id="rId393" Type="http://schemas.openxmlformats.org/officeDocument/2006/relationships/hyperlink" Target="https://www.sec.gov/Archives/edgar/data/1856725/000119312522229280/d385381dex11.htm" TargetMode="External"/><Relationship Id="rId394" Type="http://schemas.openxmlformats.org/officeDocument/2006/relationships/hyperlink" Target="https://www.sec.gov/Archives/edgar/data/1856725/000095017023041852/rani-ex10_1.htm" TargetMode="External"/><Relationship Id="rId397" Type="http://schemas.openxmlformats.org/officeDocument/2006/relationships/hyperlink" Target="https://www.sec.gov/Archives/edgar/data/1856725/000095017023061137/rani-ex10_1.htm" TargetMode="External"/><Relationship Id="rId398" Type="http://schemas.openxmlformats.org/officeDocument/2006/relationships/hyperlink" Target="https://www.sec.gov/Archives/edgar/data/1856725/000095017024091793/rani-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2025-03-31T15:49:54Z</dcterms:created>
  <dcterms:modified xsi:type="dcterms:W3CDTF">2025-03-31T15:49:54Z</dcterms:modified>
</cp:coreProperties>
</file>