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U.S. Securities and Exchange Commission on March 31, 2022</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2">
            <w:col w:w="7180" w:space="720"/>
            <w:col w:w="3060"/>
          </w:cols>
          <w:pgMar w:left="440" w:top="229" w:right="49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9" w:right="4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2051 Ringwood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457-3700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0960"/>
          </w:cols>
          <w:pgMar w:left="440" w:top="229" w:right="499" w:bottom="1440" w:gutter="0" w:footer="0" w:header="0"/>
          <w:type w:val="continuous"/>
        </w:sect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Holdings, Inc. 2021 Equity Incentive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Holdings, Inc. 2021 Employee Stock Purchase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Talat Imran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Holdings,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2051 Ringwood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457-3700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Josh Seidenfeld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 AND GENERAL INSTRUCTION E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 is filing this Registration Statement on Form S-8 for the purpose of registering an additional 2,450,113 shares of Class A common stock under the Rani Therapeutics Holdings, Inc. 2021 Equity Incentive Plan and an additional 100,000 shares of Class A common stock under the Rani Therapeutics Holdings, Inc. 2021 Employee Stock Purchase Plan, pursuant to the provisions of each plan which provide for annual automatic increases in the number of shares of Class A common stock reserved for issuance under each respective plan.</w:t>
      </w:r>
    </w:p>
    <w:p>
      <w:pPr>
        <w:spacing w:after="0" w:line="171" w:lineRule="exact"/>
        <w:rPr>
          <w:sz w:val="20"/>
          <w:szCs w:val="20"/>
          <w:color w:val="auto"/>
        </w:rPr>
      </w:pPr>
    </w:p>
    <w:p>
      <w:pPr>
        <w:ind w:right="80"/>
        <w:spacing w:after="0" w:line="257" w:lineRule="auto"/>
        <w:rPr>
          <w:rFonts w:ascii="Arial" w:cs="Arial" w:eastAsia="Arial" w:hAnsi="Arial"/>
          <w:sz w:val="18"/>
          <w:szCs w:val="18"/>
          <w:color w:val="0000EE"/>
        </w:rPr>
      </w:pPr>
      <w:r>
        <w:rPr>
          <w:rFonts w:ascii="Arial" w:cs="Arial" w:eastAsia="Arial" w:hAnsi="Arial"/>
          <w:sz w:val="18"/>
          <w:szCs w:val="18"/>
          <w:color w:val="auto"/>
        </w:rPr>
        <w:t>The Registration Statement is being filed for the purpose of increasing the number of securities of the same class as other securities for which Registration Statements on Form S-8 of the Registrant relating to the same employee benefit plans set forth herein are effective. Pursuant to General Instruction E of Form S-8, this Registration Statement incorporates by reference the contents of the registration statements on Form S-8 relating to the 2021 Equity Incentive Plan and the 2021 Employee Stock Purchase Plan filed by the Registrant with the Securities and Exchange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on </w:t>
      </w:r>
      <w:hyperlink r:id="rId18">
        <w:r>
          <w:rPr>
            <w:rFonts w:ascii="Arial" w:cs="Arial" w:eastAsia="Arial" w:hAnsi="Arial"/>
            <w:sz w:val="18"/>
            <w:szCs w:val="18"/>
            <w:u w:val="single" w:color="auto"/>
            <w:color w:val="0000EE"/>
          </w:rPr>
          <w:t>August 3, 2021 (File No. 333-2584150)</w:t>
        </w:r>
      </w:hyperlink>
      <w:r>
        <w:rPr>
          <w:rFonts w:ascii="Arial" w:cs="Arial" w:eastAsia="Arial" w:hAnsi="Arial"/>
          <w:sz w:val="18"/>
          <w:szCs w:val="18"/>
          <w:color w:val="000000"/>
        </w:rPr>
        <w:t>.</w:t>
      </w:r>
    </w:p>
    <w:p>
      <w:pPr>
        <w:sectPr>
          <w:pgSz w:w="11900" w:h="16838" w:orient="portrait"/>
          <w:cols w:equalWidth="0" w:num="1">
            <w:col w:w="10880"/>
          </w:cols>
          <w:pgMar w:left="440" w:top="270"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Certain Documents By Reference.</w:t>
      </w:r>
    </w:p>
    <w:p>
      <w:pPr>
        <w:spacing w:after="0" w:line="117"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The following documents filed by Rani Therapeutics Holdings, Inc. (the “</w:t>
      </w:r>
      <w:r>
        <w:rPr>
          <w:rFonts w:ascii="Arial" w:cs="Arial" w:eastAsia="Arial" w:hAnsi="Arial"/>
          <w:sz w:val="18"/>
          <w:szCs w:val="18"/>
          <w:b w:val="1"/>
          <w:bCs w:val="1"/>
          <w:color w:val="auto"/>
        </w:rPr>
        <w:t>Registrant</w:t>
      </w:r>
      <w:r>
        <w:rPr>
          <w:rFonts w:ascii="Arial" w:cs="Arial" w:eastAsia="Arial" w:hAnsi="Arial"/>
          <w:sz w:val="18"/>
          <w:szCs w:val="18"/>
          <w:color w:val="auto"/>
        </w:rPr>
        <w:t>”) with the Commission are incorporated by reference into this Registration Statement:</w:t>
      </w:r>
    </w:p>
    <w:p>
      <w:pPr>
        <w:spacing w:after="0" w:line="58" w:lineRule="exact"/>
        <w:rPr>
          <w:sz w:val="20"/>
          <w:szCs w:val="20"/>
          <w:color w:val="auto"/>
        </w:rPr>
      </w:pPr>
    </w:p>
    <w:p>
      <w:pPr>
        <w:ind w:left="700" w:hanging="26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2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31, 2022;</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SEC on </w:t>
      </w:r>
      <w:hyperlink r:id="rId21">
        <w:r>
          <w:rPr>
            <w:rFonts w:ascii="Arial" w:cs="Arial" w:eastAsia="Arial" w:hAnsi="Arial"/>
            <w:sz w:val="18"/>
            <w:szCs w:val="18"/>
            <w:u w:val="single" w:color="auto"/>
            <w:color w:val="0000EE"/>
          </w:rPr>
          <w:t>January 5,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March 23, 2022</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right="320" w:firstLine="436"/>
        <w:spacing w:after="0" w:line="263"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common stock which is contained in a registration statement on </w:t>
      </w:r>
      <w:hyperlink r:id="rId2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Commission on July 26, 2021 (File No. 001-40672) under Section 12(b)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4" w:lineRule="exact"/>
        <w:rPr>
          <w:rFonts w:ascii="Arial" w:cs="Arial" w:eastAsia="Arial" w:hAnsi="Arial"/>
          <w:sz w:val="18"/>
          <w:szCs w:val="18"/>
          <w:color w:val="auto"/>
        </w:rPr>
      </w:pPr>
    </w:p>
    <w:p>
      <w:pPr>
        <w:ind w:right="80"/>
        <w:spacing w:after="0" w:line="270" w:lineRule="auto"/>
        <w:rPr>
          <w:sz w:val="20"/>
          <w:szCs w:val="20"/>
          <w:color w:val="auto"/>
        </w:rPr>
      </w:pPr>
      <w:r>
        <w:rPr>
          <w:rFonts w:ascii="Arial" w:cs="Arial" w:eastAsia="Arial" w:hAnsi="Arial"/>
          <w:sz w:val="17"/>
          <w:szCs w:val="17"/>
          <w:color w:val="auto"/>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480" w:type="dxa"/>
            <w:vAlign w:val="bottom"/>
            <w:gridSpan w:val="11"/>
          </w:tcPr>
          <w:p>
            <w:pPr>
              <w:ind w:left="40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Incorporated by Reference</w:t>
            </w:r>
          </w:p>
        </w:tc>
        <w:tc>
          <w:tcPr>
            <w:tcW w:w="5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Schedule</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40" w:type="dxa"/>
            <w:vAlign w:val="bottom"/>
            <w:gridSpan w:val="8"/>
          </w:tcPr>
          <w:p>
            <w:pPr>
              <w:ind w:left="54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File Number</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3"/>
                <w:szCs w:val="23"/>
                <w:color w:val="auto"/>
              </w:rPr>
            </w:pPr>
          </w:p>
        </w:tc>
        <w:tc>
          <w:tcPr>
            <w:tcW w:w="5260" w:type="dxa"/>
            <w:vAlign w:val="bottom"/>
            <w:tcBorders>
              <w:top w:val="single" w:sz="8" w:color="auto"/>
            </w:tcBorders>
            <w:gridSpan w:val="10"/>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Amended and Restated Certificate of Incorporation of the Registrant, as</w:t>
              </w:r>
            </w:hyperlink>
          </w:p>
        </w:tc>
        <w:tc>
          <w:tcPr>
            <w:tcW w:w="22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6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currently in effect.</w:t>
              </w:r>
            </w:hyperlink>
          </w:p>
        </w:tc>
        <w:tc>
          <w:tcPr>
            <w:tcW w:w="32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7"/>
              </w:rPr>
              <w:t>S-1/A</w:t>
            </w:r>
          </w:p>
        </w:tc>
        <w:tc>
          <w:tcPr>
            <w:tcW w:w="1260" w:type="dxa"/>
            <w:vAlign w:val="bottom"/>
            <w:gridSpan w:val="2"/>
          </w:tcPr>
          <w:p>
            <w:pPr>
              <w:ind w:left="320"/>
              <w:spacing w:after="0" w:line="196" w:lineRule="exact"/>
              <w:rPr>
                <w:sz w:val="20"/>
                <w:szCs w:val="20"/>
                <w:color w:val="auto"/>
              </w:rPr>
            </w:pPr>
            <w:r>
              <w:rPr>
                <w:rFonts w:ascii="Arial" w:cs="Arial" w:eastAsia="Arial" w:hAnsi="Arial"/>
                <w:sz w:val="18"/>
                <w:szCs w:val="18"/>
                <w:color w:val="auto"/>
                <w:w w:val="95"/>
              </w:rPr>
              <w:t>333-257809</w:t>
            </w:r>
          </w:p>
        </w:tc>
        <w:tc>
          <w:tcPr>
            <w:tcW w:w="420" w:type="dxa"/>
            <w:vAlign w:val="bottom"/>
          </w:tcPr>
          <w:p>
            <w:pPr>
              <w:spacing w:after="0"/>
              <w:rPr>
                <w:sz w:val="17"/>
                <w:szCs w:val="17"/>
                <w:color w:val="auto"/>
              </w:rPr>
            </w:pPr>
          </w:p>
        </w:tc>
        <w:tc>
          <w:tcPr>
            <w:tcW w:w="54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5480" w:type="dxa"/>
            <w:vAlign w:val="bottom"/>
            <w:gridSpan w:val="11"/>
          </w:tcPr>
          <w:p>
            <w:pPr>
              <w:spacing w:after="0"/>
              <w:rPr>
                <w:rFonts w:ascii="Arial" w:cs="Arial" w:eastAsia="Arial" w:hAnsi="Arial"/>
                <w:sz w:val="18"/>
                <w:szCs w:val="18"/>
                <w:color w:val="0000EE"/>
                <w:w w:val="96"/>
              </w:rPr>
            </w:pPr>
            <w:hyperlink r:id="rId25">
              <w:r>
                <w:rPr>
                  <w:rFonts w:ascii="Arial" w:cs="Arial" w:eastAsia="Arial" w:hAnsi="Arial"/>
                  <w:sz w:val="18"/>
                  <w:szCs w:val="18"/>
                  <w:color w:val="0000EE"/>
                  <w:w w:val="96"/>
                </w:rPr>
                <w:t>Amended and Restated Bylaws of the Registrant, as currently in effect.</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95"/>
              </w:rPr>
              <w:t>333-257809</w:t>
            </w:r>
          </w:p>
        </w:tc>
        <w:tc>
          <w:tcPr>
            <w:tcW w:w="420" w:type="dxa"/>
            <w:vAlign w:val="bottom"/>
          </w:tcPr>
          <w:p>
            <w:pPr>
              <w:spacing w:after="0"/>
              <w:rPr>
                <w:sz w:val="24"/>
                <w:szCs w:val="24"/>
                <w:color w:val="auto"/>
              </w:rPr>
            </w:pP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4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Specimen Class A common stock certificate of the Registrant.</w:t>
              </w:r>
            </w:hyperlink>
          </w:p>
        </w:tc>
        <w:tc>
          <w:tcPr>
            <w:tcW w:w="640" w:type="dxa"/>
            <w:vAlign w:val="bottom"/>
            <w:tcBorders>
              <w:top w:val="single" w:sz="8" w:color="0000EE"/>
            </w:tcBorders>
            <w:gridSpan w:val="2"/>
          </w:tcPr>
          <w:p>
            <w:pPr>
              <w:spacing w:after="0"/>
              <w:rPr>
                <w:sz w:val="24"/>
                <w:szCs w:val="24"/>
                <w:color w:val="auto"/>
              </w:rPr>
            </w:pPr>
          </w:p>
        </w:tc>
        <w:tc>
          <w:tcPr>
            <w:tcW w:w="38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95"/>
              </w:rPr>
              <w:t>333-257809</w:t>
            </w:r>
          </w:p>
        </w:tc>
        <w:tc>
          <w:tcPr>
            <w:tcW w:w="420" w:type="dxa"/>
            <w:vAlign w:val="bottom"/>
          </w:tcPr>
          <w:p>
            <w:pPr>
              <w:spacing w:after="0"/>
              <w:rPr>
                <w:sz w:val="24"/>
                <w:szCs w:val="24"/>
                <w:color w:val="auto"/>
              </w:rPr>
            </w:pP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Opinion of Cooley LLP.</w:t>
              </w:r>
            </w:hyperlink>
          </w:p>
        </w:tc>
        <w:tc>
          <w:tcPr>
            <w:tcW w:w="37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548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Cooley LLP (included in Exhibit 5.1).</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43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Consent of Independent Registered Public Accounting Firm.</w:t>
              </w:r>
            </w:hyperlink>
          </w:p>
        </w:tc>
        <w:tc>
          <w:tcPr>
            <w:tcW w:w="112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50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Power of Attorney (included on the signature page of this registration</w:t>
              </w:r>
            </w:hyperlink>
          </w:p>
        </w:tc>
        <w:tc>
          <w:tcPr>
            <w:tcW w:w="48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w:t>
              </w:r>
            </w:hyperlink>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5"/>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6"/>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Schedule</w:t>
            </w:r>
          </w:p>
        </w:tc>
        <w:tc>
          <w:tcPr>
            <w:tcW w:w="10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5"/>
          </w:tcPr>
          <w:p>
            <w:pPr>
              <w:ind w:left="13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File Number</w:t>
            </w:r>
          </w:p>
        </w:tc>
        <w:tc>
          <w:tcPr>
            <w:tcW w:w="3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3"/>
                <w:szCs w:val="23"/>
                <w:color w:val="auto"/>
              </w:rPr>
            </w:pPr>
          </w:p>
        </w:tc>
        <w:tc>
          <w:tcPr>
            <w:tcW w:w="5820" w:type="dxa"/>
            <w:vAlign w:val="bottom"/>
            <w:gridSpan w:val="9"/>
          </w:tcPr>
          <w:p>
            <w:pPr>
              <w:spacing w:after="0"/>
              <w:rPr>
                <w:rFonts w:ascii="Arial" w:cs="Arial" w:eastAsia="Arial" w:hAnsi="Arial"/>
                <w:sz w:val="18"/>
                <w:szCs w:val="18"/>
                <w:color w:val="0000EE"/>
                <w:w w:val="96"/>
              </w:rPr>
            </w:pPr>
            <w:hyperlink r:id="rId28">
              <w:r>
                <w:rPr>
                  <w:rFonts w:ascii="Arial" w:cs="Arial" w:eastAsia="Arial" w:hAnsi="Arial"/>
                  <w:sz w:val="18"/>
                  <w:szCs w:val="18"/>
                  <w:color w:val="0000EE"/>
                  <w:w w:val="96"/>
                </w:rPr>
                <w:t>Rani Therapeutics, LLC 2016 Equity Incentive Plan and forms of agreement</w:t>
              </w:r>
            </w:hyperlink>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8">
              <w:r>
                <w:rPr>
                  <w:rFonts w:ascii="Arial" w:cs="Arial" w:eastAsia="Arial" w:hAnsi="Arial"/>
                  <w:sz w:val="18"/>
                  <w:szCs w:val="18"/>
                  <w:color w:val="0000EE"/>
                  <w:w w:val="84"/>
                </w:rPr>
                <w:t>thereunder.</w:t>
              </w:r>
            </w:hyperlink>
          </w:p>
        </w:tc>
        <w:tc>
          <w:tcPr>
            <w:tcW w:w="4700" w:type="dxa"/>
            <w:vAlign w:val="bottom"/>
            <w:tcBorders>
              <w:top w:val="single" w:sz="8" w:color="0000EE"/>
            </w:tcBorders>
            <w:gridSpan w:val="5"/>
          </w:tcPr>
          <w:p>
            <w:pPr>
              <w:spacing w:after="0"/>
              <w:rPr>
                <w:sz w:val="17"/>
                <w:szCs w:val="17"/>
                <w:color w:val="auto"/>
              </w:rPr>
            </w:pPr>
          </w:p>
        </w:tc>
        <w:tc>
          <w:tcPr>
            <w:tcW w:w="320" w:type="dxa"/>
            <w:vAlign w:val="bottom"/>
            <w:gridSpan w:val="3"/>
          </w:tcPr>
          <w:p>
            <w:pPr>
              <w:spacing w:after="0"/>
              <w:rPr>
                <w:sz w:val="17"/>
                <w:szCs w:val="17"/>
                <w:color w:val="auto"/>
              </w:rPr>
            </w:pPr>
          </w:p>
        </w:tc>
        <w:tc>
          <w:tcPr>
            <w:tcW w:w="6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5"/>
              </w:rPr>
              <w:t>S-1</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333-257809</w:t>
            </w:r>
          </w:p>
        </w:tc>
        <w:tc>
          <w:tcPr>
            <w:tcW w:w="3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4"/>
                <w:szCs w:val="24"/>
                <w:color w:val="auto"/>
              </w:rPr>
            </w:pPr>
          </w:p>
        </w:tc>
        <w:tc>
          <w:tcPr>
            <w:tcW w:w="5820" w:type="dxa"/>
            <w:vAlign w:val="bottom"/>
            <w:gridSpan w:val="9"/>
          </w:tcPr>
          <w:p>
            <w:pPr>
              <w:spacing w:after="0"/>
              <w:rPr>
                <w:rFonts w:ascii="Arial" w:cs="Arial" w:eastAsia="Arial" w:hAnsi="Arial"/>
                <w:sz w:val="18"/>
                <w:szCs w:val="18"/>
                <w:color w:val="0000EE"/>
              </w:rPr>
            </w:pPr>
            <w:hyperlink r:id="rId29">
              <w:r>
                <w:rPr>
                  <w:rFonts w:ascii="Arial" w:cs="Arial" w:eastAsia="Arial" w:hAnsi="Arial"/>
                  <w:sz w:val="18"/>
                  <w:szCs w:val="18"/>
                  <w:color w:val="0000EE"/>
                </w:rPr>
                <w:t>Rani Therapeutics Holdings, Inc. 2021 Equity Incentive Plan.</w:t>
              </w:r>
            </w:hyperlink>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333-257809</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24"/>
                <w:szCs w:val="24"/>
                <w:color w:val="auto"/>
              </w:rPr>
            </w:pPr>
          </w:p>
        </w:tc>
        <w:tc>
          <w:tcPr>
            <w:tcW w:w="5820" w:type="dxa"/>
            <w:vAlign w:val="bottom"/>
            <w:gridSpan w:val="9"/>
          </w:tcPr>
          <w:p>
            <w:pPr>
              <w:spacing w:after="0"/>
              <w:rPr>
                <w:rFonts w:ascii="Arial" w:cs="Arial" w:eastAsia="Arial" w:hAnsi="Arial"/>
                <w:sz w:val="18"/>
                <w:szCs w:val="18"/>
                <w:color w:val="0000EE"/>
                <w:w w:val="95"/>
              </w:rPr>
            </w:pPr>
            <w:hyperlink r:id="rId30">
              <w:r>
                <w:rPr>
                  <w:rFonts w:ascii="Arial" w:cs="Arial" w:eastAsia="Arial" w:hAnsi="Arial"/>
                  <w:sz w:val="18"/>
                  <w:szCs w:val="18"/>
                  <w:color w:val="0000EE"/>
                  <w:w w:val="95"/>
                </w:rPr>
                <w:t>Forms of Agreement under the Rani Therapeutics Holdings, Inc. 2021 Equity</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Incentive Plan.</w:t>
              </w:r>
            </w:hyperlink>
          </w:p>
        </w:tc>
        <w:tc>
          <w:tcPr>
            <w:tcW w:w="260" w:type="dxa"/>
            <w:vAlign w:val="bottom"/>
            <w:gridSpan w:val="2"/>
          </w:tcPr>
          <w:p>
            <w:pPr>
              <w:spacing w:after="0"/>
              <w:rPr>
                <w:sz w:val="17"/>
                <w:szCs w:val="17"/>
                <w:color w:val="auto"/>
              </w:rPr>
            </w:pPr>
          </w:p>
        </w:tc>
        <w:tc>
          <w:tcPr>
            <w:tcW w:w="6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001-40672</w:t>
            </w:r>
          </w:p>
        </w:tc>
        <w:tc>
          <w:tcPr>
            <w:tcW w:w="3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1"/>
              </w:rPr>
              <w:t>March 31, 2022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24"/>
                <w:szCs w:val="24"/>
                <w:color w:val="auto"/>
              </w:rPr>
            </w:pPr>
          </w:p>
        </w:tc>
        <w:tc>
          <w:tcPr>
            <w:tcW w:w="5120" w:type="dxa"/>
            <w:vAlign w:val="bottom"/>
            <w:tcBorders>
              <w:bottom w:val="single" w:sz="8" w:color="0000EE"/>
            </w:tcBorders>
            <w:gridSpan w:val="5"/>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Rani Therapeutics Holdings, Inc. 2021 Employee Stock Purchase Plan.</w:t>
              </w:r>
            </w:hyperlink>
          </w:p>
        </w:tc>
        <w:tc>
          <w:tcPr>
            <w:tcW w:w="700" w:type="dxa"/>
            <w:vAlign w:val="bottom"/>
            <w:gridSpan w:val="4"/>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333-257809</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5820" w:type="dxa"/>
            <w:vAlign w:val="bottom"/>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Filing Fee Table</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6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March 31,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Talat Imran and Svai Sanford,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9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Talat Imran</w:t>
            </w:r>
          </w:p>
        </w:tc>
        <w:tc>
          <w:tcPr>
            <w:tcW w:w="12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Svai Sanford</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Svai Sanford</w:t>
            </w:r>
          </w:p>
        </w:tc>
        <w:tc>
          <w:tcPr>
            <w:tcW w:w="120" w:type="dxa"/>
            <w:vAlign w:val="bottom"/>
          </w:tcPr>
          <w:p>
            <w:pPr>
              <w:spacing w:after="0"/>
              <w:rPr>
                <w:sz w:val="19"/>
                <w:szCs w:val="19"/>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Ausiello</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Dennis Ausiello</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 Baranowski</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Lyn Baranowski</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Jean-Luc Butel</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Jean-Luc Butel</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Laureen DeBuono</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Laureen DeBuono</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Farquharson</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Andrew Farquharson</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 Imran</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Mir Imran</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Maulik Nanavaty</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Maulik Nanavaty</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Rometty</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Lisa Rometty</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16586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Josh Seidenfeld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+1 650 843 5862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jseidenfeld@cooley.com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acted as counsel to Rani Therapeutics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by the Company of a 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covering an offering of up to 2,550,113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Class A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consisting of (a) 2,450,113 shares of Common Stock issuable pursuant to the Company’s 2021 Equity Incentive Plan (the “</w:t>
      </w:r>
      <w:r>
        <w:rPr>
          <w:rFonts w:ascii="Arial" w:cs="Arial" w:eastAsia="Arial" w:hAnsi="Arial"/>
          <w:sz w:val="16"/>
          <w:szCs w:val="16"/>
          <w:b w:val="1"/>
          <w:bCs w:val="1"/>
          <w:i w:val="1"/>
          <w:iCs w:val="1"/>
          <w:color w:val="auto"/>
        </w:rPr>
        <w:t>2021 EIP</w:t>
      </w:r>
      <w:r>
        <w:rPr>
          <w:rFonts w:ascii="Arial" w:cs="Arial" w:eastAsia="Arial" w:hAnsi="Arial"/>
          <w:sz w:val="16"/>
          <w:szCs w:val="16"/>
          <w:color w:val="auto"/>
        </w:rPr>
        <w:t>”) and (b) 100,000 shares of Common Stock issuable pursuant to the Company’s 2021 Employee Stock Purchase Plan (together with the 2021 EIP,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16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this opinion, we have (i) examined and relied upon (a) the Registration Statement and related prospectuses, (b) the Company’s Certificate of Incorporation, as amended, and Bylaws, each as currently in effect, (c) the Plans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149" w:lineRule="exact"/>
        <w:rPr>
          <w:sz w:val="20"/>
          <w:szCs w:val="20"/>
          <w:color w:val="auto"/>
        </w:rPr>
      </w:pPr>
    </w:p>
    <w:p>
      <w:pPr>
        <w:jc w:val="center"/>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Josh Seidenfeld</w:t>
      </w:r>
    </w:p>
    <w:p>
      <w:pPr>
        <w:spacing w:after="0" w:line="225" w:lineRule="exact"/>
        <w:rPr>
          <w:sz w:val="20"/>
          <w:szCs w:val="20"/>
          <w:color w:val="auto"/>
        </w:rPr>
      </w:pPr>
    </w:p>
    <w:p>
      <w:pPr>
        <w:jc w:val="center"/>
        <w:ind w:right="-1000"/>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019"/>
          </w:cols>
          <w:pgMar w:left="440" w:top="108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Form S-8 pertaining to the Rani Therapeutics Holdings, Inc. 2021 Equity Incentive Plan and Rani Therapeutics Holdings, Inc. 2021 Employee Stock Purchase Plan of Rani Therapeutics Holdings, Inc. of our report dated March 30, 2022 with respect to the consolidated financial statements of Rani Therapeutics Holdings, Inc. included in its Annual Report (Form 10-K) for the year ended December 31, 2021, filed with the Securities and Exchange Commission.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ind w:left="3784"/>
        <w:spacing w:after="0"/>
        <w:rPr>
          <w:sz w:val="20"/>
          <w:szCs w:val="20"/>
          <w:color w:val="auto"/>
        </w:rPr>
      </w:pPr>
      <w:r>
        <w:rPr>
          <w:rFonts w:ascii="Arial" w:cs="Arial" w:eastAsia="Arial" w:hAnsi="Arial"/>
          <w:sz w:val="18"/>
          <w:szCs w:val="18"/>
          <w:b w:val="1"/>
          <w:bCs w:val="1"/>
          <w:color w:val="auto"/>
        </w:rPr>
        <w:t>CALCULATION OF FILING FEE TABLES</w:t>
      </w:r>
    </w:p>
    <w:p>
      <w:pPr>
        <w:spacing w:after="0" w:line="117" w:lineRule="exact"/>
        <w:rPr>
          <w:sz w:val="20"/>
          <w:szCs w:val="20"/>
          <w:color w:val="auto"/>
        </w:rPr>
      </w:pPr>
    </w:p>
    <w:p>
      <w:pPr>
        <w:ind w:left="5144"/>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99" w:lineRule="exact"/>
        <w:rPr>
          <w:sz w:val="20"/>
          <w:szCs w:val="20"/>
          <w:color w:val="auto"/>
        </w:rPr>
      </w:pPr>
    </w:p>
    <w:p>
      <w:pPr>
        <w:ind w:left="4244"/>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44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4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44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4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44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Proposed Maximum</w:t>
            </w: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44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080" w:type="dxa"/>
            <w:vAlign w:val="bottom"/>
            <w:tcBorders>
              <w:right w:val="single" w:sz="8" w:color="auto"/>
            </w:tcBorders>
          </w:tcPr>
          <w:p>
            <w:pPr>
              <w:jc w:val="right"/>
              <w:ind w:right="84"/>
              <w:spacing w:after="0" w:line="135" w:lineRule="exact"/>
              <w:rPr>
                <w:sz w:val="20"/>
                <w:szCs w:val="20"/>
                <w:color w:val="auto"/>
              </w:rPr>
            </w:pPr>
            <w:r>
              <w:rPr>
                <w:rFonts w:ascii="Arial" w:cs="Arial" w:eastAsia="Arial" w:hAnsi="Arial"/>
                <w:sz w:val="13"/>
                <w:szCs w:val="13"/>
                <w:color w:val="auto"/>
              </w:rPr>
              <w:t>Amount to be</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 Offering</w:t>
            </w: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61"/>
        </w:trPr>
        <w:tc>
          <w:tcPr>
            <w:tcW w:w="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3"/>
                <w:szCs w:val="13"/>
                <w:color w:val="auto"/>
                <w:w w:val="88"/>
              </w:rPr>
              <w:t>Security Type</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Security Class 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0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3"/>
                <w:szCs w:val="13"/>
                <w:color w:val="auto"/>
              </w:rPr>
              <w:t>Registered</w:t>
            </w:r>
            <w:r>
              <w:rPr>
                <w:rFonts w:ascii="Arial" w:cs="Arial" w:eastAsia="Arial" w:hAnsi="Arial"/>
                <w:sz w:val="10"/>
                <w:szCs w:val="10"/>
                <w:color w:val="auto"/>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Fee Rate</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$13.56</w:t>
            </w:r>
          </w:p>
        </w:tc>
        <w:tc>
          <w:tcPr>
            <w:tcW w:w="14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8"/>
                <w:szCs w:val="18"/>
                <w:color w:val="auto"/>
                <w:w w:val="89"/>
              </w:rPr>
              <w:t>$33,223,532.28</w:t>
            </w: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7"/>
              </w:rPr>
              <w:t>$3,079.83</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jc w:val="center"/>
              <w:ind w:left="39"/>
              <w:spacing w:after="0"/>
              <w:rPr>
                <w:sz w:val="20"/>
                <w:szCs w:val="20"/>
                <w:color w:val="auto"/>
              </w:rPr>
            </w:pPr>
            <w:r>
              <w:rPr>
                <w:rFonts w:ascii="Arial" w:cs="Arial" w:eastAsia="Arial" w:hAnsi="Arial"/>
                <w:sz w:val="18"/>
                <w:szCs w:val="18"/>
                <w:color w:val="auto"/>
                <w:w w:val="95"/>
              </w:rPr>
              <w:t>Equity</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reserved for issuance pursuant to the 2021 Equity Incentive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Other</w:t>
            </w:r>
            <w:r>
              <w:rPr>
                <w:rFonts w:ascii="Arial" w:cs="Arial" w:eastAsia="Arial" w:hAnsi="Arial"/>
                <w:sz w:val="10"/>
                <w:szCs w:val="10"/>
                <w:color w:val="auto"/>
                <w:w w:val="94"/>
              </w:rPr>
              <w:t>(2)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2,450,113</w:t>
            </w:r>
            <w:r>
              <w:rPr>
                <w:rFonts w:ascii="Arial" w:cs="Arial" w:eastAsia="Arial" w:hAnsi="Arial"/>
                <w:sz w:val="10"/>
                <w:szCs w:val="10"/>
                <w:color w:val="auto"/>
              </w:rPr>
              <w:t>(4)</w:t>
            </w:r>
          </w:p>
        </w:tc>
        <w:tc>
          <w:tcPr>
            <w:tcW w:w="640" w:type="dxa"/>
            <w:vAlign w:val="bottom"/>
            <w:tcBorders>
              <w:right w:val="single" w:sz="8" w:color="auto"/>
            </w:tcBorders>
            <w:vMerge w:val="continue"/>
          </w:tcPr>
          <w:p>
            <w:pPr>
              <w:spacing w:after="0"/>
              <w:rPr>
                <w:sz w:val="18"/>
                <w:szCs w:val="18"/>
                <w:color w:val="auto"/>
              </w:rPr>
            </w:pPr>
          </w:p>
        </w:tc>
        <w:tc>
          <w:tcPr>
            <w:tcW w:w="140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.0000927</w:t>
            </w:r>
          </w:p>
        </w:tc>
        <w:tc>
          <w:tcPr>
            <w:tcW w:w="8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Borders>
              <w:left w:val="single" w:sz="8" w:color="auto"/>
              <w:right w:val="single" w:sz="8" w:color="auto"/>
            </w:tcBorders>
          </w:tcPr>
          <w:p>
            <w:pPr>
              <w:spacing w:after="0"/>
              <w:rPr>
                <w:sz w:val="18"/>
                <w:szCs w:val="18"/>
                <w:color w:val="auto"/>
              </w:rPr>
            </w:pP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$11.53</w:t>
            </w:r>
          </w:p>
        </w:tc>
        <w:tc>
          <w:tcPr>
            <w:tcW w:w="14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8"/>
                <w:szCs w:val="18"/>
                <w:color w:val="auto"/>
                <w:w w:val="90"/>
              </w:rPr>
              <w:t>$1,153,000.00</w:t>
            </w:r>
          </w:p>
        </w:tc>
        <w:tc>
          <w:tcPr>
            <w:tcW w:w="880" w:type="dxa"/>
            <w:vAlign w:val="bottom"/>
            <w:tcBorders>
              <w:right w:val="single" w:sz="8" w:color="auto"/>
            </w:tcBorders>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106.89</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jc w:val="center"/>
              <w:ind w:left="39"/>
              <w:spacing w:after="0"/>
              <w:rPr>
                <w:sz w:val="20"/>
                <w:szCs w:val="20"/>
                <w:color w:val="auto"/>
              </w:rPr>
            </w:pPr>
            <w:r>
              <w:rPr>
                <w:rFonts w:ascii="Arial" w:cs="Arial" w:eastAsia="Arial" w:hAnsi="Arial"/>
                <w:sz w:val="18"/>
                <w:szCs w:val="18"/>
                <w:color w:val="auto"/>
                <w:w w:val="95"/>
              </w:rPr>
              <w:t>Equity</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reserved for issuance pursuant to the 2021 Employee Stock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Other</w:t>
            </w:r>
            <w:r>
              <w:rPr>
                <w:rFonts w:ascii="Arial" w:cs="Arial" w:eastAsia="Arial" w:hAnsi="Arial"/>
                <w:sz w:val="10"/>
                <w:szCs w:val="10"/>
                <w:color w:val="auto"/>
                <w:w w:val="94"/>
              </w:rPr>
              <w:t>(3)</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w:t>
            </w:r>
            <w:r>
              <w:rPr>
                <w:rFonts w:ascii="Arial" w:cs="Arial" w:eastAsia="Arial" w:hAnsi="Arial"/>
                <w:sz w:val="10"/>
                <w:szCs w:val="10"/>
                <w:color w:val="auto"/>
              </w:rPr>
              <w:t>(5)</w:t>
            </w:r>
          </w:p>
        </w:tc>
        <w:tc>
          <w:tcPr>
            <w:tcW w:w="640" w:type="dxa"/>
            <w:vAlign w:val="bottom"/>
            <w:tcBorders>
              <w:right w:val="single" w:sz="8" w:color="auto"/>
            </w:tcBorders>
            <w:vMerge w:val="continue"/>
          </w:tcPr>
          <w:p>
            <w:pPr>
              <w:spacing w:after="0"/>
              <w:rPr>
                <w:sz w:val="18"/>
                <w:szCs w:val="18"/>
                <w:color w:val="auto"/>
              </w:rPr>
            </w:pPr>
          </w:p>
        </w:tc>
        <w:tc>
          <w:tcPr>
            <w:tcW w:w="140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.0000927</w:t>
            </w:r>
          </w:p>
        </w:tc>
        <w:tc>
          <w:tcPr>
            <w:tcW w:w="240" w:type="dxa"/>
            <w:vAlign w:val="bottom"/>
            <w:vMerge w:val="continue"/>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Purchase Plan</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4420" w:type="dxa"/>
            <w:vAlign w:val="bottom"/>
          </w:tcPr>
          <w:p>
            <w:pPr>
              <w:jc w:val="center"/>
              <w:ind w:left="993"/>
              <w:spacing w:after="0"/>
              <w:rPr>
                <w:sz w:val="20"/>
                <w:szCs w:val="20"/>
                <w:color w:val="auto"/>
              </w:rPr>
            </w:pPr>
            <w:r>
              <w:rPr>
                <w:rFonts w:ascii="Arial" w:cs="Arial" w:eastAsia="Arial" w:hAnsi="Arial"/>
                <w:sz w:val="18"/>
                <w:szCs w:val="18"/>
                <w:color w:val="auto"/>
                <w:w w:val="93"/>
              </w:rPr>
              <w:t>Total Offering Amounts</w:t>
            </w:r>
          </w:p>
        </w:tc>
        <w:tc>
          <w:tcPr>
            <w:tcW w:w="76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$34,376,532.28</w:t>
            </w:r>
          </w:p>
        </w:tc>
        <w:tc>
          <w:tcPr>
            <w:tcW w:w="8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7"/>
              </w:rPr>
              <w:t>$3,186.72</w:t>
            </w:r>
          </w:p>
        </w:tc>
        <w:tc>
          <w:tcPr>
            <w:tcW w:w="0" w:type="dxa"/>
            <w:vAlign w:val="bottom"/>
          </w:tcPr>
          <w:p>
            <w:pPr>
              <w:spacing w:after="0"/>
              <w:rPr>
                <w:sz w:val="1"/>
                <w:szCs w:val="1"/>
                <w:color w:val="auto"/>
              </w:rPr>
            </w:pPr>
          </w:p>
        </w:tc>
      </w:tr>
      <w:tr>
        <w:trPr>
          <w:trHeight w:val="26"/>
        </w:trPr>
        <w:tc>
          <w:tcPr>
            <w:tcW w:w="880" w:type="dxa"/>
            <w:vAlign w:val="bottom"/>
            <w:tcBorders>
              <w:left w:val="single" w:sz="8" w:color="auto"/>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 w:type="dxa"/>
            <w:vAlign w:val="bottom"/>
            <w:tcBorders>
              <w:left w:val="single" w:sz="8" w:color="auto"/>
              <w:bottom w:val="single" w:sz="8" w:color="auto"/>
            </w:tcBorders>
          </w:tcPr>
          <w:p>
            <w:pPr>
              <w:spacing w:after="0"/>
              <w:rPr>
                <w:sz w:val="20"/>
                <w:szCs w:val="20"/>
                <w:color w:val="auto"/>
              </w:rPr>
            </w:pPr>
          </w:p>
        </w:tc>
        <w:tc>
          <w:tcPr>
            <w:tcW w:w="4420" w:type="dxa"/>
            <w:vAlign w:val="bottom"/>
            <w:tcBorders>
              <w:bottom w:val="single" w:sz="8" w:color="auto"/>
            </w:tcBorders>
          </w:tcPr>
          <w:p>
            <w:pPr>
              <w:jc w:val="center"/>
              <w:ind w:left="993"/>
              <w:spacing w:after="0"/>
              <w:rPr>
                <w:sz w:val="20"/>
                <w:szCs w:val="20"/>
                <w:color w:val="auto"/>
              </w:rPr>
            </w:pPr>
            <w:r>
              <w:rPr>
                <w:rFonts w:ascii="Arial" w:cs="Arial" w:eastAsia="Arial" w:hAnsi="Arial"/>
                <w:sz w:val="18"/>
                <w:szCs w:val="18"/>
                <w:color w:val="auto"/>
                <w:w w:val="88"/>
              </w:rPr>
              <w:t>Total Fee Offsets</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4420" w:type="dxa"/>
            <w:vAlign w:val="bottom"/>
          </w:tcPr>
          <w:p>
            <w:pPr>
              <w:jc w:val="center"/>
              <w:ind w:left="993"/>
              <w:spacing w:after="0"/>
              <w:rPr>
                <w:sz w:val="20"/>
                <w:szCs w:val="20"/>
                <w:color w:val="auto"/>
              </w:rPr>
            </w:pPr>
            <w:r>
              <w:rPr>
                <w:rFonts w:ascii="Arial" w:cs="Arial" w:eastAsia="Arial" w:hAnsi="Arial"/>
                <w:sz w:val="18"/>
                <w:szCs w:val="18"/>
                <w:color w:val="auto"/>
                <w:w w:val="88"/>
              </w:rPr>
              <w:t>Net Fee Due</w:t>
            </w:r>
          </w:p>
        </w:tc>
        <w:tc>
          <w:tcPr>
            <w:tcW w:w="76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7"/>
              </w:rPr>
              <w:t>$3,186.72</w:t>
            </w:r>
          </w:p>
        </w:tc>
        <w:tc>
          <w:tcPr>
            <w:tcW w:w="0" w:type="dxa"/>
            <w:vAlign w:val="bottom"/>
          </w:tcPr>
          <w:p>
            <w:pPr>
              <w:spacing w:after="0"/>
              <w:rPr>
                <w:sz w:val="1"/>
                <w:szCs w:val="1"/>
                <w:color w:val="auto"/>
              </w:rPr>
            </w:pPr>
          </w:p>
        </w:tc>
      </w:tr>
      <w:tr>
        <w:trPr>
          <w:trHeight w:val="26"/>
        </w:trPr>
        <w:tc>
          <w:tcPr>
            <w:tcW w:w="880" w:type="dxa"/>
            <w:vAlign w:val="bottom"/>
            <w:tcBorders>
              <w:left w:val="single" w:sz="8" w:color="auto"/>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right="20" w:hanging="424"/>
        <w:spacing w:after="0" w:line="27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this Registration Statement shall also cover any additional shares of Class A common stock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of Rani Therapeutics Holdings, Inc.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that become issuable under the Registrant’s 2021 Equity Incentive Place (the “</w:t>
      </w:r>
      <w:r>
        <w:rPr>
          <w:rFonts w:ascii="Arial" w:cs="Arial" w:eastAsia="Arial" w:hAnsi="Arial"/>
          <w:sz w:val="17"/>
          <w:szCs w:val="17"/>
          <w:b w:val="1"/>
          <w:bCs w:val="1"/>
          <w:i w:val="1"/>
          <w:iCs w:val="1"/>
          <w:color w:val="auto"/>
        </w:rPr>
        <w:t>2021 Plan</w:t>
      </w:r>
      <w:r>
        <w:rPr>
          <w:rFonts w:ascii="Arial" w:cs="Arial" w:eastAsia="Arial" w:hAnsi="Arial"/>
          <w:sz w:val="17"/>
          <w:szCs w:val="17"/>
          <w:color w:val="auto"/>
        </w:rPr>
        <w:t>”), or the Registrant’s 2021 Employee Stock Purchase Plan (the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by reason of any stock dividend, stock split, recapitalization or any other similar transaction effected without receipt of consideration which results in an increase in the number of outstanding shares of Class A Common Stock.</w:t>
      </w:r>
    </w:p>
    <w:p>
      <w:pPr>
        <w:spacing w:after="0" w:line="81" w:lineRule="exact"/>
        <w:rPr>
          <w:rFonts w:ascii="Arial" w:cs="Arial" w:eastAsia="Arial" w:hAnsi="Arial"/>
          <w:sz w:val="17"/>
          <w:szCs w:val="17"/>
          <w:color w:val="auto"/>
        </w:rPr>
      </w:pPr>
    </w:p>
    <w:p>
      <w:pPr>
        <w:jc w:val="both"/>
        <w:ind w:left="424" w:right="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pursuant to Rule 457(c) and Rule 457(h) solely for the purpose of calculating the registration fee on the basis of $13.56 per share, which is the average of the high and low prices of the Class A Common Stock as reported on The Nasdaq Global Select Market on March 24, 2022 (rounded up to the nearest cent).</w:t>
      </w:r>
    </w:p>
    <w:p>
      <w:pPr>
        <w:spacing w:after="0" w:line="89" w:lineRule="exact"/>
        <w:rPr>
          <w:rFonts w:ascii="Arial" w:cs="Arial" w:eastAsia="Arial" w:hAnsi="Arial"/>
          <w:sz w:val="18"/>
          <w:szCs w:val="18"/>
          <w:color w:val="auto"/>
        </w:rPr>
      </w:pPr>
    </w:p>
    <w:p>
      <w:pPr>
        <w:jc w:val="both"/>
        <w:ind w:left="424" w:right="20" w:hanging="424"/>
        <w:spacing w:after="0" w:line="31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pursuant to Rule 457(c) and Rule 457(h) solely for the purpose of calculating the registration fee on the basis of $11.53 per share, which is the average of the high and low prices of the Class A Common Stock as reported on The Nasdaq Global Select Market on March 24, 2022 (rounded up to the nearest cent), multiplied by 85%, which is the percentage of the price per share applicable to purchasers under the 2021 ESPP.</w:t>
      </w:r>
    </w:p>
    <w:p>
      <w:pPr>
        <w:spacing w:after="0" w:line="54" w:lineRule="exact"/>
        <w:rPr>
          <w:rFonts w:ascii="Arial" w:cs="Arial" w:eastAsia="Arial" w:hAnsi="Arial"/>
          <w:sz w:val="16"/>
          <w:szCs w:val="16"/>
          <w:color w:val="auto"/>
        </w:rPr>
      </w:pPr>
    </w:p>
    <w:p>
      <w:pPr>
        <w:jc w:val="both"/>
        <w:ind w:left="424" w:hanging="424"/>
        <w:spacing w:after="0" w:line="254"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additional shares of Class A Common Stock reserved for future grant under the 2021 Plan as a result of the automatic increase in shares reserved thereunder on January 1, 2022 pursuant to an “evergreen” provision contained in the 2021 Plan. Pursuant to such provision, an additional number of shares will automatically be added annually to the shares authorized for issuance under the 2021 Plan on January 1st of each calendar year, starting on January 1, 2022 and ending on (and including) January 1, 2031, in an amount equal to: (a) 5% of the total number of shares of all classes of the Registrant’s common stock outstanding on December 31st of the immediately preceding calendar year; or (b) a lesser number of shares as the Registrant’s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designate no later than December 31st of the immediately preceding year.</w:t>
      </w:r>
    </w:p>
    <w:p>
      <w:pPr>
        <w:spacing w:after="0" w:line="100" w:lineRule="exact"/>
        <w:rPr>
          <w:rFonts w:ascii="Arial" w:cs="Arial" w:eastAsia="Arial" w:hAnsi="Arial"/>
          <w:sz w:val="18"/>
          <w:szCs w:val="18"/>
          <w:color w:val="auto"/>
        </w:rPr>
      </w:pPr>
    </w:p>
    <w:p>
      <w:pPr>
        <w:jc w:val="both"/>
        <w:ind w:left="424" w:hanging="424"/>
        <w:spacing w:after="0" w:line="254"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additional shares of Class A Common Stock reserved for issuance under the ESPP as a result of the automatic increase in shares reserved thereunder on January 1, 2022 pursuant to an “evergreen” provision contained in the ESPP. Pursuant to such provision, an additional number of shares will automatically be added annually to the shares authorized for issuance under the ESPP on January 1st of each calendar year, starting on January 1, 2022 and ending on (and including) January 1, 2031. The number of shares added each year will be equal to the lesser of: (a) 1% of the total number of shares of all classes of the Registrant’s common stock outstanding on December 31st of the immediately preceding calendar year; (b) 100,000 shares; or (c) a lesser number of shares as the Board may designate no later than December 31</w:t>
      </w:r>
      <w:r>
        <w:rPr>
          <w:rFonts w:ascii="Arial" w:cs="Arial" w:eastAsia="Arial" w:hAnsi="Arial"/>
          <w:sz w:val="15"/>
          <w:szCs w:val="15"/>
          <w:color w:val="auto"/>
        </w:rPr>
        <w:t>st</w:t>
      </w:r>
      <w:r>
        <w:rPr>
          <w:rFonts w:ascii="Arial" w:cs="Arial" w:eastAsia="Arial" w:hAnsi="Arial"/>
          <w:sz w:val="18"/>
          <w:szCs w:val="18"/>
          <w:color w:val="auto"/>
        </w:rPr>
        <w:t xml:space="preserve"> of the immediately preceding year.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7"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jpeg"/><Relationship Id="rId36" Type="http://schemas.openxmlformats.org/officeDocument/2006/relationships/image" Target="media/image17.png"/><Relationship Id="rId37" Type="http://schemas.openxmlformats.org/officeDocument/2006/relationships/image" Target="media/image18.jpeg"/><Relationship Id="rId38" Type="http://schemas.openxmlformats.org/officeDocument/2006/relationships/image" Target="media/image19.png"/><Relationship Id="rId18" Type="http://schemas.openxmlformats.org/officeDocument/2006/relationships/hyperlink" Target="http://www.sec.gov/Archives/edgar/data/0001856725/000119312521235042/d161667ds8.htm" TargetMode="External"/><Relationship Id="rId20" Type="http://schemas.openxmlformats.org/officeDocument/2006/relationships/hyperlink" Target="http://www.sec.gov/ix?doc=/Archives/edgar/data/1856725/000095017022005088/rani-20211231.htm" TargetMode="External"/><Relationship Id="rId21" Type="http://schemas.openxmlformats.org/officeDocument/2006/relationships/hyperlink" Target="http://www.sec.gov/Archives/edgar/data/0001856725/000119312522002651/d281285d8k.htm" TargetMode="External"/><Relationship Id="rId22" Type="http://schemas.openxmlformats.org/officeDocument/2006/relationships/hyperlink" Target="http://www.sec.gov/ix?doc=/Archives/edgar/data/1856725/000119312522082742/d284920d8k.htm" TargetMode="External"/><Relationship Id="rId23" Type="http://schemas.openxmlformats.org/officeDocument/2006/relationships/hyperlink" Target="http://www.sec.gov/Archives/edgar/data/0001856725/000119312521224394/d193678d8a12b.htm" TargetMode="External"/><Relationship Id="rId24" Type="http://schemas.openxmlformats.org/officeDocument/2006/relationships/hyperlink" Target="http://www.sec.gov/Archives/edgar/data/1856725/000119312521223596/d151628dex31.htm" TargetMode="External"/><Relationship Id="rId25" Type="http://schemas.openxmlformats.org/officeDocument/2006/relationships/hyperlink" Target="http://www.sec.gov/Archives/edgar/data/1856725/000119312521211922/d151628dex34.htm" TargetMode="External"/><Relationship Id="rId26" Type="http://schemas.openxmlformats.org/officeDocument/2006/relationships/hyperlink" Target="http://www.sec.gov/Archives/edgar/data/1856725/000119312521223596/d151628dex41.htm" TargetMode="External"/><Relationship Id="rId28" Type="http://schemas.openxmlformats.org/officeDocument/2006/relationships/hyperlink" Target="http://www.sec.gov/Archives/edgar/data/1856725/000119312521211922/d151628dex105.htm" TargetMode="External"/><Relationship Id="rId29" Type="http://schemas.openxmlformats.org/officeDocument/2006/relationships/hyperlink" Target="http://www.sec.gov/Archives/edgar/data/1856725/000119312521223596/d151628dex107.htm" TargetMode="External"/><Relationship Id="rId30" Type="http://schemas.openxmlformats.org/officeDocument/2006/relationships/hyperlink" Target="http://www.sec.gov/Archives/edgar/data/1856725/000095017022005088/rani-ex10_8.htm" TargetMode="External"/><Relationship Id="rId31" Type="http://schemas.openxmlformats.org/officeDocument/2006/relationships/hyperlink" Target="http://www.sec.gov/Archives/edgar/data/1856725/000119312521223596/d15162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2022-03-31T15:44:53Z</dcterms:created>
  <dcterms:modified xsi:type="dcterms:W3CDTF">2022-03-31T15:44:53Z</dcterms:modified>
</cp:coreProperties>
</file>