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45"/>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1"/>
                <w:szCs w:val="21"/>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December 16, 2023, the Board of Directors (the “Board”) of Rani Therapeutics Holdings, Inc. (the “Company”) approved a stock option repricing where the exercise price of certain outstanding options to purchase shares of the Company’s Class A common stock (the “Common Stock”) under the Company’s 2021 Equity Incentive Plan (the “2021 Plan”) or the Company’s 2016 Equity Incentive Plan (the “2016 Plan”) was reduced to $2.84 per share, the closing price of the Common Stock on the approval date (the “Option Repricing”). The Option Repricing includes unvested options granted pursuant to both the 2021 Plan and 2016 Plan that are held by employees, including the Company’s named executive officers, consultants, and non-employee members of the Board. No other terms of the options were modified, and the options will continue to vest according to their original vesting schedules and will retain their original expiration dates. After evaluating several alternatives, the Board determined that the Option Repricing, which is permitted under the terms of the 2021 Plan and 2016 Plan, was in the best interests of the Company and its stockholders and provides the most effective means of retaining and incentivizing the Company’s key contributors while preserving cash resources and without incurring stock dilution from significant additional equity grants.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options held by the Company’s named executive officers were included in the Option Repricing: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 w:type="dxa"/>
            <w:vAlign w:val="bottom"/>
          </w:tcPr>
          <w:p>
            <w:pPr>
              <w:spacing w:after="0"/>
              <w:rPr>
                <w:sz w:val="19"/>
                <w:szCs w:val="19"/>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3740" w:type="dxa"/>
            <w:vAlign w:val="bottom"/>
            <w:tcBorders>
              <w:bottom w:val="single" w:sz="8" w:color="auto"/>
            </w:tcBorders>
          </w:tcPr>
          <w:p>
            <w:pPr>
              <w:jc w:val="right"/>
              <w:ind w:right="1192"/>
              <w:spacing w:after="0"/>
              <w:rPr>
                <w:sz w:val="20"/>
                <w:szCs w:val="20"/>
                <w:color w:val="auto"/>
              </w:rPr>
            </w:pPr>
            <w:r>
              <w:rPr>
                <w:rFonts w:ascii="Times New Roman" w:cs="Times New Roman" w:eastAsia="Times New Roman" w:hAnsi="Times New Roman"/>
                <w:sz w:val="16"/>
                <w:szCs w:val="16"/>
                <w:b w:val="1"/>
                <w:bCs w:val="1"/>
                <w:color w:val="auto"/>
              </w:rPr>
              <w:t>Option Shares</w:t>
            </w:r>
          </w:p>
        </w:tc>
        <w:tc>
          <w:tcPr>
            <w:tcW w:w="3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Exercise Price Range of Original Options</w:t>
            </w:r>
          </w:p>
        </w:tc>
        <w:tc>
          <w:tcPr>
            <w:tcW w:w="60" w:type="dxa"/>
            <w:vAlign w:val="bottom"/>
          </w:tcPr>
          <w:p>
            <w:pPr>
              <w:spacing w:after="0"/>
              <w:rPr>
                <w:sz w:val="19"/>
                <w:szCs w:val="19"/>
                <w:color w:val="auto"/>
              </w:rPr>
            </w:pPr>
          </w:p>
        </w:tc>
      </w:tr>
      <w:tr>
        <w:trPr>
          <w:trHeight w:val="209"/>
        </w:trPr>
        <w:tc>
          <w:tcPr>
            <w:tcW w:w="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Talat Imran</w:t>
            </w:r>
          </w:p>
        </w:tc>
        <w:tc>
          <w:tcPr>
            <w:tcW w:w="37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936,444</w:t>
            </w:r>
          </w:p>
        </w:tc>
        <w:tc>
          <w:tcPr>
            <w:tcW w:w="3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9"/>
              </w:rPr>
              <w:t>$5.44 to $19.56</w:t>
            </w:r>
          </w:p>
        </w:tc>
        <w:tc>
          <w:tcPr>
            <w:tcW w:w="60" w:type="dxa"/>
            <w:vAlign w:val="bottom"/>
          </w:tcPr>
          <w:p>
            <w:pPr>
              <w:spacing w:after="0"/>
              <w:rPr>
                <w:sz w:val="18"/>
                <w:szCs w:val="18"/>
                <w:color w:val="auto"/>
              </w:rPr>
            </w:pPr>
          </w:p>
        </w:tc>
      </w:tr>
      <w:tr>
        <w:trPr>
          <w:trHeight w:val="231"/>
        </w:trPr>
        <w:tc>
          <w:tcPr>
            <w:tcW w:w="80" w:type="dxa"/>
            <w:vAlign w:val="bottom"/>
          </w:tcPr>
          <w:p>
            <w:pPr>
              <w:spacing w:after="0"/>
              <w:rPr>
                <w:sz w:val="20"/>
                <w:szCs w:val="20"/>
                <w:color w:val="auto"/>
              </w:rPr>
            </w:pP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37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Svai Sanford</w:t>
            </w:r>
          </w:p>
        </w:tc>
        <w:tc>
          <w:tcPr>
            <w:tcW w:w="37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313,558</w:t>
            </w:r>
          </w:p>
        </w:tc>
        <w:tc>
          <w:tcPr>
            <w:tcW w:w="3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9"/>
              </w:rPr>
              <w:t>$5.44 to $13.21</w:t>
            </w:r>
          </w:p>
        </w:tc>
        <w:tc>
          <w:tcPr>
            <w:tcW w:w="60" w:type="dxa"/>
            <w:vAlign w:val="bottom"/>
          </w:tcPr>
          <w:p>
            <w:pPr>
              <w:spacing w:after="0"/>
              <w:rPr>
                <w:sz w:val="19"/>
                <w:szCs w:val="19"/>
                <w:color w:val="auto"/>
              </w:rPr>
            </w:pPr>
          </w:p>
        </w:tc>
      </w:tr>
      <w:tr>
        <w:trPr>
          <w:trHeight w:val="232"/>
        </w:trPr>
        <w:tc>
          <w:tcPr>
            <w:tcW w:w="80" w:type="dxa"/>
            <w:vAlign w:val="bottom"/>
          </w:tcPr>
          <w:p>
            <w:pPr>
              <w:spacing w:after="0"/>
              <w:rPr>
                <w:sz w:val="20"/>
                <w:szCs w:val="20"/>
                <w:color w:val="auto"/>
              </w:rPr>
            </w:pP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37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Mir Hashim</w:t>
            </w:r>
          </w:p>
        </w:tc>
        <w:tc>
          <w:tcPr>
            <w:tcW w:w="37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328,374</w:t>
            </w:r>
          </w:p>
        </w:tc>
        <w:tc>
          <w:tcPr>
            <w:tcW w:w="3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9"/>
              </w:rPr>
              <w:t>$5.44 to $13.21</w:t>
            </w:r>
          </w:p>
        </w:tc>
        <w:tc>
          <w:tcPr>
            <w:tcW w:w="60" w:type="dxa"/>
            <w:vAlign w:val="bottom"/>
          </w:tcPr>
          <w:p>
            <w:pPr>
              <w:spacing w:after="0"/>
              <w:rPr>
                <w:sz w:val="19"/>
                <w:szCs w:val="19"/>
                <w:color w:val="auto"/>
              </w:rPr>
            </w:pPr>
          </w:p>
        </w:tc>
      </w:tr>
      <w:tr>
        <w:trPr>
          <w:trHeight w:val="236"/>
        </w:trPr>
        <w:tc>
          <w:tcPr>
            <w:tcW w:w="80" w:type="dxa"/>
            <w:vAlign w:val="bottom"/>
          </w:tcPr>
          <w:p>
            <w:pPr>
              <w:spacing w:after="0"/>
              <w:rPr>
                <w:sz w:val="20"/>
                <w:szCs w:val="20"/>
                <w:color w:val="auto"/>
              </w:rPr>
            </w:pP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i w:val="1"/>
                <w:iCs w:val="1"/>
                <w:color w:val="auto"/>
              </w:rPr>
              <w:t>Chief Scientific Officer</w:t>
            </w:r>
          </w:p>
        </w:tc>
        <w:tc>
          <w:tcPr>
            <w:tcW w:w="37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44"/>
        </w:trPr>
        <w:tc>
          <w:tcPr>
            <w:tcW w:w="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19,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2023-12-19T15:14:21Z</dcterms:created>
  <dcterms:modified xsi:type="dcterms:W3CDTF">2023-12-19T15:14:21Z</dcterms:modified>
</cp:coreProperties>
</file>