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95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9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052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Hashim Mir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052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Scientific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05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171,985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545,624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211,313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60" w:firstLine="5"/>
        <w:spacing w:after="0" w:line="286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LLC Units of Rani Therapeutics, LLC, a direct subsidiary of the Issuer. The Common LLC Units are redeemable at the election of the Reporting Person at any time for newly-issued Class A Common Stock of the Issuer ("Class A Shares") on a one-for-one basis or, if mutually agreed with the Issuer, a cash payment equal to the volume weighted average market price of one Class A Share for each Common LLC Unit redeemed (subject to customary adjustments, including for stock splits, stock dividends and reclassifications). However, the Issuer may elect to effect a direct exchange of such Class A Shares (or such cash, if mutually agreed) for such Common LLC Units.</w:t>
      </w:r>
    </w:p>
    <w:p>
      <w:pPr>
        <w:spacing w:after="0" w:line="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1/48th of the shares subject to the option vest monthly over four years from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 Mir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Hashim</w:t>
            </w: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0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5891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2021-08-02T19:11:59Z</dcterms:created>
  <dcterms:modified xsi:type="dcterms:W3CDTF">2021-08-02T19:11:59Z</dcterms:modified>
</cp:coreProperties>
</file>