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6"/>
          <w:szCs w:val="16"/>
          <w:b w:val="1"/>
          <w:bCs w:val="1"/>
          <w:color w:val="auto"/>
        </w:rPr>
        <w:t>As filed with the U.S. Securities and Exchange Commission on March 22, 2023</w:t>
      </w:r>
    </w:p>
    <w:p>
      <w:pPr>
        <w:spacing w:after="0" w:line="24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77470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S-8</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REGISTRATION STATEMENT</w:t>
      </w:r>
    </w:p>
    <w:p>
      <w:pPr>
        <w:jc w:val="center"/>
        <w:ind w:right="-59"/>
        <w:spacing w:after="0" w:line="231" w:lineRule="auto"/>
        <w:rPr>
          <w:sz w:val="20"/>
          <w:szCs w:val="20"/>
          <w:color w:val="auto"/>
        </w:rPr>
      </w:pPr>
      <w:r>
        <w:rPr>
          <w:rFonts w:ascii="Arial" w:cs="Arial" w:eastAsia="Arial" w:hAnsi="Arial"/>
          <w:sz w:val="22"/>
          <w:szCs w:val="22"/>
          <w:b w:val="1"/>
          <w:bCs w:val="1"/>
          <w:i w:val="1"/>
          <w:iCs w:val="1"/>
          <w:color w:val="auto"/>
        </w:rPr>
        <w:t>UNDER</w:t>
      </w: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81280</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4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Rani Therapeutics Holdings, Inc.</w:t>
      </w:r>
    </w:p>
    <w:p>
      <w:pPr>
        <w:spacing w:after="0" w:line="8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81915</wp:posOffset>
            </wp:positionV>
            <wp:extent cx="16116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p>
      <w:pPr>
        <w:spacing w:after="0" w:line="286"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86-3114789</w:t>
      </w:r>
    </w:p>
    <w:p>
      <w:pPr>
        <w:spacing w:after="0" w:line="55" w:lineRule="exact"/>
        <w:rPr>
          <w:sz w:val="24"/>
          <w:szCs w:val="24"/>
          <w:color w:val="auto"/>
        </w:rPr>
      </w:pPr>
    </w:p>
    <w:p>
      <w:pPr>
        <w:sectPr>
          <w:pgSz w:w="11900" w:h="16838" w:orient="portrait"/>
          <w:cols w:equalWidth="0" w:num="2">
            <w:col w:w="7980" w:space="720"/>
            <w:col w:w="2500"/>
          </w:cols>
          <w:pgMar w:left="320" w:top="229" w:right="379" w:bottom="1440" w:gutter="0" w:footer="0" w:header="0"/>
          <w:type w:val="continuous"/>
        </w:sectPr>
      </w:pPr>
    </w:p>
    <w:p>
      <w:pPr>
        <w:ind w:left="168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6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840" w:space="720"/>
            <w:col w:w="2640"/>
          </w:cols>
          <w:pgMar w:left="320" w:top="229" w:right="379" w:bottom="1440" w:gutter="0" w:footer="0" w:header="0"/>
          <w:type w:val="continuous"/>
        </w:sectPr>
      </w:pPr>
    </w:p>
    <w:p>
      <w:pPr>
        <w:spacing w:after="0" w:line="1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2051 Ringwood Avenue</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San Jose, California 95131</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00"/>
          </w:cols>
          <w:pgMar w:left="320" w:top="229" w:right="379" w:bottom="1440" w:gutter="0" w:footer="0" w:header="0"/>
          <w:type w:val="continuous"/>
        </w:sectPr>
      </w:pP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Rani Therapeutics Holdings, Inc. 2021 Equity Incentive Plan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Rani Therapeutics Holdings, Inc. 2021 Employee Stock Purchase Plan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151765</wp:posOffset>
            </wp:positionV>
            <wp:extent cx="1611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Talat Imran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Rani Therapeutics Holdings,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2051 Ringwood Avenue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Jose, California 95131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(408) 457-3700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and address of agent for service) (Telephone number, including area code, of agent for service)</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Josh Seidenfeld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3175 Hanover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186055</wp:posOffset>
            </wp:positionV>
            <wp:extent cx="1611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60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080" w:type="dxa"/>
            <w:vAlign w:val="bottom"/>
          </w:tcPr>
          <w:p>
            <w:pPr>
              <w:ind w:left="24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spacing w:after="0"/>
              <w:rPr>
                <w:sz w:val="20"/>
                <w:szCs w:val="20"/>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Non-accelerated filer</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Smaller reporting company</w:t>
            </w:r>
          </w:p>
        </w:tc>
      </w:tr>
      <w:tr>
        <w:trPr>
          <w:trHeight w:val="243"/>
        </w:trPr>
        <w:tc>
          <w:tcPr>
            <w:tcW w:w="4180" w:type="dxa"/>
            <w:vAlign w:val="bottom"/>
          </w:tcPr>
          <w:p>
            <w:pPr>
              <w:spacing w:after="0"/>
              <w:rPr>
                <w:sz w:val="21"/>
                <w:szCs w:val="21"/>
                <w:color w:val="auto"/>
              </w:rPr>
            </w:pP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Emerging growth company</w:t>
            </w:r>
          </w:p>
        </w:tc>
      </w:tr>
    </w:tbl>
    <w:p>
      <w:pPr>
        <w:spacing w:after="0" w:line="10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 AND GENERAL INSTRUCTION E INFORMATION</w:t>
      </w:r>
    </w:p>
    <w:p>
      <w:pPr>
        <w:spacing w:after="0" w:line="229"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 Registrant is filing this Registration Statement on Form S-8 for the purpose of registering an additional 2,470,580 shares of Class A common stock under the Rani Therapeutics Holdings, Inc. 2021 Equity Incentive Plan and an additional 100,000 shares of Class A common stock under the Rani Therapeutics Holdings, Inc. 2021 Employee Stock Purchase Plan, pursuant to the provisions of each plan which provide for annual automatic increases in the number of shares of Class A common stock reserved for issuance under each respective plan.</w:t>
      </w:r>
    </w:p>
    <w:p>
      <w:pPr>
        <w:spacing w:after="0" w:line="171" w:lineRule="exact"/>
        <w:rPr>
          <w:sz w:val="20"/>
          <w:szCs w:val="20"/>
          <w:color w:val="auto"/>
        </w:rPr>
      </w:pPr>
    </w:p>
    <w:p>
      <w:pPr>
        <w:ind w:firstLine="749"/>
        <w:spacing w:after="0" w:line="275" w:lineRule="auto"/>
        <w:rPr>
          <w:rFonts w:ascii="Arial" w:cs="Arial" w:eastAsia="Arial" w:hAnsi="Arial"/>
          <w:sz w:val="17"/>
          <w:szCs w:val="17"/>
          <w:color w:val="0000FF"/>
        </w:rPr>
      </w:pPr>
      <w:r>
        <w:rPr>
          <w:rFonts w:ascii="Arial" w:cs="Arial" w:eastAsia="Arial" w:hAnsi="Arial"/>
          <w:sz w:val="17"/>
          <w:szCs w:val="17"/>
          <w:color w:val="auto"/>
        </w:rPr>
        <w:t xml:space="preserve">The Registration Statement is being filed for the purpose of increasing the number of securities of the same class as other securities for which Registration Statements on Form S-8 of the Registrant relating to the same employee benefit plans set forth herein are effective. Pursuant to General Instruction E of Form S-8, this Registration Statement incorporates by reference the contents of the registration statements on Form S-8 relating to the 2021 </w:t>
      </w:r>
      <w:hyperlink r:id="rId18">
        <w:r>
          <w:rPr>
            <w:rFonts w:ascii="Arial" w:cs="Arial" w:eastAsia="Arial" w:hAnsi="Arial"/>
            <w:sz w:val="17"/>
            <w:szCs w:val="17"/>
            <w:color w:val="auto"/>
          </w:rPr>
          <w:t>Equity Incentive Plan and the 2021 Employee Stock Purchase Plan filed by the Registrant with the Securities and Exchange (the “</w:t>
        </w:r>
        <w:r>
          <w:rPr>
            <w:rFonts w:ascii="Arial" w:cs="Arial" w:eastAsia="Arial" w:hAnsi="Arial"/>
            <w:sz w:val="17"/>
            <w:szCs w:val="17"/>
            <w:b w:val="1"/>
            <w:bCs w:val="1"/>
            <w:color w:val="auto"/>
          </w:rPr>
          <w:t>SEC</w:t>
        </w:r>
        <w:r>
          <w:rPr>
            <w:rFonts w:ascii="Arial" w:cs="Arial" w:eastAsia="Arial" w:hAnsi="Arial"/>
            <w:sz w:val="17"/>
            <w:szCs w:val="17"/>
            <w:color w:val="auto"/>
          </w:rPr>
          <w:t xml:space="preserve">”) on </w:t>
        </w:r>
        <w:r>
          <w:rPr>
            <w:rFonts w:ascii="Arial" w:cs="Arial" w:eastAsia="Arial" w:hAnsi="Arial"/>
            <w:sz w:val="17"/>
            <w:szCs w:val="17"/>
            <w:u w:val="single" w:color="auto"/>
            <w:color w:val="0000FF"/>
          </w:rPr>
          <w:t>August 3, 2021</w:t>
        </w:r>
      </w:hyperlink>
      <w:r>
        <w:rPr>
          <w:rFonts w:ascii="Arial" w:cs="Arial" w:eastAsia="Arial" w:hAnsi="Arial"/>
          <w:sz w:val="17"/>
          <w:szCs w:val="17"/>
          <w:color w:val="auto"/>
        </w:rPr>
        <w:t xml:space="preserve"> </w:t>
      </w:r>
      <w:hyperlink r:id="rId18">
        <w:r>
          <w:rPr>
            <w:rFonts w:ascii="Arial" w:cs="Arial" w:eastAsia="Arial" w:hAnsi="Arial"/>
            <w:sz w:val="17"/>
            <w:szCs w:val="17"/>
            <w:u w:val="single" w:color="auto"/>
            <w:color w:val="0000FF"/>
          </w:rPr>
          <w:t>(File No. 333-2584150)</w:t>
        </w:r>
        <w:r>
          <w:rPr>
            <w:rFonts w:ascii="Arial" w:cs="Arial" w:eastAsia="Arial" w:hAnsi="Arial"/>
            <w:sz w:val="17"/>
            <w:szCs w:val="17"/>
            <w:color w:val="0000FF"/>
          </w:rPr>
          <w:t xml:space="preserve"> </w:t>
        </w:r>
        <w:r>
          <w:rPr>
            <w:rFonts w:ascii="Arial" w:cs="Arial" w:eastAsia="Arial" w:hAnsi="Arial"/>
            <w:sz w:val="17"/>
            <w:szCs w:val="17"/>
            <w:color w:val="000000"/>
          </w:rPr>
          <w:t>and on</w:t>
        </w:r>
        <w:r>
          <w:rPr>
            <w:rFonts w:ascii="Arial" w:cs="Arial" w:eastAsia="Arial" w:hAnsi="Arial"/>
            <w:sz w:val="17"/>
            <w:szCs w:val="17"/>
            <w:color w:val="0000FF"/>
          </w:rPr>
          <w:t xml:space="preserve"> </w:t>
        </w:r>
      </w:hyperlink>
      <w:hyperlink r:id="rId19">
        <w:r>
          <w:rPr>
            <w:rFonts w:ascii="Arial" w:cs="Arial" w:eastAsia="Arial" w:hAnsi="Arial"/>
            <w:sz w:val="17"/>
            <w:szCs w:val="17"/>
            <w:u w:val="single" w:color="auto"/>
            <w:color w:val="0000FF"/>
          </w:rPr>
          <w:t>March 31, 2022 (File No. 333-264018)</w:t>
        </w:r>
      </w:hyperlink>
      <w:hyperlink r:id="rId18">
        <w:r>
          <w:rPr>
            <w:rFonts w:ascii="Arial" w:cs="Arial" w:eastAsia="Arial" w:hAnsi="Arial"/>
            <w:sz w:val="17"/>
            <w:szCs w:val="17"/>
            <w:color w:val="000000"/>
          </w:rPr>
          <w:t>.</w:t>
        </w:r>
      </w:hyperlink>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Certain Documents By Reference.</w:t>
      </w:r>
    </w:p>
    <w:p>
      <w:pPr>
        <w:spacing w:after="0" w:line="225" w:lineRule="exact"/>
        <w:rPr>
          <w:sz w:val="20"/>
          <w:szCs w:val="20"/>
          <w:color w:val="auto"/>
        </w:rPr>
      </w:pPr>
    </w:p>
    <w:p>
      <w:pPr>
        <w:ind w:right="120" w:firstLine="749"/>
        <w:spacing w:after="0" w:line="282" w:lineRule="auto"/>
        <w:rPr>
          <w:sz w:val="20"/>
          <w:szCs w:val="20"/>
          <w:color w:val="auto"/>
        </w:rPr>
      </w:pPr>
      <w:r>
        <w:rPr>
          <w:rFonts w:ascii="Arial" w:cs="Arial" w:eastAsia="Arial" w:hAnsi="Arial"/>
          <w:sz w:val="18"/>
          <w:szCs w:val="18"/>
          <w:color w:val="auto"/>
        </w:rPr>
        <w:t>The following documents filed by Rani Therapeutics Holdings, Inc. (the “</w:t>
      </w:r>
      <w:r>
        <w:rPr>
          <w:rFonts w:ascii="Arial" w:cs="Arial" w:eastAsia="Arial" w:hAnsi="Arial"/>
          <w:sz w:val="18"/>
          <w:szCs w:val="18"/>
          <w:b w:val="1"/>
          <w:bCs w:val="1"/>
          <w:color w:val="auto"/>
        </w:rPr>
        <w:t>Registrant</w:t>
      </w:r>
      <w:r>
        <w:rPr>
          <w:rFonts w:ascii="Arial" w:cs="Arial" w:eastAsia="Arial" w:hAnsi="Arial"/>
          <w:sz w:val="18"/>
          <w:szCs w:val="18"/>
          <w:color w:val="auto"/>
        </w:rPr>
        <w:t>”) with the Commission are incorporated by reference into this Registration Statement:</w:t>
      </w:r>
    </w:p>
    <w:p>
      <w:pPr>
        <w:spacing w:after="0" w:line="58" w:lineRule="exact"/>
        <w:rPr>
          <w:sz w:val="20"/>
          <w:szCs w:val="20"/>
          <w:color w:val="auto"/>
        </w:rPr>
      </w:pPr>
    </w:p>
    <w:p>
      <w:pPr>
        <w:ind w:left="1500" w:hanging="743"/>
        <w:spacing w:after="0"/>
        <w:tabs>
          <w:tab w:leader="none" w:pos="150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The Registrant’s Annual Report on Form 10-K for the year ended December 31, 2022, filed with the SEC on March 22, 2023;</w:t>
      </w:r>
    </w:p>
    <w:p>
      <w:pPr>
        <w:spacing w:after="0" w:line="128" w:lineRule="exact"/>
        <w:rPr>
          <w:rFonts w:ascii="Arial" w:cs="Arial" w:eastAsia="Arial" w:hAnsi="Arial"/>
          <w:sz w:val="17"/>
          <w:szCs w:val="17"/>
          <w:b w:val="1"/>
          <w:bCs w:val="1"/>
          <w:color w:val="auto"/>
        </w:rPr>
      </w:pPr>
    </w:p>
    <w:p>
      <w:pPr>
        <w:ind w:left="1500" w:hanging="743"/>
        <w:spacing w:after="0"/>
        <w:tabs>
          <w:tab w:leader="none" w:pos="15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Registrant’s Current Report on Form 8-K filed with the SEC on January 9, 2023; and</w:t>
      </w:r>
    </w:p>
    <w:p>
      <w:pPr>
        <w:spacing w:after="0" w:line="117" w:lineRule="exact"/>
        <w:rPr>
          <w:rFonts w:ascii="Arial" w:cs="Arial" w:eastAsia="Arial" w:hAnsi="Arial"/>
          <w:sz w:val="18"/>
          <w:szCs w:val="18"/>
          <w:b w:val="1"/>
          <w:bCs w:val="1"/>
          <w:color w:val="auto"/>
        </w:rPr>
      </w:pPr>
    </w:p>
    <w:p>
      <w:pPr>
        <w:ind w:right="220" w:firstLine="757"/>
        <w:spacing w:after="0" w:line="263" w:lineRule="auto"/>
        <w:tabs>
          <w:tab w:leader="none" w:pos="149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The description of the Registrant’s Class A common stock which is contained in a registration statement on </w:t>
      </w:r>
      <w:r>
        <w:rPr>
          <w:rFonts w:ascii="Arial" w:cs="Arial" w:eastAsia="Arial" w:hAnsi="Arial"/>
          <w:sz w:val="18"/>
          <w:szCs w:val="18"/>
          <w:u w:val="single" w:color="auto"/>
          <w:color w:val="0000FF"/>
        </w:rPr>
        <w:t>Form 8-A</w:t>
      </w:r>
      <w:r>
        <w:rPr>
          <w:rFonts w:ascii="Arial" w:cs="Arial" w:eastAsia="Arial" w:hAnsi="Arial"/>
          <w:sz w:val="18"/>
          <w:szCs w:val="18"/>
          <w:color w:val="auto"/>
        </w:rPr>
        <w:t xml:space="preserve"> filed with the Commission on July 26, 2021 (File No. 001-40672) under Section 12(b)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184"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All other reports and documents subsequently filed with the Commission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ind w:left="460"/>
              <w:spacing w:after="0"/>
              <w:rPr>
                <w:sz w:val="20"/>
                <w:szCs w:val="20"/>
                <w:color w:val="auto"/>
              </w:rPr>
            </w:pPr>
            <w:r>
              <w:rPr>
                <w:rFonts w:ascii="Arial" w:cs="Arial" w:eastAsia="Arial" w:hAnsi="Arial"/>
                <w:sz w:val="16"/>
                <w:szCs w:val="16"/>
                <w:b w:val="1"/>
                <w:bCs w:val="1"/>
                <w:color w:val="auto"/>
              </w:rPr>
              <w:t>Incorporated by Reference</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800" w:type="dxa"/>
            <w:vAlign w:val="bottom"/>
          </w:tcPr>
          <w:p>
            <w:pPr>
              <w:ind w:left="14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7"/>
              </w:rPr>
              <w:t>Schedule</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10"/>
          </w:tcPr>
          <w:p>
            <w:pPr>
              <w:ind w:left="92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80" w:type="dxa"/>
            <w:vAlign w:val="bottom"/>
          </w:tcPr>
          <w:p>
            <w:pPr>
              <w:spacing w:after="0"/>
              <w:rPr>
                <w:sz w:val="20"/>
                <w:szCs w:val="20"/>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File Number</w:t>
            </w:r>
          </w:p>
        </w:tc>
        <w:tc>
          <w:tcPr>
            <w:tcW w:w="160" w:type="dxa"/>
            <w:vAlign w:val="bottom"/>
          </w:tcPr>
          <w:p>
            <w:pPr>
              <w:spacing w:after="0"/>
              <w:rPr>
                <w:sz w:val="20"/>
                <w:szCs w:val="20"/>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Filing Date</w:t>
            </w:r>
          </w:p>
        </w:tc>
      </w:tr>
      <w:tr>
        <w:trPr>
          <w:trHeight w:val="175"/>
        </w:trPr>
        <w:tc>
          <w:tcPr>
            <w:tcW w:w="800" w:type="dxa"/>
            <w:vAlign w:val="bottom"/>
          </w:tcPr>
          <w:p>
            <w:pPr>
              <w:ind w:left="40"/>
              <w:spacing w:after="0" w:line="175" w:lineRule="exact"/>
              <w:rPr>
                <w:sz w:val="20"/>
                <w:szCs w:val="20"/>
                <w:color w:val="auto"/>
              </w:rPr>
            </w:pPr>
            <w:r>
              <w:rPr>
                <w:rFonts w:ascii="Arial" w:cs="Arial" w:eastAsia="Arial" w:hAnsi="Arial"/>
                <w:sz w:val="16"/>
                <w:szCs w:val="16"/>
                <w:color w:val="auto"/>
              </w:rPr>
              <w:t>4.1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80" w:type="dxa"/>
            <w:vAlign w:val="bottom"/>
            <w:tcBorders>
              <w:bottom w:val="single" w:sz="8" w:color="0000FF"/>
            </w:tcBorders>
            <w:gridSpan w:val="11"/>
          </w:tcPr>
          <w:p>
            <w:pPr>
              <w:spacing w:after="0" w:line="175" w:lineRule="exact"/>
              <w:rPr>
                <w:rFonts w:ascii="Arial" w:cs="Arial" w:eastAsia="Arial" w:hAnsi="Arial"/>
                <w:sz w:val="16"/>
                <w:szCs w:val="16"/>
                <w:color w:val="0000FF"/>
                <w:w w:val="92"/>
              </w:rPr>
            </w:pPr>
            <w:hyperlink r:id="rId21">
              <w:r>
                <w:rPr>
                  <w:rFonts w:ascii="Arial" w:cs="Arial" w:eastAsia="Arial" w:hAnsi="Arial"/>
                  <w:sz w:val="16"/>
                  <w:szCs w:val="16"/>
                  <w:color w:val="0000FF"/>
                  <w:w w:val="92"/>
                </w:rPr>
                <w:t>Amended and Restated Certificate of Incorporation of the Registrant, as currently in</w:t>
              </w:r>
            </w:hyperlink>
          </w:p>
        </w:tc>
        <w:tc>
          <w:tcPr>
            <w:tcW w:w="460" w:type="dxa"/>
            <w:vAlign w:val="bottom"/>
            <w:gridSpan w:val="4"/>
          </w:tcPr>
          <w:p>
            <w:pPr>
              <w:spacing w:after="0"/>
              <w:rPr>
                <w:sz w:val="15"/>
                <w:szCs w:val="15"/>
                <w:color w:val="auto"/>
              </w:rPr>
            </w:pP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4"/>
              </w:rPr>
              <w:t>S-1/A</w:t>
            </w:r>
          </w:p>
        </w:tc>
        <w:tc>
          <w:tcPr>
            <w:tcW w:w="1240" w:type="dxa"/>
            <w:vAlign w:val="bottom"/>
            <w:gridSpan w:val="2"/>
          </w:tcPr>
          <w:p>
            <w:pPr>
              <w:jc w:val="center"/>
              <w:ind w:left="99"/>
              <w:spacing w:after="0" w:line="175" w:lineRule="exact"/>
              <w:rPr>
                <w:sz w:val="20"/>
                <w:szCs w:val="20"/>
                <w:color w:val="auto"/>
              </w:rPr>
            </w:pPr>
            <w:r>
              <w:rPr>
                <w:rFonts w:ascii="Arial" w:cs="Arial" w:eastAsia="Arial" w:hAnsi="Arial"/>
                <w:sz w:val="16"/>
                <w:szCs w:val="16"/>
                <w:color w:val="auto"/>
                <w:w w:val="91"/>
              </w:rPr>
              <w:t>333-257809</w:t>
            </w:r>
          </w:p>
        </w:tc>
        <w:tc>
          <w:tcPr>
            <w:tcW w:w="760" w:type="dxa"/>
            <w:vAlign w:val="bottom"/>
            <w:gridSpan w:val="2"/>
          </w:tcPr>
          <w:p>
            <w:pPr>
              <w:jc w:val="center"/>
              <w:ind w:left="79"/>
              <w:spacing w:after="0" w:line="175" w:lineRule="exact"/>
              <w:rPr>
                <w:sz w:val="20"/>
                <w:szCs w:val="20"/>
                <w:color w:val="auto"/>
              </w:rPr>
            </w:pPr>
            <w:r>
              <w:rPr>
                <w:rFonts w:ascii="Arial" w:cs="Arial" w:eastAsia="Arial" w:hAnsi="Arial"/>
                <w:sz w:val="16"/>
                <w:szCs w:val="16"/>
                <w:color w:val="auto"/>
                <w:w w:val="89"/>
              </w:rPr>
              <w:t>3.1</w:t>
            </w:r>
          </w:p>
        </w:tc>
        <w:tc>
          <w:tcPr>
            <w:tcW w:w="160" w:type="dxa"/>
            <w:vAlign w:val="bottom"/>
          </w:tcPr>
          <w:p>
            <w:pPr>
              <w:spacing w:after="0"/>
              <w:rPr>
                <w:sz w:val="15"/>
                <w:szCs w:val="15"/>
                <w:color w:val="auto"/>
              </w:rPr>
            </w:pPr>
          </w:p>
        </w:tc>
        <w:tc>
          <w:tcPr>
            <w:tcW w:w="1380" w:type="dxa"/>
            <w:vAlign w:val="bottom"/>
          </w:tcPr>
          <w:p>
            <w:pPr>
              <w:jc w:val="center"/>
              <w:spacing w:after="0" w:line="175" w:lineRule="exact"/>
              <w:rPr>
                <w:sz w:val="20"/>
                <w:szCs w:val="20"/>
                <w:color w:val="auto"/>
              </w:rPr>
            </w:pPr>
            <w:r>
              <w:rPr>
                <w:rFonts w:ascii="Arial" w:cs="Arial" w:eastAsia="Arial" w:hAnsi="Arial"/>
                <w:sz w:val="16"/>
                <w:szCs w:val="16"/>
                <w:color w:val="auto"/>
                <w:w w:val="92"/>
              </w:rPr>
              <w:t>July 26, 2021</w:t>
            </w: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bottom w:val="single" w:sz="8" w:color="0000FF"/>
            </w:tcBorders>
            <w:gridSpan w:val="2"/>
          </w:tcPr>
          <w:p>
            <w:pPr>
              <w:spacing w:after="0" w:line="183" w:lineRule="exact"/>
              <w:rPr>
                <w:rFonts w:ascii="Arial" w:cs="Arial" w:eastAsia="Arial" w:hAnsi="Arial"/>
                <w:sz w:val="16"/>
                <w:szCs w:val="16"/>
                <w:color w:val="0000FF"/>
                <w:w w:val="87"/>
              </w:rPr>
            </w:pPr>
            <w:hyperlink r:id="rId21">
              <w:r>
                <w:rPr>
                  <w:rFonts w:ascii="Arial" w:cs="Arial" w:eastAsia="Arial" w:hAnsi="Arial"/>
                  <w:sz w:val="16"/>
                  <w:szCs w:val="16"/>
                  <w:color w:val="0000FF"/>
                  <w:w w:val="87"/>
                </w:rPr>
                <w:t>effect.</w:t>
              </w:r>
            </w:hyperlink>
          </w:p>
        </w:tc>
        <w:tc>
          <w:tcPr>
            <w:tcW w:w="5540" w:type="dxa"/>
            <w:vAlign w:val="bottom"/>
            <w:gridSpan w:val="13"/>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0"/>
        </w:trPr>
        <w:tc>
          <w:tcPr>
            <w:tcW w:w="800" w:type="dxa"/>
            <w:vAlign w:val="bottom"/>
          </w:tcPr>
          <w:p>
            <w:pPr>
              <w:ind w:lef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0" w:type="dxa"/>
            <w:vAlign w:val="bottom"/>
            <w:tcBorders>
              <w:bottom w:val="single" w:sz="8" w:color="0000FF"/>
            </w:tcBorders>
            <w:gridSpan w:val="9"/>
          </w:tcPr>
          <w:p>
            <w:pPr>
              <w:spacing w:after="0"/>
              <w:rPr>
                <w:rFonts w:ascii="Arial" w:cs="Arial" w:eastAsia="Arial" w:hAnsi="Arial"/>
                <w:sz w:val="16"/>
                <w:szCs w:val="16"/>
                <w:color w:val="0000FF"/>
                <w:w w:val="91"/>
              </w:rPr>
            </w:pPr>
            <w:hyperlink r:id="rId22">
              <w:r>
                <w:rPr>
                  <w:rFonts w:ascii="Arial" w:cs="Arial" w:eastAsia="Arial" w:hAnsi="Arial"/>
                  <w:sz w:val="16"/>
                  <w:szCs w:val="16"/>
                  <w:color w:val="0000FF"/>
                  <w:w w:val="91"/>
                </w:rPr>
                <w:t>Amended and Restated Bylaws of the Registrant, as currently in effect.</w:t>
              </w:r>
            </w:hyperlink>
          </w:p>
        </w:tc>
        <w:tc>
          <w:tcPr>
            <w:tcW w:w="1340" w:type="dxa"/>
            <w:vAlign w:val="bottom"/>
            <w:gridSpan w:val="6"/>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40" w:type="dxa"/>
            <w:vAlign w:val="bottom"/>
            <w:gridSpan w:val="2"/>
          </w:tcPr>
          <w:p>
            <w:pPr>
              <w:jc w:val="center"/>
              <w:ind w:left="99"/>
              <w:spacing w:after="0"/>
              <w:rPr>
                <w:sz w:val="20"/>
                <w:szCs w:val="20"/>
                <w:color w:val="auto"/>
              </w:rPr>
            </w:pPr>
            <w:r>
              <w:rPr>
                <w:rFonts w:ascii="Arial" w:cs="Arial" w:eastAsia="Arial" w:hAnsi="Arial"/>
                <w:sz w:val="16"/>
                <w:szCs w:val="16"/>
                <w:color w:val="auto"/>
                <w:w w:val="91"/>
              </w:rPr>
              <w:t>333-257809</w:t>
            </w:r>
          </w:p>
        </w:tc>
        <w:tc>
          <w:tcPr>
            <w:tcW w:w="76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3.4</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0"/>
              </w:rPr>
              <w:t>July 9, 2021</w:t>
            </w:r>
          </w:p>
        </w:tc>
      </w:tr>
      <w:tr>
        <w:trPr>
          <w:trHeight w:val="209"/>
        </w:trPr>
        <w:tc>
          <w:tcPr>
            <w:tcW w:w="800" w:type="dxa"/>
            <w:vAlign w:val="bottom"/>
          </w:tcPr>
          <w:p>
            <w:pPr>
              <w:ind w:left="4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tcBorders>
              <w:bottom w:val="single" w:sz="8" w:color="0000FF"/>
            </w:tcBorders>
            <w:gridSpan w:val="8"/>
          </w:tcPr>
          <w:p>
            <w:pPr>
              <w:spacing w:after="0"/>
              <w:rPr>
                <w:rFonts w:ascii="Arial" w:cs="Arial" w:eastAsia="Arial" w:hAnsi="Arial"/>
                <w:sz w:val="16"/>
                <w:szCs w:val="16"/>
                <w:color w:val="0000FF"/>
                <w:w w:val="91"/>
              </w:rPr>
            </w:pPr>
            <w:hyperlink r:id="rId23">
              <w:r>
                <w:rPr>
                  <w:rFonts w:ascii="Arial" w:cs="Arial" w:eastAsia="Arial" w:hAnsi="Arial"/>
                  <w:sz w:val="16"/>
                  <w:szCs w:val="16"/>
                  <w:color w:val="0000FF"/>
                  <w:w w:val="91"/>
                </w:rPr>
                <w:t>Specimen Class A common stock certificate of the Registrant.</w:t>
              </w:r>
            </w:hyperlink>
          </w:p>
        </w:tc>
        <w:tc>
          <w:tcPr>
            <w:tcW w:w="1920" w:type="dxa"/>
            <w:vAlign w:val="bottom"/>
            <w:gridSpan w:val="7"/>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240" w:type="dxa"/>
            <w:vAlign w:val="bottom"/>
            <w:gridSpan w:val="2"/>
          </w:tcPr>
          <w:p>
            <w:pPr>
              <w:jc w:val="center"/>
              <w:ind w:left="99"/>
              <w:spacing w:after="0"/>
              <w:rPr>
                <w:sz w:val="20"/>
                <w:szCs w:val="20"/>
                <w:color w:val="auto"/>
              </w:rPr>
            </w:pPr>
            <w:r>
              <w:rPr>
                <w:rFonts w:ascii="Arial" w:cs="Arial" w:eastAsia="Arial" w:hAnsi="Arial"/>
                <w:sz w:val="16"/>
                <w:szCs w:val="16"/>
                <w:color w:val="auto"/>
                <w:w w:val="91"/>
              </w:rPr>
              <w:t>333-257809</w:t>
            </w:r>
          </w:p>
        </w:tc>
        <w:tc>
          <w:tcPr>
            <w:tcW w:w="76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4.1</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July 26, 2021</w:t>
            </w:r>
          </w:p>
        </w:tc>
      </w:tr>
      <w:tr>
        <w:trPr>
          <w:trHeight w:val="210"/>
        </w:trPr>
        <w:tc>
          <w:tcPr>
            <w:tcW w:w="800" w:type="dxa"/>
            <w:vAlign w:val="bottom"/>
          </w:tcPr>
          <w:p>
            <w:pPr>
              <w:ind w:left="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3"/>
              </w:rPr>
              <w:t>Opinion of Cooley LLP.</w:t>
            </w:r>
          </w:p>
        </w:tc>
        <w:tc>
          <w:tcPr>
            <w:tcW w:w="4380" w:type="dxa"/>
            <w:vAlign w:val="bottom"/>
            <w:gridSpan w:val="11"/>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800" w:type="dxa"/>
            <w:vAlign w:val="bottom"/>
          </w:tcPr>
          <w:p>
            <w:pPr>
              <w:ind w:left="4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15"/>
          </w:tcPr>
          <w:p>
            <w:pPr>
              <w:spacing w:after="0"/>
              <w:rPr>
                <w:sz w:val="20"/>
                <w:szCs w:val="20"/>
                <w:color w:val="auto"/>
              </w:rPr>
            </w:pPr>
            <w:r>
              <w:rPr>
                <w:rFonts w:ascii="Arial" w:cs="Arial" w:eastAsia="Arial" w:hAnsi="Arial"/>
                <w:sz w:val="16"/>
                <w:szCs w:val="16"/>
                <w:color w:val="0000FF"/>
              </w:rPr>
              <w:t>Consent of Cooley LLP (included in Exhibit 5.1).</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0"/>
        </w:trPr>
        <w:tc>
          <w:tcPr>
            <w:tcW w:w="800" w:type="dxa"/>
            <w:vAlign w:val="bottom"/>
          </w:tcPr>
          <w:p>
            <w:pPr>
              <w:ind w:left="40"/>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1"/>
              </w:rPr>
              <w:t>Consent of Independent Registered Public Accounting Firm.</w:t>
            </w:r>
          </w:p>
        </w:tc>
        <w:tc>
          <w:tcPr>
            <w:tcW w:w="202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9"/>
        </w:trPr>
        <w:tc>
          <w:tcPr>
            <w:tcW w:w="800" w:type="dxa"/>
            <w:vAlign w:val="bottom"/>
          </w:tcPr>
          <w:p>
            <w:pPr>
              <w:ind w:left="40"/>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1"/>
              </w:rPr>
              <w:t>Power of Attorney (included on the signature page of this registration statement).</w:t>
            </w:r>
          </w:p>
        </w:tc>
        <w:tc>
          <w:tcPr>
            <w:tcW w:w="68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800" w:type="dxa"/>
            <w:vAlign w:val="bottom"/>
          </w:tcPr>
          <w:p>
            <w:pPr>
              <w:ind w:left="40"/>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20" w:type="dxa"/>
            <w:vAlign w:val="bottom"/>
            <w:tcBorders>
              <w:bottom w:val="single" w:sz="8" w:color="0000FF"/>
            </w:tcBorders>
            <w:gridSpan w:val="13"/>
          </w:tcPr>
          <w:p>
            <w:pPr>
              <w:spacing w:after="0"/>
              <w:rPr>
                <w:rFonts w:ascii="Arial" w:cs="Arial" w:eastAsia="Arial" w:hAnsi="Arial"/>
                <w:sz w:val="16"/>
                <w:szCs w:val="16"/>
                <w:color w:val="0000FF"/>
                <w:w w:val="91"/>
              </w:rPr>
            </w:pPr>
            <w:hyperlink r:id="rId24">
              <w:r>
                <w:rPr>
                  <w:rFonts w:ascii="Arial" w:cs="Arial" w:eastAsia="Arial" w:hAnsi="Arial"/>
                  <w:sz w:val="16"/>
                  <w:szCs w:val="16"/>
                  <w:color w:val="0000FF"/>
                  <w:w w:val="91"/>
                </w:rPr>
                <w:t>Rani Therapeutics, LLC 2016 Equity Incentive Plan and forms of agreement thereunder.</w:t>
              </w:r>
            </w:hyperlink>
          </w:p>
        </w:tc>
        <w:tc>
          <w:tcPr>
            <w:tcW w:w="220" w:type="dxa"/>
            <w:vAlign w:val="bottom"/>
            <w:gridSpan w:val="2"/>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40" w:type="dxa"/>
            <w:vAlign w:val="bottom"/>
            <w:gridSpan w:val="2"/>
          </w:tcPr>
          <w:p>
            <w:pPr>
              <w:jc w:val="center"/>
              <w:ind w:left="99"/>
              <w:spacing w:after="0"/>
              <w:rPr>
                <w:sz w:val="20"/>
                <w:szCs w:val="20"/>
                <w:color w:val="auto"/>
              </w:rPr>
            </w:pPr>
            <w:r>
              <w:rPr>
                <w:rFonts w:ascii="Arial" w:cs="Arial" w:eastAsia="Arial" w:hAnsi="Arial"/>
                <w:sz w:val="16"/>
                <w:szCs w:val="16"/>
                <w:color w:val="auto"/>
                <w:w w:val="91"/>
              </w:rPr>
              <w:t>333-257809</w:t>
            </w:r>
          </w:p>
        </w:tc>
        <w:tc>
          <w:tcPr>
            <w:tcW w:w="76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10.5</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0"/>
              </w:rPr>
              <w:t>July 9, 2021</w:t>
            </w:r>
          </w:p>
        </w:tc>
      </w:tr>
      <w:tr>
        <w:trPr>
          <w:trHeight w:val="210"/>
        </w:trPr>
        <w:tc>
          <w:tcPr>
            <w:tcW w:w="800" w:type="dxa"/>
            <w:vAlign w:val="bottom"/>
          </w:tcPr>
          <w:p>
            <w:pPr>
              <w:ind w:left="40"/>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15"/>
          </w:tcPr>
          <w:p>
            <w:pPr>
              <w:spacing w:after="0"/>
              <w:rPr>
                <w:rFonts w:ascii="Arial" w:cs="Arial" w:eastAsia="Arial" w:hAnsi="Arial"/>
                <w:sz w:val="16"/>
                <w:szCs w:val="16"/>
                <w:color w:val="0000FF"/>
              </w:rPr>
            </w:pPr>
            <w:hyperlink r:id="rId25">
              <w:r>
                <w:rPr>
                  <w:rFonts w:ascii="Arial" w:cs="Arial" w:eastAsia="Arial" w:hAnsi="Arial"/>
                  <w:sz w:val="16"/>
                  <w:szCs w:val="16"/>
                  <w:color w:val="0000FF"/>
                </w:rPr>
                <w:t>Rani Therapeutics Holdings, Inc. 2021 Equity Incentive Plan.</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240" w:type="dxa"/>
            <w:vAlign w:val="bottom"/>
            <w:gridSpan w:val="2"/>
          </w:tcPr>
          <w:p>
            <w:pPr>
              <w:jc w:val="center"/>
              <w:ind w:left="99"/>
              <w:spacing w:after="0"/>
              <w:rPr>
                <w:sz w:val="20"/>
                <w:szCs w:val="20"/>
                <w:color w:val="auto"/>
              </w:rPr>
            </w:pPr>
            <w:r>
              <w:rPr>
                <w:rFonts w:ascii="Arial" w:cs="Arial" w:eastAsia="Arial" w:hAnsi="Arial"/>
                <w:sz w:val="16"/>
                <w:szCs w:val="16"/>
                <w:color w:val="auto"/>
                <w:w w:val="91"/>
              </w:rPr>
              <w:t>333-257809</w:t>
            </w:r>
          </w:p>
        </w:tc>
        <w:tc>
          <w:tcPr>
            <w:tcW w:w="76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10.7</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July 26, 2021</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0"/>
        </w:trPr>
        <w:tc>
          <w:tcPr>
            <w:tcW w:w="800" w:type="dxa"/>
            <w:vAlign w:val="bottom"/>
          </w:tcPr>
          <w:p>
            <w:pPr>
              <w:ind w:left="40"/>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00" w:type="dxa"/>
            <w:vAlign w:val="bottom"/>
            <w:tcBorders>
              <w:bottom w:val="single" w:sz="8" w:color="0000FF"/>
            </w:tcBorders>
            <w:gridSpan w:val="12"/>
          </w:tcPr>
          <w:p>
            <w:pPr>
              <w:spacing w:after="0"/>
              <w:rPr>
                <w:rFonts w:ascii="Arial" w:cs="Arial" w:eastAsia="Arial" w:hAnsi="Arial"/>
                <w:sz w:val="16"/>
                <w:szCs w:val="16"/>
                <w:color w:val="0000FF"/>
                <w:w w:val="92"/>
              </w:rPr>
            </w:pPr>
            <w:hyperlink r:id="rId26">
              <w:r>
                <w:rPr>
                  <w:rFonts w:ascii="Arial" w:cs="Arial" w:eastAsia="Arial" w:hAnsi="Arial"/>
                  <w:sz w:val="16"/>
                  <w:szCs w:val="16"/>
                  <w:color w:val="0000FF"/>
                  <w:w w:val="92"/>
                </w:rPr>
                <w:t>Forms of Agreement under the Rani Therapeutics Holdings, Inc. 2021 Equity Incentive</w:t>
              </w:r>
            </w:hyperlink>
          </w:p>
        </w:tc>
        <w:tc>
          <w:tcPr>
            <w:tcW w:w="24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10-K</w:t>
            </w:r>
          </w:p>
        </w:tc>
        <w:tc>
          <w:tcPr>
            <w:tcW w:w="1240" w:type="dxa"/>
            <w:vAlign w:val="bottom"/>
            <w:gridSpan w:val="2"/>
          </w:tcPr>
          <w:p>
            <w:pPr>
              <w:jc w:val="center"/>
              <w:ind w:left="99"/>
              <w:spacing w:after="0"/>
              <w:rPr>
                <w:sz w:val="20"/>
                <w:szCs w:val="20"/>
                <w:color w:val="auto"/>
              </w:rPr>
            </w:pPr>
            <w:r>
              <w:rPr>
                <w:rFonts w:ascii="Arial" w:cs="Arial" w:eastAsia="Arial" w:hAnsi="Arial"/>
                <w:sz w:val="16"/>
                <w:szCs w:val="16"/>
                <w:color w:val="auto"/>
                <w:w w:val="91"/>
              </w:rPr>
              <w:t>001-40672</w:t>
            </w:r>
          </w:p>
        </w:tc>
        <w:tc>
          <w:tcPr>
            <w:tcW w:w="76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10.8</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March 31, 2022</w:t>
            </w: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940" w:type="dxa"/>
            <w:vAlign w:val="bottom"/>
            <w:gridSpan w:val="15"/>
          </w:tcPr>
          <w:p>
            <w:pPr>
              <w:spacing w:after="0" w:line="183" w:lineRule="exact"/>
              <w:rPr>
                <w:rFonts w:ascii="Arial" w:cs="Arial" w:eastAsia="Arial" w:hAnsi="Arial"/>
                <w:sz w:val="16"/>
                <w:szCs w:val="16"/>
                <w:color w:val="0000FF"/>
              </w:rPr>
            </w:pPr>
            <w:hyperlink r:id="rId26">
              <w:r>
                <w:rPr>
                  <w:rFonts w:ascii="Arial" w:cs="Arial" w:eastAsia="Arial" w:hAnsi="Arial"/>
                  <w:sz w:val="16"/>
                  <w:szCs w:val="16"/>
                  <w:color w:val="0000FF"/>
                </w:rPr>
                <w:t>Plan.</w:t>
              </w:r>
            </w:hyperlink>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9"/>
        </w:trPr>
        <w:tc>
          <w:tcPr>
            <w:tcW w:w="800" w:type="dxa"/>
            <w:vAlign w:val="bottom"/>
          </w:tcPr>
          <w:p>
            <w:pPr>
              <w:ind w:left="40"/>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15"/>
          </w:tcPr>
          <w:p>
            <w:pPr>
              <w:spacing w:after="0"/>
              <w:rPr>
                <w:rFonts w:ascii="Arial" w:cs="Arial" w:eastAsia="Arial" w:hAnsi="Arial"/>
                <w:sz w:val="16"/>
                <w:szCs w:val="16"/>
                <w:color w:val="0000FF"/>
              </w:rPr>
            </w:pPr>
            <w:hyperlink r:id="rId27">
              <w:r>
                <w:rPr>
                  <w:rFonts w:ascii="Arial" w:cs="Arial" w:eastAsia="Arial" w:hAnsi="Arial"/>
                  <w:sz w:val="16"/>
                  <w:szCs w:val="16"/>
                  <w:color w:val="0000FF"/>
                </w:rPr>
                <w:t>Rani Therapeutics Holdings, Inc. 2021 Employee Stock Purchase Plan.</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240" w:type="dxa"/>
            <w:vAlign w:val="bottom"/>
            <w:gridSpan w:val="2"/>
          </w:tcPr>
          <w:p>
            <w:pPr>
              <w:jc w:val="center"/>
              <w:ind w:left="99"/>
              <w:spacing w:after="0"/>
              <w:rPr>
                <w:sz w:val="20"/>
                <w:szCs w:val="20"/>
                <w:color w:val="auto"/>
              </w:rPr>
            </w:pPr>
            <w:r>
              <w:rPr>
                <w:rFonts w:ascii="Arial" w:cs="Arial" w:eastAsia="Arial" w:hAnsi="Arial"/>
                <w:sz w:val="16"/>
                <w:szCs w:val="16"/>
                <w:color w:val="auto"/>
                <w:w w:val="91"/>
              </w:rPr>
              <w:t>333-257809</w:t>
            </w:r>
          </w:p>
        </w:tc>
        <w:tc>
          <w:tcPr>
            <w:tcW w:w="76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10.8</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July 26, 2021</w:t>
            </w:r>
          </w:p>
        </w:tc>
      </w:tr>
      <w:tr>
        <w:trPr>
          <w:trHeight w:val="210"/>
        </w:trPr>
        <w:tc>
          <w:tcPr>
            <w:tcW w:w="800" w:type="dxa"/>
            <w:vAlign w:val="bottom"/>
          </w:tcPr>
          <w:p>
            <w:pPr>
              <w:ind w:left="4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0"/>
              </w:rPr>
              <w:t>Filing Fee Table</w:t>
            </w:r>
          </w:p>
        </w:tc>
        <w:tc>
          <w:tcPr>
            <w:tcW w:w="3540" w:type="dxa"/>
            <w:vAlign w:val="bottom"/>
            <w:tcBorders>
              <w:top w:val="single" w:sz="8" w:color="0000FF"/>
            </w:tcBorders>
            <w:gridSpan w:val="6"/>
          </w:tcPr>
          <w:p>
            <w:pPr>
              <w:spacing w:after="0"/>
              <w:rPr>
                <w:sz w:val="18"/>
                <w:szCs w:val="18"/>
                <w:color w:val="auto"/>
              </w:rPr>
            </w:pPr>
          </w:p>
        </w:tc>
        <w:tc>
          <w:tcPr>
            <w:tcW w:w="1340" w:type="dxa"/>
            <w:vAlign w:val="bottom"/>
            <w:gridSpan w:val="6"/>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749"/>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March 22, 2023.</w:t>
      </w:r>
    </w:p>
    <w:p>
      <w:pPr>
        <w:spacing w:after="0" w:line="18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/s/ Talat Imran</w:t>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-130175</wp:posOffset>
            </wp:positionV>
            <wp:extent cx="29660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Talat Imran and Svai Sanford,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66"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ind w:left="1800"/>
              <w:spacing w:after="0"/>
              <w:rPr>
                <w:sz w:val="20"/>
                <w:szCs w:val="20"/>
                <w:color w:val="auto"/>
              </w:rPr>
            </w:pPr>
            <w:r>
              <w:rPr>
                <w:rFonts w:ascii="Arial" w:cs="Arial" w:eastAsia="Arial" w:hAnsi="Arial"/>
                <w:sz w:val="18"/>
                <w:szCs w:val="18"/>
                <w:b w:val="1"/>
                <w:bCs w:val="1"/>
                <w:color w:val="auto"/>
              </w:rPr>
              <w:t>Signature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ind w:left="2100"/>
              <w:spacing w:after="0"/>
              <w:rPr>
                <w:sz w:val="20"/>
                <w:szCs w:val="20"/>
                <w:color w:val="auto"/>
              </w:rPr>
            </w:pPr>
            <w:r>
              <w:rPr>
                <w:rFonts w:ascii="Arial" w:cs="Arial" w:eastAsia="Arial" w:hAnsi="Arial"/>
                <w:sz w:val="18"/>
                <w:szCs w:val="18"/>
                <w:b w:val="1"/>
                <w:bCs w:val="1"/>
                <w:color w:val="auto"/>
              </w:rPr>
              <w:t>Title</w:t>
            </w:r>
          </w:p>
        </w:tc>
        <w:tc>
          <w:tcPr>
            <w:tcW w:w="240" w:type="dxa"/>
            <w:vAlign w:val="bottom"/>
          </w:tcPr>
          <w:p>
            <w:pPr>
              <w:spacing w:after="0"/>
              <w:rPr>
                <w:sz w:val="20"/>
                <w:szCs w:val="20"/>
                <w:color w:val="auto"/>
              </w:rPr>
            </w:pPr>
          </w:p>
        </w:tc>
        <w:tc>
          <w:tcPr>
            <w:tcW w:w="2440" w:type="dxa"/>
            <w:vAlign w:val="bottom"/>
          </w:tcPr>
          <w:p>
            <w:pPr>
              <w:ind w:left="1200"/>
              <w:spacing w:after="0"/>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73"/>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Talat Imran</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620"/>
              <w:spacing w:after="0"/>
              <w:rPr>
                <w:sz w:val="20"/>
                <w:szCs w:val="20"/>
                <w:color w:val="auto"/>
              </w:rPr>
            </w:pPr>
            <w:r>
              <w:rPr>
                <w:rFonts w:ascii="Arial" w:cs="Arial" w:eastAsia="Arial" w:hAnsi="Arial"/>
                <w:sz w:val="18"/>
                <w:szCs w:val="18"/>
                <w:color w:val="auto"/>
              </w:rPr>
              <w:t>Chief Executive Officer and 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8"/>
                <w:szCs w:val="18"/>
                <w:color w:val="auto"/>
              </w:rPr>
              <w:t>March 22, 2023</w:t>
            </w:r>
          </w:p>
        </w:tc>
        <w:tc>
          <w:tcPr>
            <w:tcW w:w="20" w:type="dxa"/>
            <w:vAlign w:val="bottom"/>
          </w:tcPr>
          <w:p>
            <w:pPr>
              <w:spacing w:after="0"/>
              <w:rPr>
                <w:sz w:val="24"/>
                <w:szCs w:val="24"/>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Talat Imran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ind w:left="920"/>
              <w:spacing w:after="0"/>
              <w:rPr>
                <w:sz w:val="20"/>
                <w:szCs w:val="20"/>
                <w:color w:val="auto"/>
              </w:rPr>
            </w:pPr>
            <w:r>
              <w:rPr>
                <w:rFonts w:ascii="Arial" w:cs="Arial" w:eastAsia="Arial" w:hAnsi="Arial"/>
                <w:sz w:val="18"/>
                <w:szCs w:val="18"/>
                <w:i w:val="1"/>
                <w:iCs w:val="1"/>
                <w:color w:val="auto"/>
              </w:rPr>
              <w:t>(Principal Executive Officer)</w:t>
            </w: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2"/>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Svai Sanford</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160"/>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8"/>
                <w:szCs w:val="18"/>
                <w:color w:val="auto"/>
              </w:rPr>
              <w:t>March 22, 2023</w:t>
            </w:r>
          </w:p>
        </w:tc>
        <w:tc>
          <w:tcPr>
            <w:tcW w:w="20" w:type="dxa"/>
            <w:vAlign w:val="bottom"/>
          </w:tcPr>
          <w:p>
            <w:pPr>
              <w:spacing w:after="0"/>
              <w:rPr>
                <w:sz w:val="24"/>
                <w:szCs w:val="24"/>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Svai Sanford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ind w:left="360"/>
              <w:spacing w:after="0"/>
              <w:rPr>
                <w:sz w:val="20"/>
                <w:szCs w:val="20"/>
                <w:color w:val="auto"/>
              </w:rPr>
            </w:pPr>
            <w:r>
              <w:rPr>
                <w:rFonts w:ascii="Arial" w:cs="Arial" w:eastAsia="Arial" w:hAnsi="Arial"/>
                <w:sz w:val="18"/>
                <w:szCs w:val="18"/>
                <w:i w:val="1"/>
                <w:iCs w:val="1"/>
                <w:color w:val="auto"/>
              </w:rPr>
              <w:t>(Principal Financial and Accounting Officer)</w:t>
            </w: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2"/>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Dennis Ausiello</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8"/>
                <w:szCs w:val="18"/>
                <w:color w:val="auto"/>
              </w:rPr>
              <w:t>March 22, 2023</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Dennis Ausiello</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2"/>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Lyn Baranowski</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8"/>
                <w:szCs w:val="18"/>
                <w:color w:val="auto"/>
              </w:rPr>
              <w:t>March 22, 2023</w:t>
            </w:r>
          </w:p>
        </w:tc>
        <w:tc>
          <w:tcPr>
            <w:tcW w:w="20" w:type="dxa"/>
            <w:vAlign w:val="bottom"/>
          </w:tcPr>
          <w:p>
            <w:pPr>
              <w:spacing w:after="0"/>
              <w:rPr>
                <w:sz w:val="24"/>
                <w:szCs w:val="24"/>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Lyn Baranowski</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2"/>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Jean-Luc Butel</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8"/>
                <w:szCs w:val="18"/>
                <w:color w:val="auto"/>
              </w:rPr>
              <w:t>March 22, 2023</w:t>
            </w:r>
          </w:p>
        </w:tc>
        <w:tc>
          <w:tcPr>
            <w:tcW w:w="20" w:type="dxa"/>
            <w:vAlign w:val="bottom"/>
          </w:tcPr>
          <w:p>
            <w:pPr>
              <w:spacing w:after="0"/>
              <w:rPr>
                <w:sz w:val="24"/>
                <w:szCs w:val="24"/>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Jean-Luc Butel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2"/>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Laureen DeBuono</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8"/>
                <w:szCs w:val="18"/>
                <w:color w:val="auto"/>
              </w:rPr>
              <w:t>March 22, 2023</w:t>
            </w:r>
          </w:p>
        </w:tc>
        <w:tc>
          <w:tcPr>
            <w:tcW w:w="20" w:type="dxa"/>
            <w:vAlign w:val="bottom"/>
          </w:tcPr>
          <w:p>
            <w:pPr>
              <w:spacing w:after="0"/>
              <w:rPr>
                <w:sz w:val="24"/>
                <w:szCs w:val="24"/>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Laureen DeBuono</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2"/>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Andrew Farquharson</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8"/>
                <w:szCs w:val="18"/>
                <w:color w:val="auto"/>
              </w:rPr>
              <w:t>March 22, 2023</w:t>
            </w:r>
          </w:p>
        </w:tc>
        <w:tc>
          <w:tcPr>
            <w:tcW w:w="20" w:type="dxa"/>
            <w:vAlign w:val="bottom"/>
          </w:tcPr>
          <w:p>
            <w:pPr>
              <w:spacing w:after="0"/>
              <w:rPr>
                <w:sz w:val="24"/>
                <w:szCs w:val="24"/>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Andrew Farquharson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2"/>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Mir Imran</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8"/>
                <w:szCs w:val="18"/>
                <w:color w:val="auto"/>
              </w:rPr>
              <w:t>March 22, 2023</w:t>
            </w:r>
          </w:p>
        </w:tc>
        <w:tc>
          <w:tcPr>
            <w:tcW w:w="20" w:type="dxa"/>
            <w:vAlign w:val="bottom"/>
          </w:tcPr>
          <w:p>
            <w:pPr>
              <w:spacing w:after="0"/>
              <w:rPr>
                <w:sz w:val="24"/>
                <w:szCs w:val="24"/>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Mir Imran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2"/>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Maulik Nanavaty</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8"/>
                <w:szCs w:val="18"/>
                <w:color w:val="auto"/>
              </w:rPr>
              <w:t>March 22, 2023</w:t>
            </w:r>
          </w:p>
        </w:tc>
        <w:tc>
          <w:tcPr>
            <w:tcW w:w="20" w:type="dxa"/>
            <w:vAlign w:val="bottom"/>
          </w:tcPr>
          <w:p>
            <w:pPr>
              <w:spacing w:after="0"/>
              <w:rPr>
                <w:sz w:val="24"/>
                <w:szCs w:val="24"/>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Maulik Nanavaty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2"/>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Lisa Rometty</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8"/>
                <w:szCs w:val="18"/>
                <w:color w:val="auto"/>
              </w:rPr>
              <w:t>March 22, 2023</w:t>
            </w:r>
          </w:p>
        </w:tc>
        <w:tc>
          <w:tcPr>
            <w:tcW w:w="20" w:type="dxa"/>
            <w:vAlign w:val="bottom"/>
          </w:tcPr>
          <w:p>
            <w:pPr>
              <w:spacing w:after="0"/>
              <w:rPr>
                <w:sz w:val="24"/>
                <w:szCs w:val="24"/>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Lisa Rometty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0"/>
        </w:trPr>
        <w:tc>
          <w:tcPr>
            <w:tcW w:w="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65860" cy="385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6586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Josh Seidenfeld</w:t>
      </w:r>
    </w:p>
    <w:p>
      <w:pPr>
        <w:spacing w:after="0" w:line="234" w:lineRule="auto"/>
        <w:rPr>
          <w:sz w:val="20"/>
          <w:szCs w:val="20"/>
          <w:color w:val="auto"/>
        </w:rPr>
      </w:pPr>
      <w:r>
        <w:rPr>
          <w:rFonts w:ascii="Arial" w:cs="Arial" w:eastAsia="Arial" w:hAnsi="Arial"/>
          <w:sz w:val="18"/>
          <w:szCs w:val="18"/>
          <w:color w:val="auto"/>
        </w:rPr>
        <w:t>+1 650 843 5862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jseidenfeld@cooley.com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March 22,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Rani Therapeutics Holdings, Inc.</w:t>
      </w:r>
    </w:p>
    <w:p>
      <w:pPr>
        <w:spacing w:after="0" w:line="234" w:lineRule="auto"/>
        <w:rPr>
          <w:sz w:val="20"/>
          <w:szCs w:val="20"/>
          <w:color w:val="auto"/>
        </w:rPr>
      </w:pPr>
      <w:r>
        <w:rPr>
          <w:rFonts w:ascii="Arial" w:cs="Arial" w:eastAsia="Arial" w:hAnsi="Arial"/>
          <w:sz w:val="18"/>
          <w:szCs w:val="18"/>
          <w:color w:val="auto"/>
        </w:rPr>
        <w:t>2051 Ringwood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95131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acted as counsel to Rani Therapeutics Holdings,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covering an offering of up to 2,570,580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Class A common stock, par value $ 0.0001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consisting of (a) 2,470,580 shares of Common Stock issuable pursuant to the Company’s 2021 Equity Incentive Plan (the “</w:t>
      </w:r>
      <w:r>
        <w:rPr>
          <w:rFonts w:ascii="Arial" w:cs="Arial" w:eastAsia="Arial" w:hAnsi="Arial"/>
          <w:sz w:val="18"/>
          <w:szCs w:val="18"/>
          <w:b w:val="1"/>
          <w:bCs w:val="1"/>
          <w:i w:val="1"/>
          <w:iCs w:val="1"/>
          <w:color w:val="auto"/>
        </w:rPr>
        <w:t>2021 EIP</w:t>
      </w:r>
      <w:r>
        <w:rPr>
          <w:rFonts w:ascii="Arial" w:cs="Arial" w:eastAsia="Arial" w:hAnsi="Arial"/>
          <w:sz w:val="18"/>
          <w:szCs w:val="18"/>
          <w:color w:val="auto"/>
        </w:rPr>
        <w:t>”) and (b) 100,000 shares of Common Stock issuable pursuant to the Company’s 2021 Employee Stock Purchase Plan (together with the 2021 EIP,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this opinion, we have (i) examined and relied upon (a) the Registration Statement and related prospectuses, (b) the Company’s certificate of incorporation and bylaws, each as currently in effect, (c) the Plans and (d)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deferred payment arrangements, which will be fully paid and nonassessable when such deferred payments are made in full).</w:t>
      </w:r>
    </w:p>
    <w:p>
      <w:pPr>
        <w:spacing w:after="0" w:line="400" w:lineRule="exact"/>
        <w:rPr>
          <w:sz w:val="20"/>
          <w:szCs w:val="20"/>
          <w:color w:val="auto"/>
        </w:rPr>
      </w:pPr>
    </w:p>
    <w:p>
      <w:pPr>
        <w:jc w:val="center"/>
        <w:spacing w:after="0"/>
        <w:tabs>
          <w:tab w:leader="none" w:pos="80" w:val="left"/>
          <w:tab w:leader="none" w:pos="100" w:val="left"/>
          <w:tab w:leader="none" w:pos="80" w:val="left"/>
        </w:tabs>
        <w:rPr>
          <w:sz w:val="20"/>
          <w:szCs w:val="20"/>
          <w:color w:val="auto"/>
        </w:rPr>
      </w:pPr>
      <w:r>
        <w:rPr>
          <w:rFonts w:ascii="Arial" w:cs="Arial" w:eastAsia="Arial" w:hAnsi="Arial"/>
          <w:sz w:val="13"/>
          <w:szCs w:val="13"/>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(650) 843-5000 f: (650) 849-7400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65860" cy="385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85445"/>
                    </a:xfrm>
                    <a:prstGeom prst="rect">
                      <a:avLst/>
                    </a:prstGeom>
                    <a:noFill/>
                  </pic:spPr>
                </pic:pic>
              </a:graphicData>
            </a:graphic>
          </wp:anchor>
        </w:drawing>
        <w:t>Rani Therapeutics Holdings, Inc.</w:t>
      </w:r>
    </w:p>
    <w:p>
      <w:pPr>
        <w:spacing w:after="0" w:line="234" w:lineRule="auto"/>
        <w:rPr>
          <w:sz w:val="20"/>
          <w:szCs w:val="20"/>
          <w:color w:val="auto"/>
        </w:rPr>
      </w:pPr>
      <w:r>
        <w:rPr>
          <w:rFonts w:ascii="Arial" w:cs="Arial" w:eastAsia="Arial" w:hAnsi="Arial"/>
          <w:sz w:val="18"/>
          <w:szCs w:val="18"/>
          <w:color w:val="auto"/>
        </w:rPr>
        <w:t>March 22,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3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Cooley LLP</w:t>
      </w:r>
    </w:p>
    <w:p>
      <w:pPr>
        <w:spacing w:after="0" w:line="266" w:lineRule="exact"/>
        <w:rPr>
          <w:sz w:val="20"/>
          <w:szCs w:val="20"/>
          <w:color w:val="auto"/>
        </w:rPr>
      </w:pPr>
    </w:p>
    <w:p>
      <w:pPr>
        <w:jc w:val="right"/>
        <w:ind w:right="9340"/>
        <w:spacing w:after="0"/>
        <w:rPr>
          <w:sz w:val="20"/>
          <w:szCs w:val="20"/>
          <w:color w:val="auto"/>
        </w:rPr>
      </w:pPr>
      <w:r>
        <w:rPr>
          <w:rFonts w:ascii="Arial" w:cs="Arial" w:eastAsia="Arial" w:hAnsi="Arial"/>
          <w:sz w:val="18"/>
          <w:szCs w:val="18"/>
          <w:color w:val="auto"/>
        </w:rPr>
        <w:t>By: /s/ Josh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6350</wp:posOffset>
            </wp:positionV>
            <wp:extent cx="33343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jc w:val="right"/>
        <w:ind w:right="9340"/>
        <w:spacing w:after="0"/>
        <w:rPr>
          <w:sz w:val="20"/>
          <w:szCs w:val="20"/>
          <w:color w:val="auto"/>
        </w:rPr>
      </w:pPr>
      <w:r>
        <w:rPr>
          <w:rFonts w:ascii="Arial" w:cs="Arial" w:eastAsia="Arial" w:hAnsi="Arial"/>
          <w:sz w:val="18"/>
          <w:szCs w:val="18"/>
          <w:color w:val="auto"/>
        </w:rPr>
        <w:t>Josh Seidenfeld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tabs>
          <w:tab w:leader="none" w:pos="80" w:val="left"/>
          <w:tab w:leader="none" w:pos="100" w:val="left"/>
          <w:tab w:leader="none" w:pos="80" w:val="left"/>
        </w:tabs>
        <w:rPr>
          <w:sz w:val="20"/>
          <w:szCs w:val="20"/>
          <w:color w:val="auto"/>
        </w:rPr>
      </w:pPr>
      <w:r>
        <w:rPr>
          <w:rFonts w:ascii="Arial" w:cs="Arial" w:eastAsia="Arial" w:hAnsi="Arial"/>
          <w:sz w:val="13"/>
          <w:szCs w:val="13"/>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 (650) 843-5000 f: (650) 849-7400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Rani Therapeutics Holdings, Inc. 2021 Equity Incentive Plan and Rani Therapeutics Holdings, Inc. 2021 Employee Stock Purchase Plan of Rani Therapeutics Holdings, Inc. of our report dated March 22, 2023, with respect to the consolidated financial statements of Rani Therapeutics Holdings, Inc. included in its Annual Report (Form 10-K) for the year ended December 31, 2022,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3900"/>
        <w:spacing w:after="0"/>
        <w:rPr>
          <w:sz w:val="20"/>
          <w:szCs w:val="20"/>
          <w:color w:val="auto"/>
        </w:rPr>
      </w:pPr>
      <w:r>
        <w:rPr>
          <w:rFonts w:ascii="Arial" w:cs="Arial" w:eastAsia="Arial" w:hAnsi="Arial"/>
          <w:sz w:val="18"/>
          <w:szCs w:val="18"/>
          <w:b w:val="1"/>
          <w:bCs w:val="1"/>
          <w:color w:val="auto"/>
        </w:rPr>
        <w:t>CALCULATION OF FILING FEE TABLES</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Rani Therapeutics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1280" w:type="dxa"/>
            <w:vAlign w:val="bottom"/>
            <w:tcBorders>
              <w:top w:val="single" w:sz="8" w:color="auto"/>
              <w:left w:val="single" w:sz="8" w:color="auto"/>
              <w:right w:val="single" w:sz="8" w:color="auto"/>
            </w:tcBorders>
          </w:tcPr>
          <w:p>
            <w:pPr>
              <w:spacing w:after="0"/>
              <w:rPr>
                <w:sz w:val="13"/>
                <w:szCs w:val="13"/>
                <w:color w:val="auto"/>
              </w:rPr>
            </w:pPr>
          </w:p>
        </w:tc>
        <w:tc>
          <w:tcPr>
            <w:tcW w:w="392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Proposed</w:t>
            </w:r>
          </w:p>
        </w:tc>
        <w:tc>
          <w:tcPr>
            <w:tcW w:w="1300" w:type="dxa"/>
            <w:vAlign w:val="bottom"/>
            <w:tcBorders>
              <w:top w:val="single" w:sz="8" w:color="auto"/>
              <w:right w:val="single" w:sz="8" w:color="auto"/>
            </w:tcBorders>
          </w:tcPr>
          <w:p>
            <w:pPr>
              <w:spacing w:after="0"/>
              <w:rPr>
                <w:sz w:val="13"/>
                <w:szCs w:val="13"/>
                <w:color w:val="auto"/>
              </w:rPr>
            </w:pPr>
          </w:p>
        </w:tc>
        <w:tc>
          <w:tcPr>
            <w:tcW w:w="98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13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Proposed</w:t>
            </w: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2"/>
              </w:rPr>
              <w:t>Fee</w:t>
            </w:r>
          </w:p>
        </w:tc>
        <w:tc>
          <w:tcPr>
            <w:tcW w:w="11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Offering</w:t>
            </w:r>
          </w:p>
        </w:tc>
        <w:tc>
          <w:tcPr>
            <w:tcW w:w="13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Amount of</w:t>
            </w:r>
          </w:p>
        </w:tc>
        <w:tc>
          <w:tcPr>
            <w:tcW w:w="0" w:type="dxa"/>
            <w:vAlign w:val="bottom"/>
          </w:tcPr>
          <w:p>
            <w:pPr>
              <w:spacing w:after="0"/>
              <w:rPr>
                <w:sz w:val="1"/>
                <w:szCs w:val="1"/>
                <w:color w:val="auto"/>
              </w:rPr>
            </w:pPr>
          </w:p>
        </w:tc>
      </w:tr>
      <w:tr>
        <w:trPr>
          <w:trHeight w:val="140"/>
        </w:trPr>
        <w:tc>
          <w:tcPr>
            <w:tcW w:w="12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8"/>
              </w:rPr>
              <w:t>Calculation</w:t>
            </w:r>
          </w:p>
        </w:tc>
        <w:tc>
          <w:tcPr>
            <w:tcW w:w="11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3"/>
              </w:rPr>
              <w:t>Amount to be</w:t>
            </w:r>
          </w:p>
        </w:tc>
        <w:tc>
          <w:tcPr>
            <w:tcW w:w="9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0"/>
              </w:rPr>
              <w:t>Price Per</w:t>
            </w:r>
          </w:p>
        </w:tc>
        <w:tc>
          <w:tcPr>
            <w:tcW w:w="13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2"/>
              </w:rPr>
              <w:t>Aggregate</w:t>
            </w: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4"/>
              </w:rPr>
              <w:t>Registrati</w:t>
            </w:r>
          </w:p>
        </w:tc>
        <w:tc>
          <w:tcPr>
            <w:tcW w:w="0" w:type="dxa"/>
            <w:vAlign w:val="bottom"/>
          </w:tcPr>
          <w:p>
            <w:pPr>
              <w:spacing w:after="0"/>
              <w:rPr>
                <w:sz w:val="1"/>
                <w:szCs w:val="1"/>
                <w:color w:val="auto"/>
              </w:rPr>
            </w:pPr>
          </w:p>
        </w:tc>
      </w:tr>
      <w:tr>
        <w:trPr>
          <w:trHeight w:val="206"/>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Security Type</w:t>
            </w:r>
          </w:p>
        </w:tc>
        <w:tc>
          <w:tcPr>
            <w:tcW w:w="3920" w:type="dxa"/>
            <w:vAlign w:val="bottom"/>
            <w:tcBorders>
              <w:bottom w:val="single" w:sz="8" w:color="auto"/>
              <w:right w:val="single" w:sz="8" w:color="auto"/>
            </w:tcBorders>
          </w:tcPr>
          <w:p>
            <w:pPr>
              <w:ind w:left="1360"/>
              <w:spacing w:after="0"/>
              <w:rPr>
                <w:sz w:val="20"/>
                <w:szCs w:val="20"/>
                <w:color w:val="auto"/>
              </w:rPr>
            </w:pPr>
            <w:r>
              <w:rPr>
                <w:rFonts w:ascii="Arial" w:cs="Arial" w:eastAsia="Arial" w:hAnsi="Arial"/>
                <w:sz w:val="14"/>
                <w:szCs w:val="14"/>
                <w:color w:val="auto"/>
              </w:rPr>
              <w:t>Security Class 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Rule</w:t>
            </w:r>
          </w:p>
        </w:tc>
        <w:tc>
          <w:tcPr>
            <w:tcW w:w="1120" w:type="dxa"/>
            <w:vAlign w:val="bottom"/>
            <w:tcBorders>
              <w:bottom w:val="single" w:sz="8" w:color="auto"/>
              <w:right w:val="single" w:sz="8" w:color="auto"/>
            </w:tcBorders>
          </w:tcPr>
          <w:p>
            <w:pPr>
              <w:jc w:val="center"/>
              <w:spacing w:after="0" w:line="186" w:lineRule="exact"/>
              <w:rPr>
                <w:sz w:val="20"/>
                <w:szCs w:val="20"/>
                <w:color w:val="auto"/>
              </w:rPr>
            </w:pPr>
            <w:r>
              <w:rPr>
                <w:rFonts w:ascii="Arial" w:cs="Arial" w:eastAsia="Arial" w:hAnsi="Arial"/>
                <w:sz w:val="14"/>
                <w:szCs w:val="14"/>
                <w:color w:val="auto"/>
                <w:w w:val="88"/>
              </w:rPr>
              <w:t>Registered</w:t>
            </w:r>
            <w:r>
              <w:rPr>
                <w:rFonts w:ascii="Arial" w:cs="Arial" w:eastAsia="Arial" w:hAnsi="Arial"/>
                <w:sz w:val="19"/>
                <w:szCs w:val="19"/>
                <w:color w:val="auto"/>
                <w:w w:val="88"/>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Offering 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Fee Rate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on Fee</w:t>
            </w:r>
          </w:p>
        </w:tc>
        <w:tc>
          <w:tcPr>
            <w:tcW w:w="0" w:type="dxa"/>
            <w:vAlign w:val="bottom"/>
          </w:tcPr>
          <w:p>
            <w:pPr>
              <w:spacing w:after="0"/>
              <w:rPr>
                <w:sz w:val="1"/>
                <w:szCs w:val="1"/>
                <w:color w:val="auto"/>
              </w:rPr>
            </w:pPr>
          </w:p>
        </w:tc>
      </w:tr>
      <w:tr>
        <w:trPr>
          <w:trHeight w:val="394"/>
        </w:trPr>
        <w:tc>
          <w:tcPr>
            <w:tcW w:w="128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$0.0001 par value per</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Other</w:t>
            </w:r>
            <w:r>
              <w:rPr>
                <w:rFonts w:ascii="Arial" w:cs="Arial" w:eastAsia="Arial" w:hAnsi="Arial"/>
                <w:sz w:val="24"/>
                <w:szCs w:val="24"/>
                <w:color w:val="auto"/>
                <w:w w:val="86"/>
                <w:vertAlign w:val="superscript"/>
              </w:rPr>
              <w:t>(2)</w:t>
            </w:r>
          </w:p>
        </w:tc>
        <w:tc>
          <w:tcPr>
            <w:tcW w:w="1120" w:type="dxa"/>
            <w:vAlign w:val="bottom"/>
            <w:tcBorders>
              <w:right w:val="single" w:sz="8" w:color="auto"/>
            </w:tcBorders>
            <w:vMerge w:val="restart"/>
          </w:tcPr>
          <w:p>
            <w:pPr>
              <w:jc w:val="center"/>
              <w:ind w:right="39"/>
              <w:spacing w:after="0"/>
              <w:rPr>
                <w:sz w:val="20"/>
                <w:szCs w:val="20"/>
                <w:color w:val="auto"/>
              </w:rPr>
            </w:pPr>
            <w:r>
              <w:rPr>
                <w:rFonts w:ascii="Arial" w:cs="Arial" w:eastAsia="Arial" w:hAnsi="Arial"/>
                <w:sz w:val="18"/>
                <w:szCs w:val="18"/>
                <w:color w:val="auto"/>
                <w:w w:val="96"/>
              </w:rPr>
              <w:t>2,470,580</w:t>
            </w:r>
            <w:r>
              <w:rPr>
                <w:rFonts w:ascii="Arial" w:cs="Arial" w:eastAsia="Arial" w:hAnsi="Arial"/>
                <w:sz w:val="24"/>
                <w:szCs w:val="24"/>
                <w:color w:val="auto"/>
                <w:w w:val="96"/>
                <w:vertAlign w:val="superscript"/>
              </w:rPr>
              <w:t>(4)</w:t>
            </w:r>
          </w:p>
        </w:tc>
        <w:tc>
          <w:tcPr>
            <w:tcW w:w="9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$14,971,714.8</w:t>
            </w:r>
          </w:p>
        </w:tc>
        <w:tc>
          <w:tcPr>
            <w:tcW w:w="9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$1,649.</w:t>
            </w:r>
          </w:p>
        </w:tc>
        <w:tc>
          <w:tcPr>
            <w:tcW w:w="0" w:type="dxa"/>
            <w:vAlign w:val="bottom"/>
          </w:tcPr>
          <w:p>
            <w:pPr>
              <w:spacing w:after="0"/>
              <w:rPr>
                <w:sz w:val="1"/>
                <w:szCs w:val="1"/>
                <w:color w:val="auto"/>
              </w:rPr>
            </w:pPr>
          </w:p>
        </w:tc>
      </w:tr>
      <w:tr>
        <w:trPr>
          <w:trHeight w:val="176"/>
        </w:trPr>
        <w:tc>
          <w:tcPr>
            <w:tcW w:w="12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Equity</w:t>
            </w:r>
          </w:p>
        </w:tc>
        <w:tc>
          <w:tcPr>
            <w:tcW w:w="3920" w:type="dxa"/>
            <w:vAlign w:val="bottom"/>
            <w:tcBorders>
              <w:right w:val="single" w:sz="8" w:color="auto"/>
            </w:tcBorders>
          </w:tcPr>
          <w:p>
            <w:pPr>
              <w:jc w:val="center"/>
              <w:ind w:right="12"/>
              <w:spacing w:after="0" w:line="176" w:lineRule="exact"/>
              <w:rPr>
                <w:sz w:val="20"/>
                <w:szCs w:val="20"/>
                <w:color w:val="auto"/>
              </w:rPr>
            </w:pPr>
            <w:r>
              <w:rPr>
                <w:rFonts w:ascii="Arial" w:cs="Arial" w:eastAsia="Arial" w:hAnsi="Arial"/>
                <w:sz w:val="18"/>
                <w:szCs w:val="18"/>
                <w:color w:val="auto"/>
                <w:w w:val="88"/>
              </w:rPr>
              <w:t>share, reserved for issuance pursuant to the 2021</w:t>
            </w:r>
          </w:p>
        </w:tc>
        <w:tc>
          <w:tcPr>
            <w:tcW w:w="90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9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$6.06</w:t>
            </w:r>
          </w:p>
        </w:tc>
        <w:tc>
          <w:tcPr>
            <w:tcW w:w="130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.00011020</w:t>
            </w:r>
          </w:p>
        </w:tc>
        <w:tc>
          <w:tcPr>
            <w:tcW w:w="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Equity Incentive Plan</w:t>
            </w:r>
          </w:p>
        </w:tc>
        <w:tc>
          <w:tcPr>
            <w:tcW w:w="9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54"/>
        </w:trPr>
        <w:tc>
          <w:tcPr>
            <w:tcW w:w="1280" w:type="dxa"/>
            <w:vAlign w:val="bottom"/>
            <w:tcBorders>
              <w:left w:val="single" w:sz="8" w:color="auto"/>
              <w:right w:val="single" w:sz="8" w:color="auto"/>
            </w:tcBorders>
          </w:tcPr>
          <w:p>
            <w:pPr>
              <w:spacing w:after="0"/>
              <w:rPr>
                <w:sz w:val="4"/>
                <w:szCs w:val="4"/>
                <w:color w:val="auto"/>
              </w:rPr>
            </w:pPr>
          </w:p>
        </w:tc>
        <w:tc>
          <w:tcPr>
            <w:tcW w:w="392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280" w:type="dxa"/>
            <w:vAlign w:val="bottom"/>
            <w:tcBorders>
              <w:left w:val="single" w:sz="8" w:color="auto"/>
              <w:bottom w:val="single" w:sz="8" w:color="auto"/>
              <w:right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128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jc w:val="center"/>
              <w:ind w:right="12"/>
              <w:spacing w:after="0"/>
              <w:rPr>
                <w:sz w:val="20"/>
                <w:szCs w:val="20"/>
                <w:color w:val="auto"/>
              </w:rPr>
            </w:pPr>
            <w:r>
              <w:rPr>
                <w:rFonts w:ascii="Arial" w:cs="Arial" w:eastAsia="Arial" w:hAnsi="Arial"/>
                <w:sz w:val="18"/>
                <w:szCs w:val="18"/>
                <w:color w:val="auto"/>
                <w:w w:val="90"/>
              </w:rPr>
              <w:t>Class A Common Stock, $0.0001 par value per</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Other</w:t>
            </w:r>
            <w:r>
              <w:rPr>
                <w:rFonts w:ascii="Arial" w:cs="Arial" w:eastAsia="Arial" w:hAnsi="Arial"/>
                <w:sz w:val="24"/>
                <w:szCs w:val="24"/>
                <w:color w:val="auto"/>
                <w:w w:val="86"/>
                <w:vertAlign w:val="superscript"/>
              </w:rPr>
              <w:t>(3)</w:t>
            </w:r>
          </w:p>
        </w:tc>
        <w:tc>
          <w:tcPr>
            <w:tcW w:w="1120" w:type="dxa"/>
            <w:vAlign w:val="bottom"/>
            <w:tcBorders>
              <w:right w:val="single" w:sz="8" w:color="auto"/>
            </w:tcBorders>
            <w:vMerge w:val="restart"/>
          </w:tcPr>
          <w:p>
            <w:pPr>
              <w:jc w:val="center"/>
              <w:ind w:right="99"/>
              <w:spacing w:after="0"/>
              <w:rPr>
                <w:sz w:val="20"/>
                <w:szCs w:val="20"/>
                <w:color w:val="auto"/>
              </w:rPr>
            </w:pPr>
            <w:r>
              <w:rPr>
                <w:rFonts w:ascii="Arial" w:cs="Arial" w:eastAsia="Arial" w:hAnsi="Arial"/>
                <w:sz w:val="18"/>
                <w:szCs w:val="18"/>
                <w:color w:val="auto"/>
              </w:rPr>
              <w:t>100,000</w:t>
            </w:r>
            <w:r>
              <w:rPr>
                <w:rFonts w:ascii="Arial" w:cs="Arial" w:eastAsia="Arial" w:hAnsi="Arial"/>
                <w:sz w:val="24"/>
                <w:szCs w:val="24"/>
                <w:color w:val="auto"/>
                <w:vertAlign w:val="superscript"/>
              </w:rPr>
              <w:t>(5)</w:t>
            </w:r>
          </w:p>
        </w:tc>
        <w:tc>
          <w:tcPr>
            <w:tcW w:w="9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3920" w:type="dxa"/>
            <w:vAlign w:val="bottom"/>
            <w:tcBorders>
              <w:right w:val="single" w:sz="8" w:color="auto"/>
            </w:tcBorders>
          </w:tcPr>
          <w:p>
            <w:pPr>
              <w:jc w:val="center"/>
              <w:ind w:right="12"/>
              <w:spacing w:after="0"/>
              <w:rPr>
                <w:sz w:val="20"/>
                <w:szCs w:val="20"/>
                <w:color w:val="auto"/>
              </w:rPr>
            </w:pPr>
            <w:r>
              <w:rPr>
                <w:rFonts w:ascii="Arial" w:cs="Arial" w:eastAsia="Arial" w:hAnsi="Arial"/>
                <w:sz w:val="18"/>
                <w:szCs w:val="18"/>
                <w:color w:val="auto"/>
                <w:w w:val="88"/>
              </w:rPr>
              <w:t>share, reserved for issuance pursuant to the 2021</w:t>
            </w:r>
          </w:p>
        </w:tc>
        <w:tc>
          <w:tcPr>
            <w:tcW w:w="90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$5.15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$515,000.00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.00011020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$56.75</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Employee Stock Purchase Plan</w:t>
            </w:r>
          </w:p>
        </w:tc>
        <w:tc>
          <w:tcPr>
            <w:tcW w:w="9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92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tcBorders>
          </w:tcPr>
          <w:p>
            <w:pPr>
              <w:spacing w:after="0"/>
              <w:rPr>
                <w:sz w:val="18"/>
                <w:szCs w:val="18"/>
                <w:color w:val="auto"/>
              </w:rPr>
            </w:pPr>
          </w:p>
        </w:tc>
        <w:tc>
          <w:tcPr>
            <w:tcW w:w="3920" w:type="dxa"/>
            <w:vAlign w:val="bottom"/>
          </w:tcPr>
          <w:p>
            <w:pPr>
              <w:jc w:val="center"/>
              <w:ind w:left="1552"/>
              <w:spacing w:after="0"/>
              <w:rPr>
                <w:sz w:val="20"/>
                <w:szCs w:val="20"/>
                <w:color w:val="auto"/>
              </w:rPr>
            </w:pPr>
            <w:r>
              <w:rPr>
                <w:rFonts w:ascii="Arial" w:cs="Arial" w:eastAsia="Arial" w:hAnsi="Arial"/>
                <w:sz w:val="18"/>
                <w:szCs w:val="18"/>
                <w:color w:val="auto"/>
                <w:w w:val="92"/>
              </w:rPr>
              <w:t>Total Offering Amounts</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$15,486,714.8</w:t>
            </w: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$1,706.</w:t>
            </w: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bottom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bottom w:val="single" w:sz="8" w:color="auto"/>
            </w:tcBorders>
          </w:tcPr>
          <w:p>
            <w:pPr>
              <w:spacing w:after="0"/>
              <w:rPr>
                <w:sz w:val="20"/>
                <w:szCs w:val="20"/>
                <w:color w:val="auto"/>
              </w:rPr>
            </w:pPr>
          </w:p>
        </w:tc>
        <w:tc>
          <w:tcPr>
            <w:tcW w:w="3920" w:type="dxa"/>
            <w:vAlign w:val="bottom"/>
            <w:tcBorders>
              <w:bottom w:val="single" w:sz="8" w:color="auto"/>
            </w:tcBorders>
          </w:tcPr>
          <w:p>
            <w:pPr>
              <w:jc w:val="center"/>
              <w:ind w:left="1552"/>
              <w:spacing w:after="0"/>
              <w:rPr>
                <w:sz w:val="20"/>
                <w:szCs w:val="20"/>
                <w:color w:val="auto"/>
              </w:rPr>
            </w:pPr>
            <w:r>
              <w:rPr>
                <w:rFonts w:ascii="Arial" w:cs="Arial" w:eastAsia="Arial" w:hAnsi="Arial"/>
                <w:sz w:val="18"/>
                <w:szCs w:val="18"/>
                <w:color w:val="auto"/>
                <w:w w:val="89"/>
              </w:rPr>
              <w:t>Total Fee Offsets</w:t>
            </w: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3920" w:type="dxa"/>
            <w:vAlign w:val="bottom"/>
          </w:tcPr>
          <w:p>
            <w:pPr>
              <w:jc w:val="center"/>
              <w:ind w:left="1552"/>
              <w:spacing w:after="0"/>
              <w:rPr>
                <w:sz w:val="20"/>
                <w:szCs w:val="20"/>
                <w:color w:val="auto"/>
              </w:rPr>
            </w:pPr>
            <w:r>
              <w:rPr>
                <w:rFonts w:ascii="Arial" w:cs="Arial" w:eastAsia="Arial" w:hAnsi="Arial"/>
                <w:sz w:val="18"/>
                <w:szCs w:val="18"/>
                <w:color w:val="auto"/>
                <w:w w:val="90"/>
              </w:rPr>
              <w:t>Net Fee Due</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$1,706.</w:t>
            </w: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bottom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420" w:right="60" w:hanging="358"/>
        <w:spacing w:after="0" w:line="275" w:lineRule="auto"/>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this Registration Statement shall also cover any additional shares of Class A common stock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of Rani Therapeutics Holdings, Inc. (the “</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 that become issuable under the Registrant’s 2021 Equity Incentive Place (the “</w:t>
      </w:r>
      <w:r>
        <w:rPr>
          <w:rFonts w:ascii="Arial" w:cs="Arial" w:eastAsia="Arial" w:hAnsi="Arial"/>
          <w:sz w:val="17"/>
          <w:szCs w:val="17"/>
          <w:b w:val="1"/>
          <w:bCs w:val="1"/>
          <w:i w:val="1"/>
          <w:iCs w:val="1"/>
          <w:color w:val="auto"/>
        </w:rPr>
        <w:t>2021 Plan</w:t>
      </w:r>
      <w:r>
        <w:rPr>
          <w:rFonts w:ascii="Arial" w:cs="Arial" w:eastAsia="Arial" w:hAnsi="Arial"/>
          <w:sz w:val="17"/>
          <w:szCs w:val="17"/>
          <w:color w:val="auto"/>
        </w:rPr>
        <w:t>”), or the Registrant’s 2021 Employee Stock Purchase Plan (the “</w:t>
      </w:r>
      <w:r>
        <w:rPr>
          <w:rFonts w:ascii="Arial" w:cs="Arial" w:eastAsia="Arial" w:hAnsi="Arial"/>
          <w:sz w:val="17"/>
          <w:szCs w:val="17"/>
          <w:b w:val="1"/>
          <w:bCs w:val="1"/>
          <w:i w:val="1"/>
          <w:iCs w:val="1"/>
          <w:color w:val="auto"/>
        </w:rPr>
        <w:t>ESPP</w:t>
      </w:r>
      <w:r>
        <w:rPr>
          <w:rFonts w:ascii="Arial" w:cs="Arial" w:eastAsia="Arial" w:hAnsi="Arial"/>
          <w:sz w:val="17"/>
          <w:szCs w:val="17"/>
          <w:color w:val="auto"/>
        </w:rPr>
        <w:t>”) by reason of any stock dividend, stock split, recapitalization or any other similar transaction effected without receipt of consideration which results in an increase in the number of outstanding shares of Class A Common Stock.</w:t>
      </w:r>
    </w:p>
    <w:p>
      <w:pPr>
        <w:spacing w:after="0" w:line="95" w:lineRule="exact"/>
        <w:rPr>
          <w:rFonts w:ascii="Arial" w:cs="Arial" w:eastAsia="Arial" w:hAnsi="Arial"/>
          <w:sz w:val="17"/>
          <w:szCs w:val="17"/>
          <w:color w:val="auto"/>
        </w:rPr>
      </w:pPr>
    </w:p>
    <w:p>
      <w:pPr>
        <w:jc w:val="both"/>
        <w:ind w:left="420" w:right="60" w:hanging="358"/>
        <w:spacing w:after="0" w:line="263"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457(c) and Rule 457(h) solely for the purpose of calculating the registration fee on the basis of $6.06 per share, which is the average of the high and low prices of the Class A Common Stock as reported on The Nasdaq Global Market on March 16, 2023 (rounded up to the nearest cent).</w:t>
      </w:r>
    </w:p>
    <w:p>
      <w:pPr>
        <w:spacing w:after="0" w:line="102" w:lineRule="exact"/>
        <w:rPr>
          <w:rFonts w:ascii="Arial" w:cs="Arial" w:eastAsia="Arial" w:hAnsi="Arial"/>
          <w:sz w:val="18"/>
          <w:szCs w:val="18"/>
          <w:color w:val="auto"/>
        </w:rPr>
      </w:pPr>
    </w:p>
    <w:p>
      <w:pPr>
        <w:jc w:val="both"/>
        <w:ind w:left="420" w:right="60" w:hanging="358"/>
        <w:spacing w:after="0" w:line="311" w:lineRule="auto"/>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pursuant to Rule 457(c) and Rule 457(h) solely for the purpose of calculating the registration fee on the basis of $5.15 per share, which is the average of the high and low prices of the Class A Common Stock as reported on The Nasdaq Global Market on March 16, 2023 (rounded up to the nearest cent), multiplied by 85%, which is the percentage of the price per share applicable to purchasers under the 2021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left="358" w:hanging="358"/>
        <w:spacing w:after="0" w:line="293" w:lineRule="auto"/>
        <w:tabs>
          <w:tab w:leader="none" w:pos="358"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additional shares of Class A Common Stock reserved for future grant under the 2021 Plan as a result of the automatic increase in shares reserved thereunder on January 1, 2023 pursuant to an “evergreen” provision contained in the 2021 Plan. Pursuant to such provision, an additional number of shares will automatically be added annually to the shares authorized for issuance under the 2021 Plan on January 1st of each calendar year, starting on January 1, 2022 and ending on (and including) January 1, 2031, in an amount equal to: (a) 5% of the total number of shares of all classes of the Registrant’s common stock outstanding on December 31st of the immediately preceding calendar year; or (b) a lesser number of shares as the Registrant’s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may designate no later than December 31st of the immediately preceding year.</w:t>
      </w:r>
    </w:p>
    <w:p>
      <w:pPr>
        <w:spacing w:after="0" w:line="83" w:lineRule="exact"/>
        <w:rPr>
          <w:rFonts w:ascii="Arial" w:cs="Arial" w:eastAsia="Arial" w:hAnsi="Arial"/>
          <w:sz w:val="16"/>
          <w:szCs w:val="16"/>
          <w:color w:val="auto"/>
        </w:rPr>
      </w:pPr>
    </w:p>
    <w:p>
      <w:pPr>
        <w:jc w:val="both"/>
        <w:ind w:left="358" w:hanging="358"/>
        <w:spacing w:after="0" w:line="291" w:lineRule="auto"/>
        <w:tabs>
          <w:tab w:leader="none" w:pos="358"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additional shares of Class A Common Stock reserved for issuance under the ESPP as a result of the automatic increase in shares reserved thereunder on January 1, 2023 pursuant to an “evergreen” provision contained in the ESPP. Pursuant to such provision, an additional number of shares will automatically be added annually to the shares authorized for issuance under the ESPP on January 1st of each calendar year, starting on January 1, 2022 and ending on (and including) January 1, 2031. The number of shares added each year will be equal to the lesser of: (a) 1% of the total number of shares of all classes of the Registrant’s common stock outstanding on December 31st of the immediately preceding calendar year; (b) 100,000 shares; or (c) a lesser number of shares as the Board may designate no later than December 31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of the immediately preceding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8"/>
          </w:cols>
          <w:pgMar w:left="382" w:top="139" w:right="39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jpeg"/><Relationship Id="rId34" Type="http://schemas.openxmlformats.org/officeDocument/2006/relationships/image" Target="media/image18.png"/><Relationship Id="rId35" Type="http://schemas.openxmlformats.org/officeDocument/2006/relationships/image" Target="media/image19.jpe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18" Type="http://schemas.openxmlformats.org/officeDocument/2006/relationships/hyperlink" Target="https://www.sec.gov/Archives/edgar/data/0001856725/000119312521235042/d161667ds8.htm" TargetMode="External"/><Relationship Id="rId19" Type="http://schemas.openxmlformats.org/officeDocument/2006/relationships/hyperlink" Target="https://www.sec.gov/Archives/edgar/data/1856725/000119312522091767/d266622ds8.htm" TargetMode="External"/><Relationship Id="rId21" Type="http://schemas.openxmlformats.org/officeDocument/2006/relationships/hyperlink" Target="https://www.sec.gov/Archives/edgar/data/1856725/000119312521223596/d151628dex31.htm" TargetMode="External"/><Relationship Id="rId22" Type="http://schemas.openxmlformats.org/officeDocument/2006/relationships/hyperlink" Target="https://www.sec.gov/Archives/edgar/data/1856725/000119312521211922/d151628dex34.htm" TargetMode="External"/><Relationship Id="rId23" Type="http://schemas.openxmlformats.org/officeDocument/2006/relationships/hyperlink" Target="https://www.sec.gov/Archives/edgar/data/1856725/000119312521223596/d151628dex41.htm" TargetMode="External"/><Relationship Id="rId24" Type="http://schemas.openxmlformats.org/officeDocument/2006/relationships/hyperlink" Target="https://www.sec.gov/Archives/edgar/data/1856725/000119312521211922/d151628dex105.htm" TargetMode="External"/><Relationship Id="rId25" Type="http://schemas.openxmlformats.org/officeDocument/2006/relationships/hyperlink" Target="https://www.sec.gov/Archives/edgar/data/1856725/000119312521223596/d151628dex107.htm" TargetMode="External"/><Relationship Id="rId26" Type="http://schemas.openxmlformats.org/officeDocument/2006/relationships/hyperlink" Target="https://www.sec.gov/Archives/edgar/data/1856725/000095017022005088/rani-ex10_8.htm" TargetMode="External"/><Relationship Id="rId27" Type="http://schemas.openxmlformats.org/officeDocument/2006/relationships/hyperlink" Target="https://www.sec.gov/Archives/edgar/data/1856725/000119312521223596/d151628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2023-03-22T17:00:14Z</dcterms:created>
  <dcterms:modified xsi:type="dcterms:W3CDTF">2023-03-22T17:00:14Z</dcterms:modified>
</cp:coreProperties>
</file>