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20" w:type="dxa"/>
        <w:tblCellMar>
          <w:top w:w="0" w:type="dxa"/>
          <w:left w:w="0" w:type="dxa"/>
          <w:bottom w:w="0" w:type="dxa"/>
          <w:right w:w="0" w:type="dxa"/>
        </w:tblCellMar>
      </w:tblPr>
      <w:tr>
        <w:trPr>
          <w:trHeight w:val="186"/>
        </w:trPr>
        <w:tc>
          <w:tcPr>
            <w:tcW w:w="3280" w:type="dxa"/>
            <w:vAlign w:val="bottom"/>
          </w:tcPr>
          <w:p>
            <w:pPr>
              <w:jc w:val="center"/>
              <w:ind w:right="88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001-40672</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280" w:type="dxa"/>
            <w:vAlign w:val="bottom"/>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10, 2022, Rani Therapeutics Holdings, Inc. (the “Company”) issued a press release providing a corporate update and announcing its financial results for the second quarter ended June 30, 2022. The full text of the press release is furnished as Exhibit 99.1 to this Current Report on Form 8-K and is incorporated herein by reference.</w:t>
      </w:r>
    </w:p>
    <w:p>
      <w:pPr>
        <w:spacing w:after="0" w:line="1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7"/>
                <w:szCs w:val="17"/>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3"/>
                <w:szCs w:val="13"/>
                <w:color w:val="auto"/>
              </w:rPr>
            </w:pPr>
          </w:p>
        </w:tc>
        <w:tc>
          <w:tcPr>
            <w:tcW w:w="10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Press Release dated August 10, 2022</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15"/>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148590</wp:posOffset>
            </wp:positionV>
            <wp:extent cx="149987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40" w:right="1940"/>
        <w:spacing w:after="0" w:line="398" w:lineRule="auto"/>
        <w:rPr>
          <w:sz w:val="20"/>
          <w:szCs w:val="20"/>
          <w:color w:val="auto"/>
        </w:rPr>
      </w:pPr>
      <w:r>
        <w:rPr>
          <w:rFonts w:ascii="Times New Roman" w:cs="Times New Roman" w:eastAsia="Times New Roman" w:hAnsi="Times New Roman"/>
          <w:sz w:val="18"/>
          <w:szCs w:val="18"/>
          <w:b w:val="1"/>
          <w:bCs w:val="1"/>
          <w:color w:val="auto"/>
        </w:rPr>
        <w:t xml:space="preserve">Rani Therapeutics Reports Second Quarter 2022 Financial Results; Provides Corporate Update </w:t>
      </w:r>
      <w:r>
        <w:rPr>
          <w:rFonts w:ascii="Times New Roman" w:cs="Times New Roman" w:eastAsia="Times New Roman" w:hAnsi="Times New Roman"/>
          <w:sz w:val="18"/>
          <w:szCs w:val="18"/>
          <w:i w:val="1"/>
          <w:iCs w:val="1"/>
          <w:color w:val="auto"/>
        </w:rPr>
        <w:t>- Announced positive topline Phase 1 results of RT-102 for the treatment of osteoporosis - - Anticipate initiating an additional Phase 1 clinical trial in 2H 2022 - - Capitalized to fund operations into mid-2024 -</w:t>
      </w:r>
    </w:p>
    <w:p>
      <w:pPr>
        <w:spacing w:after="0" w:line="72"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SAN JOSE, Calif., August 10, 2022 </w:t>
      </w:r>
      <w:r>
        <w:rPr>
          <w:rFonts w:ascii="Times New Roman" w:cs="Times New Roman" w:eastAsia="Times New Roman" w:hAnsi="Times New Roman"/>
          <w:sz w:val="18"/>
          <w:szCs w:val="18"/>
          <w:color w:val="auto"/>
        </w:rPr>
        <w:t>-- Rani Therapeutics Holdings, Inc. (“Rani Therapeutics”, “the Company” or “Rani”) (Nasdaq: RANI), a clinical-stage biotherapeutics company focused on the oral delivery of biologics and drugs, today reported financial results for the second quarter ended June 30, 2022 and provided a corporate update.</w:t>
      </w:r>
    </w:p>
    <w:p>
      <w:pPr>
        <w:spacing w:after="0" w:line="18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"Continuing the momentum built in the year since going public, today we announced topline results from the single-ascending portion of our Phase 1 clinical trial with RT-102, the RaniPill</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capsule containing our proprietary formulation of parathyroid hormone (PTH) PTH (1-34), which achieved all of its endpoints," said Talat Imran, Chief Executive Officer of Rani Therapeutics. "Earlier this week, we completed a debt financing which bolsters the Company’s financial strength to support advancement of the RaniPill platform and our clinical pipeline. In the coming months, we intend to initiate the Company’s third Phase 1 clinical trial, further develop the RaniPill HC, and announce topline data from the repeat-dose portion of the Phase 1 clinical trial of RT-102, which is ongoing. With the expected advancement of two RaniPill programs into the clinic in 2022 and ongoing work on the RaniPill HC, we remain confident in Rani’s ability to transform the oral delivery of biologics. I am thankful for our stakeholder’s support this past year and look forward to providing updates on our progress through the remainder of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Subsequent Highlights</w:t>
      </w:r>
    </w:p>
    <w:p>
      <w:pPr>
        <w:spacing w:after="0" w:line="117" w:lineRule="exact"/>
        <w:rPr>
          <w:sz w:val="20"/>
          <w:szCs w:val="20"/>
          <w:color w:val="auto"/>
        </w:rPr>
      </w:pPr>
    </w:p>
    <w:p>
      <w:pPr>
        <w:ind w:left="760" w:right="60" w:hanging="378"/>
        <w:spacing w:after="0" w:line="24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Announced Positive Topline Phase 1 Results for RT-102. </w:t>
      </w:r>
      <w:r>
        <w:rPr>
          <w:rFonts w:ascii="Times New Roman" w:cs="Times New Roman" w:eastAsia="Times New Roman" w:hAnsi="Times New Roman"/>
          <w:sz w:val="18"/>
          <w:szCs w:val="18"/>
          <w:color w:val="auto"/>
        </w:rPr>
        <w:t>In August 2022, Rani announced positive topline results for the single-ascending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Phase 1 clinical study of RT-102, a RaniPill capsule containing PTH for the treatment of osteoporosis. In the study, RT-102 was generally well-tolerated and demonstrating high oral bioavailability, and the RaniPill demonstrated a high drug delivery success rate. The single-center, open label Phase 1 clinical study of RT-102 was initiated in March 2022.</w:t>
      </w:r>
    </w:p>
    <w:p>
      <w:pPr>
        <w:spacing w:after="0" w:line="96" w:lineRule="exact"/>
        <w:rPr>
          <w:rFonts w:ascii="Times New Roman" w:cs="Times New Roman" w:eastAsia="Times New Roman" w:hAnsi="Times New Roman"/>
          <w:sz w:val="20"/>
          <w:szCs w:val="20"/>
          <w:color w:val="auto"/>
        </w:rPr>
      </w:pPr>
    </w:p>
    <w:p>
      <w:pPr>
        <w:ind w:left="760" w:right="280" w:hanging="378"/>
        <w:spacing w:after="0" w:line="24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Strengthened Financial Position. </w:t>
      </w:r>
      <w:r>
        <w:rPr>
          <w:rFonts w:ascii="Times New Roman" w:cs="Times New Roman" w:eastAsia="Times New Roman" w:hAnsi="Times New Roman"/>
          <w:sz w:val="18"/>
          <w:szCs w:val="18"/>
          <w:color w:val="auto"/>
        </w:rPr>
        <w:t>In August 2022, the company completed four-year debt financing agreement for up to $45.0 million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Avenue Capital Group, with $15.0 million funded at the closing of the loan. Rani intends to use the proceeds to support the continued advancement of the RaniPill platform, ongoing clinical pipeline development, and general operations, and expects the financings to extend its cash runway into mid-2024.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Near-Term Milestones</w:t>
      </w:r>
    </w:p>
    <w:p>
      <w:pPr>
        <w:spacing w:after="0" w:line="13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Topline results of the repeat-dose portion of the RT-102 clinical study expected in 4Q 2022</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Initiation of an additional Phase 1 clinical trial expected in 2H 2022</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Pre-IND meeting with the FDA for RT-102 in 4Q 2022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w:t>
      </w:r>
    </w:p>
    <w:p>
      <w:pPr>
        <w:spacing w:after="0" w:line="104"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June 30, 2022 were $97.2 million, compared to $117.5 million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760" w:hanging="378"/>
        <w:spacing w:after="0" w:line="283"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Research and development expenses </w:t>
      </w:r>
      <w:r>
        <w:rPr>
          <w:rFonts w:ascii="Times New Roman" w:cs="Times New Roman" w:eastAsia="Times New Roman" w:hAnsi="Times New Roman"/>
          <w:sz w:val="17"/>
          <w:szCs w:val="17"/>
          <w:color w:val="auto"/>
        </w:rPr>
        <w:t>for the three months ended June 30, 2022 were $9.5 million, compared to $3.8 million for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2021. The increase was primarily attributed to higher compensation and benefits due to the increase in headcount, including $1.6 million of non-cash equity-based compensation expense, the ongoing RT-102 Phase 1 clinical trial, and ongoing development of the RaniPill HC.</w:t>
      </w:r>
    </w:p>
    <w:p>
      <w:pPr>
        <w:spacing w:after="0" w:line="37" w:lineRule="exact"/>
        <w:rPr>
          <w:rFonts w:ascii="Times New Roman" w:cs="Times New Roman" w:eastAsia="Times New Roman" w:hAnsi="Times New Roman"/>
          <w:sz w:val="17"/>
          <w:szCs w:val="17"/>
          <w:color w:val="auto"/>
        </w:rPr>
      </w:pPr>
    </w:p>
    <w:p>
      <w:pPr>
        <w:ind w:left="760" w:right="160" w:hanging="378"/>
        <w:spacing w:after="0" w:line="26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June 30, 2022 were $6.3 million, compared to $3.5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2021. The increase was primarily attributed to public company related costs and higher compensation and benefits due to the increase in headcount, including $2.1 million of non-cash equity-based compensation expense.</w:t>
      </w:r>
    </w:p>
    <w:p>
      <w:pPr>
        <w:spacing w:after="0" w:line="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June 30, 2022 was $16.0 million, compared to $5.5 million for the same period in 2021.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w:t>
      </w:r>
    </w:p>
    <w:p>
      <w:pPr>
        <w:spacing w:after="0" w:line="121"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Rani Therapeutics is a clinical stage biotherapeutics company focused on advancing technologies to enable the development of orally administered biologics. Rani has developed RaniPill capsules, which are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capsules. For more information, visit ranitherapeutics.com.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timing of topline results from the repeat-dose portion of Rani’s Phase 1 trial of RT-102, the expected initiation of an additional Phase 1 trial of another product candidate in the second half of 2022, expected progress with the RaniPill HC platform, Rani’s development and advancement of its RaniPill capsule technology, including RaniPill HC, the impact of its technology on medical treatment, Rani’s advancement of its preclinical and clinical programs and timing of results, customer acceptance of the RaniPill capsule technology, the potential benefits of the RaniPill capsule technology, the sufficiency of Rani’s cash reserves, the timing and extent of its expenses, future financial performance, and Rani’s growth as a company. Because such statements are subject to risks and uncertainties, actual results may differ materially from those expressed or implied by such forward-looking statements. Words such as “may,” “expect,” “could,” “anticipate,” “look forward,” “progress,” “advance,” “intend”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including Rani’s annual report on Form 10-K for the year ended December 31, 2021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investors@ranitherapeutics.com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r>
        <w:rPr>
          <w:rFonts w:ascii="Times New Roman" w:cs="Times New Roman" w:eastAsia="Times New Roman" w:hAnsi="Times New Roman"/>
          <w:sz w:val="18"/>
          <w:szCs w:val="18"/>
          <w:color w:val="auto"/>
        </w:rPr>
        <w:t> </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6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117,453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104,344</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c>
          <w:tcPr>
            <w:tcW w:w="100" w:type="dxa"/>
            <w:vAlign w:val="bottom"/>
            <w:tcBorders>
              <w:top w:val="single" w:sz="8" w:color="CFF0FC"/>
            </w:tcBorders>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payable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net current portion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June</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2022 and December 31, 2021</w:t>
            </w:r>
          </w:p>
        </w:tc>
        <w:tc>
          <w:tcPr>
            <w:tcW w:w="28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24,494 and 19,712 issued and</w:t>
            </w:r>
          </w:p>
        </w:tc>
        <w:tc>
          <w:tcPr>
            <w:tcW w:w="2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71"/>
        </w:trPr>
        <w:tc>
          <w:tcPr>
            <w:tcW w:w="76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24,663 and 29,290 issued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71"/>
        </w:trPr>
        <w:tc>
          <w:tcPr>
            <w:tcW w:w="76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w:t>
            </w:r>
          </w:p>
        </w:tc>
        <w:tc>
          <w:tcPr>
            <w:tcW w:w="2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June 30, 2022 and December 31, 2021</w:t>
            </w:r>
          </w:p>
        </w:tc>
        <w:tc>
          <w:tcPr>
            <w:tcW w:w="2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(22,178 )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(8,331 )</w:t>
            </w:r>
          </w:p>
        </w:tc>
      </w:tr>
      <w:tr>
        <w:trPr>
          <w:trHeight w:val="210"/>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47,411</w:t>
            </w:r>
          </w:p>
        </w:tc>
        <w:tc>
          <w:tcPr>
            <w:tcW w:w="100" w:type="dxa"/>
            <w:vAlign w:val="bottom"/>
            <w:tcBorders>
              <w:top w:val="single" w:sz="8" w:color="CFF0FC"/>
            </w:tcBorders>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121,567</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14"/>
        </w:trPr>
        <w:tc>
          <w:tcPr>
            <w:tcW w:w="7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-3950970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-950595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-376555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-359410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 w:name="page7"/>
    <w:bookmarkEnd w:id="6"/>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r>
        <w:rPr>
          <w:rFonts w:ascii="Times New Roman" w:cs="Times New Roman" w:eastAsia="Times New Roman" w:hAnsi="Times New Roman"/>
          <w:sz w:val="18"/>
          <w:szCs w:val="18"/>
          <w:color w:val="auto"/>
        </w:rPr>
        <w:t> </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per share amounts)</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 </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(15,847 )</w:t>
            </w: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(5,258 )</w:t>
            </w:r>
          </w:p>
        </w:tc>
        <w:tc>
          <w:tcPr>
            <w:tcW w:w="2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(29,627 )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(10,456 )</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(169 )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(70 )</w:t>
            </w:r>
          </w:p>
        </w:tc>
        <w:tc>
          <w:tcPr>
            <w:tcW w:w="26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(154 )</w:t>
            </w: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(8,342 )</w:t>
            </w: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(5,485 )</w:t>
            </w:r>
          </w:p>
        </w:tc>
        <w:tc>
          <w:tcPr>
            <w:tcW w:w="2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(15,947 )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(11,083 )</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680" w:type="dxa"/>
            <w:vAlign w:val="bottom"/>
          </w:tcPr>
          <w:p>
            <w:pPr>
              <w:ind w:left="120"/>
              <w:spacing w:after="0" w:line="151" w:lineRule="exact"/>
              <w:rPr>
                <w:sz w:val="20"/>
                <w:szCs w:val="20"/>
                <w:color w:val="auto"/>
              </w:rPr>
            </w:pPr>
            <w:r>
              <w:rPr>
                <w:rFonts w:ascii="Times New Roman" w:cs="Times New Roman" w:eastAsia="Times New Roman" w:hAnsi="Times New Roman"/>
                <w:sz w:val="17"/>
                <w:szCs w:val="17"/>
                <w:color w:val="auto"/>
              </w:rPr>
              <w:t>Net loss per Class A common share attributable to Rani Therapeutics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(0.31 )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(0.60 )</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6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2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24,371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22,930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-2193925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-2193925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-2193925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-788035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-770890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-788035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-770890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-788035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-770890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-367665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-350520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2022-08-10T16:15:46Z</dcterms:created>
  <dcterms:modified xsi:type="dcterms:W3CDTF">2022-08-10T16:15:46Z</dcterms:modified>
</cp:coreProperties>
</file>