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421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4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InCube Labs, L.L.C.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2051 RINGWOOD AVE.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22,389,982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72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Class A Common LLC Units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9"/>
                <w:vertAlign w:val="superscript"/>
              </w:rPr>
              <w:t>(2)(3)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22,389,982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(2)(3)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60" w:firstLine="5"/>
        <w:spacing w:after="0" w:line="286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Common LLC Units of Rani Therapeutics, LLC, a direct subsidiary of the Issuer. The Common LLC Units are redeemable at the election of the Reporting Person at any time for newly-issued Class A Common Stock of the Issuer ("Class A Shares") on a one-for-one basis or, if mutually agreed with the Issuer, a cash payment equal to the volume weighted average market price of one Class A Share for each Common LLC Unit redeemed (subject to customary adjustments, including for stock splits, stock dividends and reclassifications). However, the Issuer may elect to effect a direct exchange of such Class A Shares (or such cash, if mutually agreed) for such Common LLC Units.</w:t>
      </w:r>
    </w:p>
    <w:p>
      <w:pPr>
        <w:spacing w:after="0" w:line="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80" w:firstLine="5"/>
        <w:spacing w:after="0" w:line="28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the redemption or exchange by the Reporting Person of any Class A Common LLC Units, a number of Class B Common Stock of the Issuer ("Class B Shares") held by the Reporting Person equal to the number of Common LLC Units that are redeemed or exchanged will be automatically cancelled by the Issuer for no consideration.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/s/ Josh Seidenfeld,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-15240</wp:posOffset>
            </wp:positionV>
            <wp:extent cx="96012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13" w:lineRule="auto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Attorney-in-Fact for Mir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6"/>
          <w:szCs w:val="26"/>
          <w:color w:val="0000FF"/>
          <w:vertAlign w:val="subscript"/>
        </w:rPr>
        <w:t>08/02/2021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-31115</wp:posOffset>
            </wp:positionV>
            <wp:extent cx="1224915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Imran, President of InCube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-25400</wp:posOffset>
            </wp:positionV>
            <wp:extent cx="134874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5565140</wp:posOffset>
            </wp:positionH>
            <wp:positionV relativeFrom="paragraph">
              <wp:posOffset>-101600</wp:posOffset>
            </wp:positionV>
            <wp:extent cx="564515" cy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Labs, LLC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536575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0" Type="http://schemas.openxmlformats.org/officeDocument/2006/relationships/hyperlink" Target="http://www.sec.gov/cgi-bin/browse-edgar?action=getcompany&amp;CIK=0001873082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2021-08-02T19:22:20Z</dcterms:created>
  <dcterms:modified xsi:type="dcterms:W3CDTF">2021-08-02T19:22:20Z</dcterms:modified>
</cp:coreProperties>
</file>