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6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880" w:right="1600" w:hanging="2859"/>
        <w:spacing w:after="0" w:line="367"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220" w:space="720"/>
            <w:col w:w="3300"/>
          </w:cols>
          <w:pgMar w:left="320" w:top="881" w:right="339" w:bottom="1440" w:gutter="0" w:footer="0" w:header="0"/>
          <w:type w:val="continuous"/>
        </w:sectPr>
      </w:pPr>
    </w:p>
    <w:p>
      <w:pPr>
        <w:ind w:left="1920"/>
        <w:spacing w:after="0"/>
        <w:rPr>
          <w:sz w:val="20"/>
          <w:szCs w:val="20"/>
          <w:color w:val="auto"/>
        </w:rPr>
      </w:pPr>
      <w:r>
        <w:rPr>
          <w:rFonts w:ascii="Arial" w:cs="Arial" w:eastAsia="Arial" w:hAnsi="Arial"/>
          <w:sz w:val="18"/>
          <w:szCs w:val="18"/>
          <w:b w:val="1"/>
          <w:bCs w:val="1"/>
          <w:color w:val="auto"/>
        </w:rPr>
        <w:t>2051 Ringwood Avenue</w:t>
      </w:r>
    </w:p>
    <w:p>
      <w:pPr>
        <w:spacing w:after="0" w:line="13" w:lineRule="exact"/>
        <w:rPr>
          <w:sz w:val="24"/>
          <w:szCs w:val="24"/>
          <w:color w:val="auto"/>
        </w:rPr>
      </w:pPr>
    </w:p>
    <w:p>
      <w:pPr>
        <w:ind w:left="2040"/>
        <w:spacing w:after="0"/>
        <w:tabs>
          <w:tab w:leader="none" w:pos="8180" w:val="left"/>
        </w:tabs>
        <w:rPr>
          <w:sz w:val="20"/>
          <w:szCs w:val="20"/>
          <w:color w:val="auto"/>
        </w:rPr>
      </w:pPr>
      <w:r>
        <w:rPr>
          <w:rFonts w:ascii="Arial" w:cs="Arial" w:eastAsia="Arial" w:hAnsi="Arial"/>
          <w:sz w:val="18"/>
          <w:szCs w:val="18"/>
          <w:b w:val="1"/>
          <w:bCs w:val="1"/>
          <w:color w:val="auto"/>
        </w:rPr>
        <w:t>San Jose, California</w:t>
      </w:r>
      <w:r>
        <w:rPr>
          <w:sz w:val="20"/>
          <w:szCs w:val="20"/>
          <w:color w:val="auto"/>
        </w:rPr>
        <w:tab/>
      </w:r>
      <w:r>
        <w:rPr>
          <w:rFonts w:ascii="Arial" w:cs="Arial" w:eastAsia="Arial" w:hAnsi="Arial"/>
          <w:sz w:val="16"/>
          <w:szCs w:val="16"/>
          <w:b w:val="1"/>
          <w:bCs w:val="1"/>
          <w:color w:val="auto"/>
        </w:rPr>
        <w:t>95131</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RANI</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200" w:firstLine="599"/>
        <w:spacing w:after="0" w:line="250" w:lineRule="auto"/>
        <w:rPr>
          <w:sz w:val="20"/>
          <w:szCs w:val="20"/>
          <w:color w:val="auto"/>
        </w:rPr>
      </w:pPr>
      <w:r>
        <w:rPr>
          <w:rFonts w:ascii="Arial" w:cs="Arial" w:eastAsia="Arial" w:hAnsi="Arial"/>
          <w:sz w:val="16"/>
          <w:szCs w:val="16"/>
          <w:color w:val="auto"/>
        </w:rPr>
        <w:t>As of November 8, 2022, the registrant had 24,719,972 shares of Class A common stock, $0.0001 par value per share, outstanding, 24,640,196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3880" w:type="dxa"/>
            <w:vAlign w:val="bottom"/>
            <w:gridSpan w:val="10"/>
            <w:vMerge w:val="restart"/>
          </w:tcPr>
          <w:p>
            <w:pPr>
              <w:spacing w:after="0"/>
              <w:rPr>
                <w:sz w:val="20"/>
                <w:szCs w:val="20"/>
                <w:color w:val="auto"/>
              </w:rPr>
            </w:pPr>
            <w:r>
              <w:rPr>
                <w:rFonts w:ascii="Arial" w:cs="Arial" w:eastAsia="Arial" w:hAnsi="Arial"/>
                <w:sz w:val="18"/>
                <w:szCs w:val="18"/>
                <w:color w:val="0000FF"/>
                <w:w w:val="90"/>
              </w:rPr>
              <w:t>Special Note Regarding Forward-Looking Statements</w:t>
            </w:r>
          </w:p>
        </w:tc>
        <w:tc>
          <w:tcPr>
            <w:tcW w:w="6560" w:type="dxa"/>
            <w:vAlign w:val="bottom"/>
            <w:gridSpan w:val="8"/>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3880" w:type="dxa"/>
            <w:vAlign w:val="bottom"/>
            <w:tcBorders>
              <w:bottom w:val="single" w:sz="8" w:color="0000FF"/>
            </w:tcBorders>
            <w:gridSpan w:val="10"/>
            <w:vMerge w:val="continue"/>
          </w:tcPr>
          <w:p>
            <w:pPr>
              <w:spacing w:after="0"/>
              <w:rPr>
                <w:sz w:val="14"/>
                <w:szCs w:val="14"/>
                <w:color w:val="auto"/>
              </w:rPr>
            </w:pPr>
          </w:p>
        </w:tc>
        <w:tc>
          <w:tcPr>
            <w:tcW w:w="6560" w:type="dxa"/>
            <w:vAlign w:val="bottom"/>
            <w:gridSpan w:val="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16"/>
          </w:tcPr>
          <w:p>
            <w:pPr>
              <w:spacing w:after="0" w:line="190"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w w:val="94"/>
              </w:rPr>
              <w:t>Condensed Consolidated Statements of Changes in Stockholders’ Equity/Convertible Preferred Units and Members' Deficit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6.</w:t>
            </w: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60" w:type="dxa"/>
            <w:vAlign w:val="bottom"/>
            <w:gridSpan w:val="3"/>
          </w:tcPr>
          <w:p>
            <w:pPr>
              <w:ind w:left="20"/>
              <w:spacing w:after="0" w:line="196"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20" w:right="140" w:hanging="312"/>
        <w:spacing w:after="0" w:line="342" w:lineRule="auto"/>
        <w:rPr>
          <w:sz w:val="20"/>
          <w:szCs w:val="20"/>
          <w:color w:val="auto"/>
        </w:rPr>
      </w:pPr>
      <w:r>
        <w:rPr>
          <w:rFonts w:ascii="Arial" w:cs="Arial" w:eastAsia="Arial" w:hAnsi="Arial"/>
          <w:sz w:val="16"/>
          <w:szCs w:val="16"/>
          <w:i w:val="1"/>
          <w:iCs w:val="1"/>
          <w:color w:val="auto"/>
        </w:rPr>
        <w:t>Unless otherwise stated or the context otherwise requires, the terms “we,” “us,” and “our,” and similar references refer to Rani Therapeutics Holdings, Inc. (“Rani Holdings”) and its consolidated subsidiaries, Rani Therapeutics, LLC (“Rani LLC”) and Rani Management Systems, Inc. (“RMS”).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1018"/>
        <w:spacing w:after="0" w:line="259" w:lineRule="auto"/>
        <w:rPr>
          <w:sz w:val="20"/>
          <w:szCs w:val="20"/>
          <w:color w:val="auto"/>
        </w:rPr>
      </w:pPr>
      <w:r>
        <w:rPr>
          <w:rFonts w:ascii="Arial" w:cs="Arial" w:eastAsia="Arial" w:hAnsi="Arial"/>
          <w:sz w:val="17"/>
          <w:szCs w:val="17"/>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ind w:right="20" w:firstLine="1018"/>
        <w:spacing w:after="0" w:line="303"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127" w:lineRule="exact"/>
        <w:rPr>
          <w:sz w:val="20"/>
          <w:szCs w:val="20"/>
          <w:color w:val="auto"/>
        </w:rPr>
      </w:pPr>
    </w:p>
    <w:p>
      <w:pPr>
        <w:ind w:left="1540" w:right="320" w:hanging="514"/>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48"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540" w:right="24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jc w:val="both"/>
        <w:ind w:left="1540" w:right="180" w:hanging="514"/>
        <w:spacing w:after="0" w:line="256"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66"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115" w:lineRule="exact"/>
        <w:rPr>
          <w:rFonts w:ascii="Arial" w:cs="Arial" w:eastAsia="Arial" w:hAnsi="Arial"/>
          <w:sz w:val="17"/>
          <w:szCs w:val="17"/>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117" w:lineRule="exact"/>
        <w:rPr>
          <w:rFonts w:ascii="Arial" w:cs="Arial" w:eastAsia="Arial" w:hAnsi="Arial"/>
          <w:sz w:val="18"/>
          <w:szCs w:val="18"/>
          <w:color w:val="auto"/>
        </w:rPr>
      </w:pPr>
    </w:p>
    <w:p>
      <w:pPr>
        <w:ind w:left="1540" w:right="14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17" w:lineRule="exact"/>
        <w:rPr>
          <w:rFonts w:ascii="Arial" w:cs="Arial" w:eastAsia="Arial" w:hAnsi="Arial"/>
          <w:sz w:val="18"/>
          <w:szCs w:val="18"/>
          <w:color w:val="auto"/>
        </w:rPr>
      </w:pPr>
    </w:p>
    <w:p>
      <w:pPr>
        <w:ind w:left="1540" w:right="10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1540" w:right="280" w:hanging="514"/>
        <w:spacing w:after="0" w:line="261"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ind w:left="1540" w:hanging="514"/>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140" w:lineRule="exact"/>
        <w:rPr>
          <w:rFonts w:ascii="Arial" w:cs="Arial" w:eastAsia="Arial" w:hAnsi="Arial"/>
          <w:sz w:val="16"/>
          <w:szCs w:val="16"/>
          <w:color w:val="auto"/>
        </w:rPr>
      </w:pPr>
    </w:p>
    <w:p>
      <w:pPr>
        <w:ind w:left="1540" w:hanging="514"/>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and the conflict between Ukraine and Russia on our business;</w:t>
      </w:r>
    </w:p>
    <w:p>
      <w:pPr>
        <w:spacing w:after="0" w:line="115" w:lineRule="exact"/>
        <w:rPr>
          <w:rFonts w:ascii="Arial" w:cs="Arial" w:eastAsia="Arial" w:hAnsi="Arial"/>
          <w:sz w:val="17"/>
          <w:szCs w:val="17"/>
          <w:color w:val="auto"/>
        </w:rPr>
      </w:pPr>
    </w:p>
    <w:p>
      <w:pPr>
        <w:ind w:left="1540" w:hanging="514"/>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03" w:lineRule="exact"/>
        <w:rPr>
          <w:rFonts w:ascii="Arial" w:cs="Arial" w:eastAsia="Arial" w:hAnsi="Arial"/>
          <w:sz w:val="18"/>
          <w:szCs w:val="18"/>
          <w:color w:val="auto"/>
        </w:rPr>
      </w:pPr>
    </w:p>
    <w:p>
      <w:pPr>
        <w:ind w:left="1540" w:right="160" w:hanging="514"/>
        <w:spacing w:after="0" w:line="25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66" w:lineRule="exact"/>
        <w:rPr>
          <w:rFonts w:ascii="Arial" w:cs="Arial" w:eastAsia="Arial" w:hAnsi="Arial"/>
          <w:sz w:val="18"/>
          <w:szCs w:val="18"/>
          <w:color w:val="auto"/>
        </w:rPr>
      </w:pPr>
    </w:p>
    <w:p>
      <w:pPr>
        <w:ind w:left="1540" w:right="20" w:hanging="514"/>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57" w:lineRule="exact"/>
        <w:rPr>
          <w:sz w:val="20"/>
          <w:szCs w:val="20"/>
          <w:color w:val="auto"/>
        </w:rPr>
      </w:pPr>
    </w:p>
    <w:p>
      <w:pPr>
        <w:ind w:right="80" w:firstLine="1018"/>
        <w:spacing w:after="0" w:line="279" w:lineRule="auto"/>
        <w:rPr>
          <w:sz w:val="20"/>
          <w:szCs w:val="20"/>
          <w:color w:val="auto"/>
        </w:rPr>
      </w:pPr>
      <w:r>
        <w:rPr>
          <w:rFonts w:ascii="Arial" w:cs="Arial" w:eastAsia="Arial" w:hAnsi="Arial"/>
          <w:sz w:val="16"/>
          <w:szCs w:val="16"/>
          <w:color w:val="auto"/>
        </w:rPr>
        <w:t>These forward-looking statements are subject to a number of risks, uncertainties, and assumptions described in the section titled “Risk Factors” and elsewhere in our Annual Report on Form 10-K filed with the Securities and Exchange Commission on March 31, 2022.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75" w:lineRule="exact"/>
        <w:rPr>
          <w:sz w:val="20"/>
          <w:szCs w:val="20"/>
          <w:color w:val="auto"/>
        </w:rPr>
      </w:pPr>
    </w:p>
    <w:p>
      <w:pPr>
        <w:ind w:right="100" w:firstLine="1018"/>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 equivalents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108,202</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Related party payable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21,595</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8"/>
              </w:rPr>
              <w:t>Preferred stock, $0.0001 par value - 20,000 shares authorized; none issued and outstanding as of</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30, 2022 and December 31, 2021</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720" w:type="dxa"/>
            <w:vAlign w:val="bottom"/>
          </w:tcPr>
          <w:p>
            <w:pPr>
              <w:ind w:left="20"/>
              <w:spacing w:after="0" w:line="175" w:lineRule="exact"/>
              <w:rPr>
                <w:sz w:val="20"/>
                <w:szCs w:val="20"/>
                <w:color w:val="auto"/>
              </w:rPr>
            </w:pPr>
            <w:r>
              <w:rPr>
                <w:rFonts w:ascii="Arial" w:cs="Arial" w:eastAsia="Arial" w:hAnsi="Arial"/>
                <w:sz w:val="18"/>
                <w:szCs w:val="18"/>
                <w:color w:val="auto"/>
                <w:w w:val="93"/>
              </w:rPr>
              <w:t>Class A common stock, $0.0001 par value - 800,000 shares authorized; 24,720 and 19,712 issued and</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175"/>
        </w:trPr>
        <w:tc>
          <w:tcPr>
            <w:tcW w:w="77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4"/>
              </w:rPr>
              <w:t>Class B common stock, $0.0001 par value - 40,000 shares authorized; 24,639 and 29,290 issued and</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175"/>
        </w:trPr>
        <w:tc>
          <w:tcPr>
            <w:tcW w:w="7720" w:type="dxa"/>
            <w:vAlign w:val="bottom"/>
          </w:tcPr>
          <w:p>
            <w:pPr>
              <w:ind w:left="20"/>
              <w:spacing w:after="0" w:line="175" w:lineRule="exact"/>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of September 30, 2022 and December 31, 2021</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(57 )</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(30,133 )</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(8,331 )</w:t>
            </w:r>
          </w:p>
        </w:tc>
      </w:tr>
      <w:tr>
        <w:trPr>
          <w:trHeight w:val="210"/>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42,194</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121,567</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108,202</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-4431030</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-3874135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-2459990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-599440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392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For the Three Months Ended September</w:t>
            </w:r>
          </w:p>
        </w:tc>
        <w:tc>
          <w:tcPr>
            <w:tcW w:w="25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Nine Months Ended September</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(16,342 )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(27,781 )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(45,969 )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(38,237 )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Interest income and 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(352 )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(352 )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56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(16,315 )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(28,663 )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(45,891 )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(39,702 )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(16,208 )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(28,700 )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(46,002 )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(39,783 )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(8,253 )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(25,558 )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(24,200 )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(36,641 )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(7,955 )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(3,142 )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(21,802 )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(3,142 )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shd w:val="clear" w:color="auto" w:fill="CFF0FC"/>
          </w:tcPr>
          <w:p>
            <w:pPr>
              <w:ind w:left="120"/>
              <w:spacing w:after="0" w:line="155" w:lineRule="exact"/>
              <w:rPr>
                <w:sz w:val="20"/>
                <w:szCs w:val="20"/>
                <w:color w:val="auto"/>
              </w:rPr>
            </w:pPr>
            <w:r>
              <w:rPr>
                <w:rFonts w:ascii="Arial" w:cs="Arial" w:eastAsia="Arial" w:hAnsi="Arial"/>
                <w:sz w:val="17"/>
                <w:szCs w:val="17"/>
                <w:color w:val="auto"/>
              </w:rPr>
              <w:t>Net loss per Class A common share attributable to Rani Therapeutics</w:t>
            </w:r>
          </w:p>
        </w:tc>
        <w:tc>
          <w:tcPr>
            <w:tcW w:w="280" w:type="dxa"/>
            <w:vAlign w:val="bottom"/>
            <w:vMerge w:val="restart"/>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(0.33 )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(0.16 )</w:t>
            </w: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(0.93 )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20"/>
              <w:spacing w:after="0" w:line="190" w:lineRule="exact"/>
              <w:rPr>
                <w:sz w:val="20"/>
                <w:szCs w:val="20"/>
                <w:color w:val="auto"/>
              </w:rPr>
            </w:pPr>
            <w:r>
              <w:rPr>
                <w:rFonts w:ascii="Arial" w:cs="Arial" w:eastAsia="Arial" w:hAnsi="Arial"/>
                <w:sz w:val="18"/>
                <w:szCs w:val="18"/>
                <w:color w:val="auto"/>
              </w:rPr>
              <w:t>Holdings, Inc., basic and diluted</w:t>
            </w:r>
          </w:p>
        </w:tc>
        <w:tc>
          <w:tcPr>
            <w:tcW w:w="28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w w:val="95"/>
              </w:rPr>
              <w:t>Weighted-average Class A common shares outstanding—basic and diluted</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24,468</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19,437</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23,449</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-1988185</wp:posOffset>
            </wp:positionV>
            <wp:extent cx="7747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-1988185</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-1988185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-1156970</wp:posOffset>
            </wp:positionV>
            <wp:extent cx="7747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-1156970</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-1156970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-873760</wp:posOffset>
            </wp:positionV>
            <wp:extent cx="7747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-873760</wp:posOffset>
            </wp:positionV>
            <wp:extent cx="7683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-873760</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-591185</wp:posOffset>
            </wp:positionV>
            <wp:extent cx="7747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-591185</wp:posOffset>
            </wp:positionV>
            <wp:extent cx="7683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-591185</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272605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6055" cy="18859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392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2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w w:val="96"/>
              </w:rPr>
              <w:t>For the Three Months Ended September</w:t>
            </w:r>
          </w:p>
        </w:tc>
        <w:tc>
          <w:tcPr>
            <w:tcW w:w="25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Nine Months Ended September</w:t>
            </w: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unrealized loss on marketable securities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(118 )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(118 )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(16,326 )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(28,700 )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(46,120 )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(39,783 )</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Comprehensive loss attributable to non-controlling interest</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(25,558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(24,261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(36,641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 attributable to Rani Therapeutics Holdings, Inc.</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(8,012 )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(3,142 )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(21,859 )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(3,142 )</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-479425</wp:posOffset>
            </wp:positionV>
            <wp:extent cx="774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-479425</wp:posOffset>
            </wp:positionV>
            <wp:extent cx="7683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-479425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392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CHANGES IN STOCKHOLDERS’ EQUITY/CONVERTIBLE PREFERRED UNITS</w:t>
      </w:r>
    </w:p>
    <w:p>
      <w:pPr>
        <w:jc w:val="center"/>
        <w:ind w:right="40"/>
        <w:spacing w:after="0" w:line="234" w:lineRule="auto"/>
        <w:rPr>
          <w:sz w:val="20"/>
          <w:szCs w:val="20"/>
          <w:color w:val="auto"/>
        </w:rPr>
      </w:pPr>
      <w:r>
        <w:rPr>
          <w:rFonts w:ascii="Arial" w:cs="Arial" w:eastAsia="Arial" w:hAnsi="Arial"/>
          <w:sz w:val="18"/>
          <w:szCs w:val="18"/>
          <w:b w:val="1"/>
          <w:bCs w:val="1"/>
          <w:color w:val="auto"/>
        </w:rPr>
        <w:t>AND MEMBERS' DEFICIT</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7"/>
          </w:tcPr>
          <w:p>
            <w:pPr>
              <w:jc w:val="right"/>
              <w:ind w:right="166"/>
              <w:spacing w:after="0"/>
              <w:rPr>
                <w:sz w:val="20"/>
                <w:szCs w:val="20"/>
                <w:color w:val="auto"/>
              </w:rPr>
            </w:pPr>
            <w:r>
              <w:rPr>
                <w:rFonts w:ascii="Arial" w:cs="Arial" w:eastAsia="Arial" w:hAnsi="Arial"/>
                <w:sz w:val="11"/>
                <w:szCs w:val="11"/>
                <w:b w:val="1"/>
                <w:bCs w:val="1"/>
                <w:color w:val="auto"/>
                <w:w w:val="99"/>
              </w:rPr>
              <w:t>Class A Common Stock</w:t>
            </w:r>
          </w:p>
        </w:tc>
        <w:tc>
          <w:tcPr>
            <w:tcW w:w="260" w:type="dxa"/>
            <w:vAlign w:val="bottom"/>
          </w:tcPr>
          <w:p>
            <w:pPr>
              <w:spacing w:after="0"/>
              <w:rPr>
                <w:sz w:val="12"/>
                <w:szCs w:val="12"/>
                <w:color w:val="auto"/>
              </w:rPr>
            </w:pPr>
          </w:p>
        </w:tc>
        <w:tc>
          <w:tcPr>
            <w:tcW w:w="15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1"/>
                <w:szCs w:val="11"/>
                <w:b w:val="1"/>
                <w:bCs w:val="1"/>
                <w:color w:val="auto"/>
              </w:rPr>
              <w:t>Class B Common Stock</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4"/>
          </w:tcPr>
          <w:p>
            <w:pPr>
              <w:jc w:val="right"/>
              <w:ind w:right="340"/>
              <w:spacing w:after="0" w:line="108" w:lineRule="exact"/>
              <w:rPr>
                <w:sz w:val="20"/>
                <w:szCs w:val="20"/>
                <w:color w:val="auto"/>
              </w:rPr>
            </w:pPr>
            <w:r>
              <w:rPr>
                <w:rFonts w:ascii="Arial" w:cs="Arial" w:eastAsia="Arial" w:hAnsi="Arial"/>
                <w:sz w:val="11"/>
                <w:szCs w:val="11"/>
                <w:b w:val="1"/>
                <w:bCs w:val="1"/>
                <w:color w:val="auto"/>
              </w:rPr>
              <w:t>Additional</w:t>
            </w:r>
          </w:p>
        </w:tc>
        <w:tc>
          <w:tcPr>
            <w:tcW w:w="1180" w:type="dxa"/>
            <w:vAlign w:val="bottom"/>
            <w:gridSpan w:val="6"/>
          </w:tcPr>
          <w:p>
            <w:pPr>
              <w:jc w:val="right"/>
              <w:ind w:right="260"/>
              <w:spacing w:after="0" w:line="108" w:lineRule="exact"/>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3"/>
            <w:vMerge w:val="restart"/>
          </w:tcPr>
          <w:p>
            <w:pPr>
              <w:jc w:val="right"/>
              <w:ind w:right="338"/>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9"/>
                <w:szCs w:val="9"/>
                <w:color w:val="auto"/>
              </w:rPr>
            </w:pPr>
          </w:p>
        </w:tc>
        <w:tc>
          <w:tcPr>
            <w:tcW w:w="86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87"/>
              </w:rPr>
              <w:t>Non-</w:t>
            </w:r>
          </w:p>
        </w:tc>
        <w:tc>
          <w:tcPr>
            <w:tcW w:w="80" w:type="dxa"/>
            <w:vAlign w:val="bottom"/>
          </w:tcPr>
          <w:p>
            <w:pPr>
              <w:spacing w:after="0"/>
              <w:rPr>
                <w:sz w:val="9"/>
                <w:szCs w:val="9"/>
                <w:color w:val="auto"/>
              </w:rPr>
            </w:pPr>
          </w:p>
        </w:tc>
        <w:tc>
          <w:tcPr>
            <w:tcW w:w="1140" w:type="dxa"/>
            <w:vAlign w:val="bottom"/>
            <w:gridSpan w:val="2"/>
            <w:vMerge w:val="restart"/>
          </w:tcPr>
          <w:p>
            <w:pPr>
              <w:jc w:val="center"/>
              <w:ind w:right="182"/>
              <w:spacing w:after="0"/>
              <w:rPr>
                <w:sz w:val="20"/>
                <w:szCs w:val="20"/>
                <w:color w:val="auto"/>
              </w:rPr>
            </w:pPr>
            <w:r>
              <w:rPr>
                <w:rFonts w:ascii="Arial" w:cs="Arial" w:eastAsia="Arial" w:hAnsi="Arial"/>
                <w:sz w:val="11"/>
                <w:szCs w:val="11"/>
                <w:b w:val="1"/>
                <w:bCs w:val="1"/>
                <w:color w:val="auto"/>
                <w:w w:val="86"/>
              </w:rPr>
              <w:t>Total Stockholders'</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9"/>
                <w:szCs w:val="9"/>
                <w:color w:val="auto"/>
              </w:rPr>
            </w:pPr>
          </w:p>
        </w:tc>
        <w:tc>
          <w:tcPr>
            <w:tcW w:w="920" w:type="dxa"/>
            <w:vAlign w:val="bottom"/>
            <w:gridSpan w:val="3"/>
            <w:vMerge w:val="restart"/>
          </w:tcPr>
          <w:p>
            <w:pPr>
              <w:jc w:val="right"/>
              <w:ind w:right="36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50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9"/>
                <w:szCs w:val="9"/>
                <w:color w:val="auto"/>
              </w:rPr>
            </w:pPr>
          </w:p>
        </w:tc>
        <w:tc>
          <w:tcPr>
            <w:tcW w:w="920" w:type="dxa"/>
            <w:vAlign w:val="bottom"/>
            <w:gridSpan w:val="4"/>
          </w:tcPr>
          <w:p>
            <w:pPr>
              <w:jc w:val="right"/>
              <w:ind w:right="420"/>
              <w:spacing w:after="0" w:line="109" w:lineRule="exact"/>
              <w:rPr>
                <w:sz w:val="20"/>
                <w:szCs w:val="20"/>
                <w:color w:val="auto"/>
              </w:rPr>
            </w:pPr>
            <w:r>
              <w:rPr>
                <w:rFonts w:ascii="Arial" w:cs="Arial" w:eastAsia="Arial" w:hAnsi="Arial"/>
                <w:sz w:val="11"/>
                <w:szCs w:val="11"/>
                <w:b w:val="1"/>
                <w:bCs w:val="1"/>
                <w:color w:val="auto"/>
              </w:rPr>
              <w:t>Paid In</w:t>
            </w:r>
          </w:p>
        </w:tc>
        <w:tc>
          <w:tcPr>
            <w:tcW w:w="1180" w:type="dxa"/>
            <w:vAlign w:val="bottom"/>
            <w:gridSpan w:val="6"/>
          </w:tcPr>
          <w:p>
            <w:pPr>
              <w:jc w:val="right"/>
              <w:ind w:right="360"/>
              <w:spacing w:after="0" w:line="109" w:lineRule="exact"/>
              <w:rPr>
                <w:sz w:val="20"/>
                <w:szCs w:val="20"/>
                <w:color w:val="auto"/>
              </w:rPr>
            </w:pPr>
            <w:r>
              <w:rPr>
                <w:rFonts w:ascii="Arial" w:cs="Arial" w:eastAsia="Arial" w:hAnsi="Arial"/>
                <w:sz w:val="11"/>
                <w:szCs w:val="11"/>
                <w:b w:val="1"/>
                <w:bCs w:val="1"/>
                <w:color w:val="auto"/>
                <w:w w:val="96"/>
              </w:rPr>
              <w:t>Comprehensive</w:t>
            </w:r>
          </w:p>
        </w:tc>
        <w:tc>
          <w:tcPr>
            <w:tcW w:w="1060" w:type="dxa"/>
            <w:vAlign w:val="bottom"/>
            <w:gridSpan w:val="3"/>
            <w:vMerge w:val="continue"/>
          </w:tcPr>
          <w:p>
            <w:pPr>
              <w:spacing w:after="0"/>
              <w:rPr>
                <w:sz w:val="9"/>
                <w:szCs w:val="9"/>
                <w:color w:val="auto"/>
              </w:rPr>
            </w:pPr>
          </w:p>
        </w:tc>
        <w:tc>
          <w:tcPr>
            <w:tcW w:w="940" w:type="dxa"/>
            <w:vAlign w:val="bottom"/>
            <w:gridSpan w:val="3"/>
          </w:tcPr>
          <w:p>
            <w:pPr>
              <w:jc w:val="center"/>
              <w:ind w:right="280"/>
              <w:spacing w:after="0" w:line="109" w:lineRule="exact"/>
              <w:rPr>
                <w:sz w:val="20"/>
                <w:szCs w:val="20"/>
                <w:color w:val="auto"/>
              </w:rPr>
            </w:pPr>
            <w:r>
              <w:rPr>
                <w:rFonts w:ascii="Arial" w:cs="Arial" w:eastAsia="Arial" w:hAnsi="Arial"/>
                <w:sz w:val="11"/>
                <w:szCs w:val="11"/>
                <w:b w:val="1"/>
                <w:bCs w:val="1"/>
                <w:color w:val="auto"/>
                <w:w w:val="91"/>
              </w:rPr>
              <w:t>Controlling</w:t>
            </w: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right"/>
              <w:ind w:right="4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2"/>
                <w:szCs w:val="12"/>
                <w:color w:val="auto"/>
              </w:rPr>
            </w:pPr>
          </w:p>
        </w:tc>
        <w:tc>
          <w:tcPr>
            <w:tcW w:w="940" w:type="dxa"/>
            <w:vAlign w:val="bottom"/>
            <w:gridSpan w:val="2"/>
          </w:tcPr>
          <w:p>
            <w:pPr>
              <w:jc w:val="right"/>
              <w:ind w:right="47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2"/>
                <w:szCs w:val="12"/>
                <w:color w:val="auto"/>
              </w:rPr>
            </w:pPr>
          </w:p>
        </w:tc>
        <w:tc>
          <w:tcPr>
            <w:tcW w:w="1140" w:type="dxa"/>
            <w:vAlign w:val="bottom"/>
            <w:gridSpan w:val="2"/>
          </w:tcPr>
          <w:p>
            <w:pPr>
              <w:jc w:val="center"/>
              <w:ind w:right="162"/>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3"/>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Balance at December 31, 2021</w:t>
            </w: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19,712</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6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77"/>
              </w:rPr>
              <w:t>29,290</w:t>
            </w: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55,737</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left w:val="single" w:sz="8" w:color="CFF0FC"/>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(8,331</w:t>
            </w:r>
          </w:p>
        </w:tc>
        <w:tc>
          <w:tcPr>
            <w:tcW w:w="220" w:type="dxa"/>
            <w:vAlign w:val="bottom"/>
            <w:tcBorders>
              <w:right w:val="single" w:sz="8" w:color="CFF0FC"/>
            </w:tcBorders>
            <w:shd w:val="clear" w:color="auto" w:fill="CFF0FC"/>
          </w:tcPr>
          <w:p>
            <w:pPr>
              <w:jc w:val="right"/>
              <w:ind w:right="178"/>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74,156</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121,567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3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9"/>
              </w:rPr>
              <w:t>Effect of exchanges of Paired Interests and non-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corresponding Class A Units of Rani LLC</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4,675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1"/>
                <w:szCs w:val="11"/>
                <w:color w:val="auto"/>
                <w:w w:val="89"/>
              </w:rPr>
              <w:t>(4,517 )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2380" w:type="dxa"/>
            <w:vAlign w:val="bottom"/>
            <w:gridSpan w:val="2"/>
            <w:shd w:val="clear" w:color="auto" w:fill="CFF0FC"/>
          </w:tcPr>
          <w:p>
            <w:pPr>
              <w:ind w:left="20"/>
              <w:spacing w:after="0" w:line="116" w:lineRule="exact"/>
              <w:rPr>
                <w:sz w:val="20"/>
                <w:szCs w:val="20"/>
                <w:color w:val="auto"/>
              </w:rPr>
            </w:pPr>
            <w:r>
              <w:rPr>
                <w:rFonts w:ascii="Arial" w:cs="Arial" w:eastAsia="Arial" w:hAnsi="Arial"/>
                <w:sz w:val="11"/>
                <w:szCs w:val="11"/>
                <w:color w:val="auto"/>
                <w:w w:val="96"/>
              </w:rPr>
              <w:t>Non-controlling interest adjustment for changes in</w:t>
            </w: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proportionate ownership in Rani LLC</w:t>
            </w:r>
          </w:p>
        </w:tc>
        <w:tc>
          <w:tcPr>
            <w:tcW w:w="8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10,928</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(10,928 )</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1,268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1,637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1"/>
                <w:szCs w:val="11"/>
                <w:color w:val="auto"/>
              </w:rPr>
              <w:t>(6,223 )</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(7,605 )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(13,828 )</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Balance at March 31, 2022</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24,387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77"/>
              </w:rPr>
              <w:t>24,773</w:t>
            </w:r>
          </w:p>
        </w:tc>
        <w:tc>
          <w:tcPr>
            <w:tcW w:w="3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3"/>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1"/>
                <w:szCs w:val="11"/>
                <w:color w:val="auto"/>
              </w:rPr>
            </w:pP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67,933</w:t>
            </w:r>
          </w:p>
        </w:tc>
        <w:tc>
          <w:tcPr>
            <w:tcW w:w="24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78"/>
              <w:spacing w:after="0"/>
              <w:rPr>
                <w:sz w:val="20"/>
                <w:szCs w:val="20"/>
                <w:color w:val="auto"/>
              </w:rPr>
            </w:pPr>
            <w:r>
              <w:rPr>
                <w:rFonts w:ascii="Arial" w:cs="Arial" w:eastAsia="Arial" w:hAnsi="Arial"/>
                <w:sz w:val="11"/>
                <w:szCs w:val="11"/>
                <w:color w:val="auto"/>
              </w:rPr>
              <w:t>(14,554 )</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57,260</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110,644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Forfeiture of restricted stock awards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(3 )</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(3 )</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12"/>
        </w:trPr>
        <w:tc>
          <w:tcPr>
            <w:tcW w:w="23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9"/>
              </w:rPr>
              <w:t>Effect of exchanges of Paired Interests and non-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corresponding Class A Units of Rani LLC</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1"/>
                <w:szCs w:val="11"/>
                <w:color w:val="auto"/>
              </w:rPr>
              <w:t>(110 )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2380" w:type="dxa"/>
            <w:vAlign w:val="bottom"/>
            <w:gridSpan w:val="2"/>
            <w:shd w:val="clear" w:color="auto" w:fill="CFF0FC"/>
          </w:tcPr>
          <w:p>
            <w:pPr>
              <w:ind w:left="20"/>
              <w:spacing w:after="0" w:line="116" w:lineRule="exact"/>
              <w:rPr>
                <w:sz w:val="20"/>
                <w:szCs w:val="20"/>
                <w:color w:val="auto"/>
              </w:rPr>
            </w:pPr>
            <w:r>
              <w:rPr>
                <w:rFonts w:ascii="Arial" w:cs="Arial" w:eastAsia="Arial" w:hAnsi="Arial"/>
                <w:sz w:val="11"/>
                <w:szCs w:val="11"/>
                <w:color w:val="auto"/>
                <w:w w:val="96"/>
              </w:rPr>
              <w:t>Non-controlling interest adjustment for changes in</w:t>
            </w: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proportionate ownership in Rani LLC</w:t>
            </w:r>
          </w:p>
        </w:tc>
        <w:tc>
          <w:tcPr>
            <w:tcW w:w="8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(126 )</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1,930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1"/>
                <w:szCs w:val="11"/>
                <w:color w:val="auto"/>
              </w:rPr>
              <w:t>(7,624 )</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(8,342 )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(15,966 )</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Balance at June 30, 2022</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24,494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77"/>
              </w:rPr>
              <w:t>24,663</w:t>
            </w:r>
          </w:p>
        </w:tc>
        <w:tc>
          <w:tcPr>
            <w:tcW w:w="3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3"/>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1"/>
                <w:szCs w:val="11"/>
                <w:color w:val="auto"/>
              </w:rPr>
            </w:pP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69,986</w:t>
            </w:r>
          </w:p>
        </w:tc>
        <w:tc>
          <w:tcPr>
            <w:tcW w:w="24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78"/>
              <w:spacing w:after="0"/>
              <w:rPr>
                <w:sz w:val="20"/>
                <w:szCs w:val="20"/>
                <w:color w:val="auto"/>
              </w:rPr>
            </w:pPr>
            <w:r>
              <w:rPr>
                <w:rFonts w:ascii="Arial" w:cs="Arial" w:eastAsia="Arial" w:hAnsi="Arial"/>
                <w:sz w:val="11"/>
                <w:szCs w:val="11"/>
                <w:color w:val="auto"/>
              </w:rPr>
              <w:t>(22,178 )</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50,841</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98,654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Forfeiture of restricted stock awards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(2 )</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(3 )</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12"/>
        </w:trPr>
        <w:tc>
          <w:tcPr>
            <w:tcW w:w="23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9"/>
              </w:rPr>
              <w:t>Effect of exchanges of Paired Interests and non-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corresponding Class A Units of Rani LLC</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1"/>
                <w:szCs w:val="11"/>
                <w:color w:val="auto"/>
              </w:rPr>
              <w:t>(24 )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Issuance of warrants</w:t>
            </w:r>
          </w:p>
        </w:tc>
        <w:tc>
          <w:tcPr>
            <w:tcW w:w="8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503</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5"/>
              </w:rPr>
              <w:t>Issuance of common stock under employee equity</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plans, net of shares withheld for tax settlement</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204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(626 )</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(626 )</w:t>
            </w:r>
          </w:p>
        </w:tc>
        <w:tc>
          <w:tcPr>
            <w:tcW w:w="0" w:type="dxa"/>
            <w:vAlign w:val="bottom"/>
          </w:tcPr>
          <w:p>
            <w:pPr>
              <w:spacing w:after="0"/>
              <w:rPr>
                <w:sz w:val="1"/>
                <w:szCs w:val="1"/>
                <w:color w:val="auto"/>
              </w:rPr>
            </w:pPr>
          </w:p>
        </w:tc>
      </w:tr>
      <w:tr>
        <w:trPr>
          <w:trHeight w:val="116"/>
        </w:trPr>
        <w:tc>
          <w:tcPr>
            <w:tcW w:w="2380" w:type="dxa"/>
            <w:vAlign w:val="bottom"/>
            <w:gridSpan w:val="2"/>
            <w:shd w:val="clear" w:color="auto" w:fill="CFF0FC"/>
          </w:tcPr>
          <w:p>
            <w:pPr>
              <w:ind w:left="20"/>
              <w:spacing w:after="0" w:line="116" w:lineRule="exact"/>
              <w:rPr>
                <w:sz w:val="20"/>
                <w:szCs w:val="20"/>
                <w:color w:val="auto"/>
              </w:rPr>
            </w:pPr>
            <w:r>
              <w:rPr>
                <w:rFonts w:ascii="Arial" w:cs="Arial" w:eastAsia="Arial" w:hAnsi="Arial"/>
                <w:sz w:val="11"/>
                <w:szCs w:val="11"/>
                <w:color w:val="auto"/>
                <w:w w:val="96"/>
              </w:rPr>
              <w:t>Non-controlling interest adjustment for changes in</w:t>
            </w: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proportionate ownership in Rani LLC</w:t>
            </w:r>
          </w:p>
        </w:tc>
        <w:tc>
          <w:tcPr>
            <w:tcW w:w="8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372</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(372 )</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2,147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2,262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78"/>
              <w:spacing w:after="0"/>
              <w:rPr>
                <w:sz w:val="20"/>
                <w:szCs w:val="20"/>
                <w:color w:val="auto"/>
              </w:rPr>
            </w:pPr>
            <w:r>
              <w:rPr>
                <w:rFonts w:ascii="Arial" w:cs="Arial" w:eastAsia="Arial" w:hAnsi="Arial"/>
                <w:sz w:val="11"/>
                <w:szCs w:val="11"/>
                <w:color w:val="auto"/>
              </w:rPr>
              <w:t>(7,955 )</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(8,253 )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(16,208 )</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Other comprehensive loss</w:t>
            </w:r>
          </w:p>
        </w:tc>
        <w:tc>
          <w:tcPr>
            <w:tcW w:w="8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(57 )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(61 )</w:t>
            </w:r>
          </w:p>
        </w:tc>
        <w:tc>
          <w:tcPr>
            <w:tcW w:w="80" w:type="dxa"/>
            <w:vAlign w:val="bottom"/>
          </w:tcPr>
          <w:p>
            <w:pPr>
              <w:spacing w:after="0"/>
              <w:rPr>
                <w:sz w:val="11"/>
                <w:szCs w:val="11"/>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(118 )</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Balance at September 30, 2022</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24,720</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77"/>
              </w:rPr>
              <w:t>24,639</w:t>
            </w:r>
          </w:p>
        </w:tc>
        <w:tc>
          <w:tcPr>
            <w:tcW w:w="300" w:type="dxa"/>
            <w:vAlign w:val="bottom"/>
            <w:tcBorders>
              <w:left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72,379</w:t>
            </w: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left w:val="single" w:sz="8" w:color="CFF0FC"/>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(30,133</w:t>
            </w:r>
          </w:p>
        </w:tc>
        <w:tc>
          <w:tcPr>
            <w:tcW w:w="220" w:type="dxa"/>
            <w:vAlign w:val="bottom"/>
            <w:tcBorders>
              <w:bottom w:val="single" w:sz="8" w:color="CFF0FC"/>
              <w:right w:val="single" w:sz="8" w:color="CFF0FC"/>
            </w:tcBorders>
            <w:shd w:val="clear" w:color="auto" w:fill="CFF0FC"/>
          </w:tcPr>
          <w:p>
            <w:pPr>
              <w:jc w:val="right"/>
              <w:ind w:right="178"/>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44,413</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86,607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8"/>
              </w:rPr>
              <w:t>Class A Common Stock</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w w:val="83"/>
              </w:rPr>
              <w:t>Class B Common Stock</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right w:val="single" w:sz="8" w:color="auto"/>
            </w:tcBorders>
            <w:gridSpan w:val="3"/>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Convertible</w:t>
            </w:r>
          </w:p>
        </w:tc>
        <w:tc>
          <w:tcPr>
            <w:tcW w:w="60" w:type="dxa"/>
            <w:vAlign w:val="bottom"/>
          </w:tcPr>
          <w:p>
            <w:pPr>
              <w:spacing w:after="0"/>
              <w:rPr>
                <w:sz w:val="8"/>
                <w:szCs w:val="8"/>
                <w:color w:val="auto"/>
              </w:rPr>
            </w:pPr>
          </w:p>
        </w:tc>
        <w:tc>
          <w:tcPr>
            <w:tcW w:w="680" w:type="dxa"/>
            <w:vAlign w:val="bottom"/>
            <w:gridSpan w:val="4"/>
            <w:vMerge w:val="restart"/>
          </w:tcPr>
          <w:p>
            <w:pPr>
              <w:jc w:val="right"/>
              <w:ind w:right="166"/>
              <w:spacing w:after="0"/>
              <w:rPr>
                <w:sz w:val="20"/>
                <w:szCs w:val="20"/>
                <w:color w:val="auto"/>
              </w:rPr>
            </w:pPr>
            <w:r>
              <w:rPr>
                <w:rFonts w:ascii="Arial" w:cs="Arial" w:eastAsia="Arial" w:hAnsi="Arial"/>
                <w:sz w:val="11"/>
                <w:szCs w:val="11"/>
                <w:b w:val="1"/>
                <w:bCs w:val="1"/>
                <w:color w:val="auto"/>
                <w:w w:val="85"/>
              </w:rPr>
              <w:t>Members’</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4"/>
          </w:tcPr>
          <w:p>
            <w:pPr>
              <w:jc w:val="center"/>
              <w:ind w:right="200"/>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8"/>
                <w:szCs w:val="8"/>
                <w:color w:val="auto"/>
              </w:rPr>
            </w:pPr>
          </w:p>
        </w:tc>
        <w:tc>
          <w:tcPr>
            <w:tcW w:w="940" w:type="dxa"/>
            <w:vAlign w:val="bottom"/>
            <w:gridSpan w:val="2"/>
            <w:vMerge w:val="restart"/>
          </w:tcPr>
          <w:p>
            <w:pPr>
              <w:jc w:val="right"/>
              <w:ind w:right="298"/>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8"/>
                <w:szCs w:val="8"/>
                <w:color w:val="auto"/>
              </w:rPr>
            </w:pPr>
          </w:p>
        </w:tc>
        <w:tc>
          <w:tcPr>
            <w:tcW w:w="860" w:type="dxa"/>
            <w:vAlign w:val="bottom"/>
            <w:gridSpan w:val="2"/>
          </w:tcPr>
          <w:p>
            <w:pPr>
              <w:jc w:val="center"/>
              <w:ind w:right="280"/>
              <w:spacing w:after="0" w:line="95" w:lineRule="exact"/>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8"/>
                <w:szCs w:val="8"/>
                <w:color w:val="auto"/>
              </w:rPr>
            </w:pPr>
          </w:p>
        </w:tc>
        <w:tc>
          <w:tcPr>
            <w:tcW w:w="1140" w:type="dxa"/>
            <w:vAlign w:val="bottom"/>
            <w:gridSpan w:val="2"/>
          </w:tcPr>
          <w:p>
            <w:pPr>
              <w:jc w:val="center"/>
              <w:ind w:right="162"/>
              <w:spacing w:after="0" w:line="95" w:lineRule="exact"/>
              <w:rPr>
                <w:sz w:val="20"/>
                <w:szCs w:val="20"/>
                <w:color w:val="auto"/>
              </w:rPr>
            </w:pPr>
            <w:r>
              <w:rPr>
                <w:rFonts w:ascii="Arial" w:cs="Arial" w:eastAsia="Arial" w:hAnsi="Arial"/>
                <w:sz w:val="10"/>
                <w:szCs w:val="10"/>
                <w:b w:val="1"/>
                <w:bCs w:val="1"/>
                <w:color w:val="auto"/>
                <w:w w:val="97"/>
              </w:rPr>
              <w:t>Total Stockholders'</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right w:val="single" w:sz="8" w:color="auto"/>
            </w:tcBorders>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9"/>
              </w:rPr>
              <w:t>Preferred</w:t>
            </w: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4"/>
              </w:rPr>
              <w:t>Paid In</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1"/>
              </w:rPr>
              <w:t>Controlling</w:t>
            </w:r>
          </w:p>
        </w:tc>
        <w:tc>
          <w:tcPr>
            <w:tcW w:w="80" w:type="dxa"/>
            <w:vAlign w:val="bottom"/>
          </w:tcPr>
          <w:p>
            <w:pPr>
              <w:spacing w:after="0"/>
              <w:rPr>
                <w:sz w:val="9"/>
                <w:szCs w:val="9"/>
                <w:color w:val="auto"/>
              </w:rPr>
            </w:pPr>
          </w:p>
        </w:tc>
        <w:tc>
          <w:tcPr>
            <w:tcW w:w="1140" w:type="dxa"/>
            <w:vAlign w:val="bottom"/>
            <w:gridSpan w:val="2"/>
          </w:tcPr>
          <w:p>
            <w:pPr>
              <w:jc w:val="center"/>
              <w:ind w:right="162"/>
              <w:spacing w:after="0" w:line="108" w:lineRule="exact"/>
              <w:rPr>
                <w:sz w:val="20"/>
                <w:szCs w:val="20"/>
                <w:color w:val="auto"/>
              </w:rPr>
            </w:pPr>
            <w:r>
              <w:rPr>
                <w:rFonts w:ascii="Arial" w:cs="Arial" w:eastAsia="Arial" w:hAnsi="Arial"/>
                <w:sz w:val="11"/>
                <w:szCs w:val="11"/>
                <w:b w:val="1"/>
                <w:bCs w:val="1"/>
                <w:color w:val="auto"/>
                <w:w w:val="93"/>
              </w:rPr>
              <w:t>Equity/Members'</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4"/>
              </w:rPr>
              <w:t>Units</w:t>
            </w:r>
          </w:p>
        </w:tc>
        <w:tc>
          <w:tcPr>
            <w:tcW w:w="60" w:type="dxa"/>
            <w:vAlign w:val="bottom"/>
          </w:tcPr>
          <w:p>
            <w:pPr>
              <w:spacing w:after="0"/>
              <w:rPr>
                <w:sz w:val="13"/>
                <w:szCs w:val="13"/>
                <w:color w:val="auto"/>
              </w:rPr>
            </w:pPr>
          </w:p>
        </w:tc>
        <w:tc>
          <w:tcPr>
            <w:tcW w:w="68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rPr>
              <w:t>Deficit</w:t>
            </w:r>
          </w:p>
        </w:tc>
        <w:tc>
          <w:tcPr>
            <w:tcW w:w="6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88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540" w:type="dxa"/>
            <w:vAlign w:val="bottom"/>
            <w:gridSpan w:val="3"/>
          </w:tcPr>
          <w:p>
            <w:pPr>
              <w:jc w:val="right"/>
              <w:ind w:right="27"/>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940" w:type="dxa"/>
            <w:vAlign w:val="bottom"/>
            <w:gridSpan w:val="2"/>
          </w:tcPr>
          <w:p>
            <w:pPr>
              <w:jc w:val="right"/>
              <w:ind w:right="43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3"/>
                <w:szCs w:val="13"/>
                <w:color w:val="auto"/>
              </w:rPr>
            </w:pPr>
          </w:p>
        </w:tc>
        <w:tc>
          <w:tcPr>
            <w:tcW w:w="1140" w:type="dxa"/>
            <w:vAlign w:val="bottom"/>
            <w:gridSpan w:val="2"/>
          </w:tcPr>
          <w:p>
            <w:pPr>
              <w:jc w:val="right"/>
              <w:ind w:right="442"/>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96"/>
        </w:trPr>
        <w:tc>
          <w:tcPr>
            <w:tcW w:w="2240" w:type="dxa"/>
            <w:vAlign w:val="bottom"/>
            <w:tcBorders>
              <w:top w:val="single" w:sz="8" w:color="auto"/>
            </w:tcBorders>
          </w:tcPr>
          <w:p>
            <w:pPr>
              <w:ind w:left="40"/>
              <w:spacing w:after="0" w:line="96" w:lineRule="exact"/>
              <w:rPr>
                <w:sz w:val="20"/>
                <w:szCs w:val="20"/>
                <w:color w:val="auto"/>
              </w:rPr>
            </w:pPr>
            <w:r>
              <w:rPr>
                <w:rFonts w:ascii="Arial" w:cs="Arial" w:eastAsia="Arial" w:hAnsi="Arial"/>
                <w:sz w:val="11"/>
                <w:szCs w:val="11"/>
                <w:b w:val="1"/>
                <w:bCs w:val="1"/>
                <w:i w:val="1"/>
                <w:iCs w:val="1"/>
                <w:color w:val="auto"/>
                <w:w w:val="93"/>
              </w:rPr>
              <w:t>Activity prior to initial public offering ("IPO")</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and related Organizational Transactions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Balance at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184,714</w:t>
            </w:r>
          </w:p>
        </w:tc>
        <w:tc>
          <w:tcPr>
            <w:tcW w:w="16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right w:val="single" w:sz="8" w:color="CFF0FC"/>
            </w:tcBorders>
            <w:gridSpan w:val="4"/>
            <w:shd w:val="clear" w:color="auto" w:fill="CFF0FC"/>
          </w:tcPr>
          <w:p>
            <w:pPr>
              <w:jc w:val="right"/>
              <w:ind w:right="26"/>
              <w:spacing w:after="0"/>
              <w:rPr>
                <w:sz w:val="20"/>
                <w:szCs w:val="20"/>
                <w:color w:val="auto"/>
              </w:rPr>
            </w:pPr>
            <w:r>
              <w:rPr>
                <w:rFonts w:ascii="Arial" w:cs="Arial" w:eastAsia="Arial" w:hAnsi="Arial"/>
                <w:sz w:val="11"/>
                <w:szCs w:val="11"/>
                <w:color w:val="auto"/>
              </w:rPr>
              <w:t>(113,339 )</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w w:val="97"/>
              </w:rPr>
              <w:t>$</w:t>
            </w: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(113,339 )</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Issuance of Series E preferred units</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6,320</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Exercise of warrant for common units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gridSpan w:val="2"/>
          </w:tcPr>
          <w:p>
            <w:pPr>
              <w:ind w:left="20"/>
              <w:spacing w:after="0" w:line="99" w:lineRule="exact"/>
              <w:rPr>
                <w:sz w:val="20"/>
                <w:szCs w:val="20"/>
                <w:color w:val="auto"/>
              </w:rPr>
            </w:pPr>
            <w:r>
              <w:rPr>
                <w:rFonts w:ascii="Arial" w:cs="Arial" w:eastAsia="Arial" w:hAnsi="Arial"/>
                <w:sz w:val="11"/>
                <w:szCs w:val="11"/>
                <w:color w:val="auto"/>
                <w:w w:val="96"/>
              </w:rPr>
              <w:t>Equity-based compensation from secondary sales</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transactions</w:t>
            </w: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453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(5,598 )</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(5,598 )</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Balance at March 31, 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191,034</w:t>
            </w:r>
          </w:p>
        </w:tc>
        <w:tc>
          <w:tcPr>
            <w:tcW w:w="160" w:type="dxa"/>
            <w:vAlign w:val="bottom"/>
            <w:tcBorders>
              <w:right w:val="single" w:sz="8" w:color="auto"/>
            </w:tcBorders>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4"/>
          </w:tcPr>
          <w:p>
            <w:pPr>
              <w:jc w:val="right"/>
              <w:ind w:right="26"/>
              <w:spacing w:after="0"/>
              <w:rPr>
                <w:sz w:val="20"/>
                <w:szCs w:val="20"/>
                <w:color w:val="auto"/>
              </w:rPr>
            </w:pPr>
            <w:r>
              <w:rPr>
                <w:rFonts w:ascii="Arial" w:cs="Arial" w:eastAsia="Arial" w:hAnsi="Arial"/>
                <w:sz w:val="11"/>
                <w:szCs w:val="11"/>
                <w:color w:val="auto"/>
              </w:rPr>
              <w:t>(118,471 )</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240"/>
              <w:spacing w:after="0"/>
              <w:rPr>
                <w:sz w:val="20"/>
                <w:szCs w:val="20"/>
                <w:color w:val="auto"/>
              </w:rPr>
            </w:pPr>
            <w:r>
              <w:rPr>
                <w:rFonts w:ascii="Arial" w:cs="Arial" w:eastAsia="Arial" w:hAnsi="Arial"/>
                <w:sz w:val="11"/>
                <w:szCs w:val="11"/>
                <w:color w:val="auto"/>
                <w:w w:val="97"/>
              </w:rPr>
              <w:t>$</w:t>
            </w: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(118,471 )</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w:t>
            </w:r>
          </w:p>
        </w:tc>
        <w:tc>
          <w:tcPr>
            <w:tcW w:w="1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6"/>
              <w:spacing w:after="0"/>
              <w:rPr>
                <w:sz w:val="20"/>
                <w:szCs w:val="20"/>
                <w:color w:val="auto"/>
              </w:rPr>
            </w:pPr>
            <w:r>
              <w:rPr>
                <w:rFonts w:ascii="Arial" w:cs="Arial" w:eastAsia="Arial" w:hAnsi="Arial"/>
                <w:sz w:val="11"/>
                <w:szCs w:val="11"/>
                <w:color w:val="auto"/>
              </w:rPr>
              <w:t>(5,485 )</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(5,485 )</w:t>
            </w:r>
          </w:p>
        </w:tc>
        <w:tc>
          <w:tcPr>
            <w:tcW w:w="0" w:type="dxa"/>
            <w:vAlign w:val="bottom"/>
          </w:tcPr>
          <w:p>
            <w:pPr>
              <w:spacing w:after="0"/>
              <w:rPr>
                <w:sz w:val="1"/>
                <w:szCs w:val="1"/>
                <w:color w:val="auto"/>
              </w:rPr>
            </w:pPr>
          </w:p>
        </w:tc>
      </w:tr>
      <w:tr>
        <w:trPr>
          <w:trHeight w:val="129"/>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Balance at June 30, 2021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191,034</w:t>
            </w:r>
          </w:p>
        </w:tc>
        <w:tc>
          <w:tcPr>
            <w:tcW w:w="160" w:type="dxa"/>
            <w:vAlign w:val="bottom"/>
            <w:tcBorders>
              <w:right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(123,674</w:t>
            </w:r>
          </w:p>
        </w:tc>
        <w:tc>
          <w:tcPr>
            <w:tcW w:w="1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300" w:type="dxa"/>
            <w:vAlign w:val="bottom"/>
            <w:tcBorders>
              <w:top w:val="single" w:sz="8" w:color="auto"/>
              <w:left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w w:val="97"/>
              </w:rPr>
              <w:t>$</w:t>
            </w:r>
          </w:p>
        </w:tc>
        <w:tc>
          <w:tcPr>
            <w:tcW w:w="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right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(123,674</w:t>
            </w:r>
          </w:p>
        </w:tc>
        <w:tc>
          <w:tcPr>
            <w:tcW w:w="100" w:type="dxa"/>
            <w:vAlign w:val="bottom"/>
            <w:shd w:val="clear" w:color="auto" w:fill="CFF0FC"/>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89"/>
              </w:rPr>
              <w:t>17,042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17,042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Exercise of warrant for common units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Settlement of preferred unit warrant liability</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691</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gridSpan w:val="2"/>
            <w:shd w:val="clear" w:color="auto" w:fill="CFF0FC"/>
          </w:tcPr>
          <w:p>
            <w:pPr>
              <w:jc w:val="right"/>
              <w:ind w:right="26"/>
              <w:spacing w:after="0"/>
              <w:rPr>
                <w:sz w:val="20"/>
                <w:szCs w:val="20"/>
                <w:color w:val="auto"/>
              </w:rPr>
            </w:pPr>
            <w:r>
              <w:rPr>
                <w:rFonts w:ascii="Arial" w:cs="Arial" w:eastAsia="Arial" w:hAnsi="Arial"/>
                <w:sz w:val="11"/>
                <w:szCs w:val="11"/>
                <w:color w:val="auto"/>
                <w:w w:val="86"/>
              </w:rPr>
              <w:t>(20,644 )</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(20,644 )</w:t>
            </w:r>
          </w:p>
        </w:tc>
        <w:tc>
          <w:tcPr>
            <w:tcW w:w="0" w:type="dxa"/>
            <w:vAlign w:val="bottom"/>
          </w:tcPr>
          <w:p>
            <w:pPr>
              <w:spacing w:after="0"/>
              <w:rPr>
                <w:sz w:val="1"/>
                <w:szCs w:val="1"/>
                <w:color w:val="auto"/>
              </w:rPr>
            </w:pPr>
          </w:p>
        </w:tc>
      </w:tr>
      <w:tr>
        <w:trPr>
          <w:trHeight w:val="98"/>
        </w:trPr>
        <w:tc>
          <w:tcPr>
            <w:tcW w:w="2380" w:type="dxa"/>
            <w:vAlign w:val="bottom"/>
            <w:gridSpan w:val="2"/>
          </w:tcPr>
          <w:p>
            <w:pPr>
              <w:ind w:left="40"/>
              <w:spacing w:after="0" w:line="99" w:lineRule="exact"/>
              <w:rPr>
                <w:sz w:val="20"/>
                <w:szCs w:val="20"/>
                <w:color w:val="auto"/>
              </w:rPr>
            </w:pPr>
            <w:r>
              <w:rPr>
                <w:rFonts w:ascii="Arial" w:cs="Arial" w:eastAsia="Arial" w:hAnsi="Arial"/>
                <w:sz w:val="11"/>
                <w:szCs w:val="11"/>
                <w:b w:val="1"/>
                <w:bCs w:val="1"/>
                <w:i w:val="1"/>
                <w:iCs w:val="1"/>
                <w:color w:val="auto"/>
                <w:w w:val="99"/>
              </w:rPr>
              <w:t>Effects of the IPO and related Organizational</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Transactions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Effects of Organizational Transactions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(191,725 )</w:t>
            </w:r>
          </w:p>
        </w:tc>
        <w:tc>
          <w:tcPr>
            <w:tcW w:w="6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127,263</w:t>
            </w:r>
          </w:p>
        </w:tc>
        <w:tc>
          <w:tcPr>
            <w:tcW w:w="140" w:type="dxa"/>
            <w:vAlign w:val="bottom"/>
            <w:tcBorders>
              <w:right w:val="single" w:sz="8" w:color="CFF0FC"/>
            </w:tcBorders>
            <w:shd w:val="clear" w:color="auto" w:fill="CFF0FC"/>
          </w:tcPr>
          <w:p>
            <w:pPr>
              <w:spacing w:after="0"/>
              <w:rPr>
                <w:sz w:val="11"/>
                <w:szCs w:val="11"/>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12,048</w:t>
            </w:r>
          </w:p>
        </w:tc>
        <w:tc>
          <w:tcPr>
            <w:tcW w:w="240" w:type="dxa"/>
            <w:vAlign w:val="bottom"/>
            <w:shd w:val="clear" w:color="auto" w:fill="CFF0FC"/>
          </w:tcPr>
          <w:p>
            <w:pPr>
              <w:spacing w:after="0"/>
              <w:rPr>
                <w:sz w:val="11"/>
                <w:szCs w:val="11"/>
                <w:color w:val="auto"/>
              </w:rPr>
            </w:pP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29,290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18,106</w:t>
            </w: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46,352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191,725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gridSpan w:val="2"/>
          </w:tcPr>
          <w:p>
            <w:pPr>
              <w:ind w:left="20"/>
              <w:spacing w:after="0" w:line="99" w:lineRule="exact"/>
              <w:rPr>
                <w:sz w:val="20"/>
                <w:szCs w:val="20"/>
                <w:color w:val="auto"/>
              </w:rPr>
            </w:pPr>
            <w:r>
              <w:rPr>
                <w:rFonts w:ascii="Arial" w:cs="Arial" w:eastAsia="Arial" w:hAnsi="Arial"/>
                <w:sz w:val="11"/>
                <w:szCs w:val="11"/>
                <w:color w:val="auto"/>
                <w:w w:val="97"/>
              </w:rPr>
              <w:t>Issuance of Class A common stock in connection</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with the IPO, net of issuance costs of $10,686</w:t>
            </w: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7,667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73,647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73,648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380" w:type="dxa"/>
            <w:vAlign w:val="bottom"/>
            <w:gridSpan w:val="2"/>
            <w:shd w:val="clear" w:color="auto" w:fill="CFF0FC"/>
          </w:tcPr>
          <w:p>
            <w:pPr>
              <w:ind w:left="20"/>
              <w:spacing w:after="0" w:line="103" w:lineRule="exact"/>
              <w:rPr>
                <w:sz w:val="20"/>
                <w:szCs w:val="20"/>
                <w:color w:val="auto"/>
              </w:rPr>
            </w:pPr>
            <w:r>
              <w:rPr>
                <w:rFonts w:ascii="Arial" w:cs="Arial" w:eastAsia="Arial" w:hAnsi="Arial"/>
                <w:sz w:val="11"/>
                <w:szCs w:val="11"/>
                <w:color w:val="auto"/>
                <w:w w:val="99"/>
              </w:rPr>
              <w:t>Non-controlling interest adjustment for purchase</w:t>
            </w: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6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0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tcBorders>
              <w:left w:val="single" w:sz="8" w:color="CFF0FC"/>
            </w:tcBorders>
            <w:shd w:val="clear" w:color="auto" w:fill="CFF0FC"/>
          </w:tcPr>
          <w:p>
            <w:pPr>
              <w:spacing w:after="0"/>
              <w:rPr>
                <w:sz w:val="8"/>
                <w:szCs w:val="8"/>
                <w:color w:val="auto"/>
              </w:rPr>
            </w:pPr>
          </w:p>
        </w:tc>
        <w:tc>
          <w:tcPr>
            <w:tcW w:w="72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8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1"/>
                <w:szCs w:val="11"/>
                <w:color w:val="auto"/>
              </w:rPr>
              <w:t>of newly issued Class A units of Rani LLC with</w:t>
            </w: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proceeds from the IPO</w:t>
            </w:r>
          </w:p>
        </w:tc>
        <w:tc>
          <w:tcPr>
            <w:tcW w:w="80" w:type="dxa"/>
            <w:vAlign w:val="bottom"/>
            <w:shd w:val="clear" w:color="auto" w:fill="CFF0FC"/>
          </w:tcPr>
          <w:p>
            <w:pPr>
              <w:spacing w:after="0"/>
              <w:rPr>
                <w:sz w:val="13"/>
                <w:szCs w:val="13"/>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(37,895 )</w:t>
            </w:r>
          </w:p>
        </w:tc>
        <w:tc>
          <w:tcPr>
            <w:tcW w:w="120" w:type="dxa"/>
            <w:vAlign w:val="bottom"/>
            <w:tcBorders>
              <w:left w:val="single" w:sz="8" w:color="CFF0FC"/>
            </w:tcBorders>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38"/>
              <w:spacing w:after="0"/>
              <w:rPr>
                <w:sz w:val="20"/>
                <w:szCs w:val="20"/>
                <w:color w:val="auto"/>
              </w:rPr>
            </w:pPr>
            <w:r>
              <w:rPr>
                <w:rFonts w:ascii="Arial" w:cs="Arial" w:eastAsia="Arial" w:hAnsi="Arial"/>
                <w:sz w:val="11"/>
                <w:szCs w:val="11"/>
                <w:color w:val="auto"/>
              </w:rPr>
              <w:t>(149 )</w:t>
            </w:r>
          </w:p>
        </w:tc>
        <w:tc>
          <w:tcPr>
            <w:tcW w:w="8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(233 )</w:t>
            </w:r>
          </w:p>
        </w:tc>
        <w:tc>
          <w:tcPr>
            <w:tcW w:w="80" w:type="dxa"/>
            <w:vAlign w:val="bottom"/>
          </w:tcPr>
          <w:p>
            <w:pPr>
              <w:spacing w:after="0"/>
              <w:rPr>
                <w:sz w:val="11"/>
                <w:szCs w:val="11"/>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(382 )</w:t>
            </w:r>
          </w:p>
        </w:tc>
        <w:tc>
          <w:tcPr>
            <w:tcW w:w="0" w:type="dxa"/>
            <w:vAlign w:val="bottom"/>
          </w:tcPr>
          <w:p>
            <w:pPr>
              <w:spacing w:after="0"/>
              <w:rPr>
                <w:sz w:val="1"/>
                <w:szCs w:val="1"/>
                <w:color w:val="auto"/>
              </w:rPr>
            </w:pPr>
          </w:p>
        </w:tc>
      </w:tr>
      <w:tr>
        <w:trPr>
          <w:trHeight w:val="98"/>
        </w:trPr>
        <w:tc>
          <w:tcPr>
            <w:tcW w:w="2380" w:type="dxa"/>
            <w:vAlign w:val="bottom"/>
            <w:gridSpan w:val="2"/>
            <w:shd w:val="clear" w:color="auto" w:fill="CFF0FC"/>
          </w:tcPr>
          <w:p>
            <w:pPr>
              <w:ind w:left="40"/>
              <w:spacing w:after="0" w:line="99" w:lineRule="exact"/>
              <w:rPr>
                <w:sz w:val="20"/>
                <w:szCs w:val="20"/>
                <w:color w:val="auto"/>
              </w:rPr>
            </w:pPr>
            <w:r>
              <w:rPr>
                <w:rFonts w:ascii="Arial" w:cs="Arial" w:eastAsia="Arial" w:hAnsi="Arial"/>
                <w:sz w:val="11"/>
                <w:szCs w:val="11"/>
                <w:b w:val="1"/>
                <w:bCs w:val="1"/>
                <w:i w:val="1"/>
                <w:iCs w:val="1"/>
                <w:color w:val="auto"/>
              </w:rPr>
              <w:t>Activity subsequent to the IPO and related</w:t>
            </w: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6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0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tcBorders>
              <w:left w:val="single" w:sz="8" w:color="CFF0FC"/>
            </w:tcBorders>
            <w:shd w:val="clear" w:color="auto" w:fill="CFF0FC"/>
          </w:tcPr>
          <w:p>
            <w:pPr>
              <w:spacing w:after="0"/>
              <w:rPr>
                <w:sz w:val="8"/>
                <w:szCs w:val="8"/>
                <w:color w:val="auto"/>
              </w:rPr>
            </w:pPr>
          </w:p>
        </w:tc>
        <w:tc>
          <w:tcPr>
            <w:tcW w:w="72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i w:val="1"/>
                <w:iCs w:val="1"/>
                <w:color w:val="auto"/>
              </w:rPr>
              <w:t>Organizational Transactions</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720" w:type="dxa"/>
            <w:vAlign w:val="bottom"/>
            <w:tcBorders>
              <w:bottom w:val="single" w:sz="8" w:color="CFF0FC"/>
              <w:right w:val="single" w:sz="8" w:color="CFF0FC"/>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646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1,010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Forfeiture of restricted stock awards</w:t>
            </w:r>
          </w:p>
        </w:tc>
        <w:tc>
          <w:tcPr>
            <w:tcW w:w="8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FF0FC"/>
          </w:tcPr>
          <w:p>
            <w:pPr>
              <w:jc w:val="right"/>
              <w:ind w:right="126"/>
              <w:spacing w:after="0"/>
              <w:rPr>
                <w:sz w:val="20"/>
                <w:szCs w:val="20"/>
                <w:color w:val="auto"/>
              </w:rPr>
            </w:pPr>
            <w:r>
              <w:rPr>
                <w:rFonts w:ascii="Arial" w:cs="Arial" w:eastAsia="Arial" w:hAnsi="Arial"/>
                <w:sz w:val="11"/>
                <w:szCs w:val="11"/>
                <w:color w:val="auto"/>
              </w:rPr>
              <w:t>(3 )</w:t>
            </w:r>
          </w:p>
        </w:tc>
        <w:tc>
          <w:tcPr>
            <w:tcW w:w="3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(1 )</w:t>
            </w:r>
          </w:p>
        </w:tc>
        <w:tc>
          <w:tcPr>
            <w:tcW w:w="120" w:type="dxa"/>
            <w:vAlign w:val="bottom"/>
            <w:tcBorders>
              <w:left w:val="single" w:sz="8" w:color="CFF0FC"/>
            </w:tcBorders>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98"/>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(1 )</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rPr>
                <w:sz w:val="20"/>
                <w:szCs w:val="20"/>
                <w:color w:val="auto"/>
              </w:rPr>
            </w:pPr>
            <w:r>
              <w:rPr>
                <w:rFonts w:ascii="Arial" w:cs="Arial" w:eastAsia="Arial" w:hAnsi="Arial"/>
                <w:sz w:val="11"/>
                <w:szCs w:val="11"/>
                <w:color w:val="auto"/>
              </w:rPr>
              <w:t>Net loss</w:t>
            </w: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38"/>
              <w:spacing w:after="0"/>
              <w:rPr>
                <w:sz w:val="20"/>
                <w:szCs w:val="20"/>
                <w:color w:val="auto"/>
              </w:rPr>
            </w:pPr>
            <w:r>
              <w:rPr>
                <w:rFonts w:ascii="Arial" w:cs="Arial" w:eastAsia="Arial" w:hAnsi="Arial"/>
                <w:sz w:val="11"/>
                <w:szCs w:val="11"/>
                <w:color w:val="auto"/>
              </w:rPr>
              <w:t>(2,993 )</w:t>
            </w:r>
          </w:p>
        </w:tc>
        <w:tc>
          <w:tcPr>
            <w:tcW w:w="8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(4,681 )</w:t>
            </w:r>
          </w:p>
        </w:tc>
        <w:tc>
          <w:tcPr>
            <w:tcW w:w="80" w:type="dxa"/>
            <w:vAlign w:val="bottom"/>
          </w:tcPr>
          <w:p>
            <w:pPr>
              <w:spacing w:after="0"/>
              <w:rPr>
                <w:sz w:val="11"/>
                <w:szCs w:val="11"/>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1"/>
                <w:szCs w:val="11"/>
                <w:color w:val="auto"/>
              </w:rPr>
              <w:t>(7,674 )</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Balance at September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19,712</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left w:val="single" w:sz="8" w:color="CFF0FC"/>
              <w:bottom w:val="single" w:sz="8" w:color="auto"/>
            </w:tcBorders>
            <w:shd w:val="clear" w:color="auto" w:fill="CFF0FC"/>
          </w:tcPr>
          <w:p>
            <w:pPr>
              <w:jc w:val="right"/>
              <w:ind w:right="166"/>
              <w:spacing w:after="0"/>
              <w:rPr>
                <w:sz w:val="20"/>
                <w:szCs w:val="20"/>
                <w:color w:val="auto"/>
              </w:rPr>
            </w:pPr>
            <w:r>
              <w:rPr>
                <w:rFonts w:ascii="Arial" w:cs="Arial" w:eastAsia="Arial" w:hAnsi="Arial"/>
                <w:sz w:val="11"/>
                <w:szCs w:val="11"/>
                <w:color w:val="auto"/>
                <w:w w:val="97"/>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29,290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54,503</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(3,142</w:t>
            </w:r>
          </w:p>
        </w:tc>
        <w:tc>
          <w:tcPr>
            <w:tcW w:w="220" w:type="dxa"/>
            <w:vAlign w:val="bottom"/>
            <w:tcBorders>
              <w:bottom w:val="single" w:sz="8" w:color="CFF0FC"/>
              <w:right w:val="single" w:sz="8" w:color="CFF0FC"/>
            </w:tcBorders>
            <w:shd w:val="clear" w:color="auto" w:fill="CFF0FC"/>
          </w:tcPr>
          <w:p>
            <w:pPr>
              <w:jc w:val="right"/>
              <w:ind w:right="138"/>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80,342</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131,708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-4919980</wp:posOffset>
            </wp:positionV>
            <wp:extent cx="76835"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-4919980</wp:posOffset>
            </wp:positionV>
            <wp:extent cx="7747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-4919980</wp:posOffset>
            </wp:positionV>
            <wp:extent cx="76835"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-4919980</wp:posOffset>
            </wp:positionV>
            <wp:extent cx="6858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-4919980</wp:posOffset>
            </wp:positionV>
            <wp:extent cx="6858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-4919980</wp:posOffset>
            </wp:positionV>
            <wp:extent cx="6858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-4919980</wp:posOffset>
            </wp:positionV>
            <wp:extent cx="6858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-4919980</wp:posOffset>
            </wp:positionV>
            <wp:extent cx="6858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-4242435</wp:posOffset>
            </wp:positionV>
            <wp:extent cx="76835"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-4242435</wp:posOffset>
            </wp:positionV>
            <wp:extent cx="7747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-4242435</wp:posOffset>
            </wp:positionV>
            <wp:extent cx="76835"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-4242435</wp:posOffset>
            </wp:positionV>
            <wp:extent cx="6858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-4242435</wp:posOffset>
            </wp:positionV>
            <wp:extent cx="6858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-4242435</wp:posOffset>
            </wp:positionV>
            <wp:extent cx="6858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-4242435</wp:posOffset>
            </wp:positionV>
            <wp:extent cx="6858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-4242435</wp:posOffset>
            </wp:positionV>
            <wp:extent cx="6858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-3136900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-3119755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-3136900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-3119755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-3136900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-3119755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-3136900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-3119755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-3136900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-3119755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-3136900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-3119755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-3136900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-3119755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-3136900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-3119755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-1971040</wp:posOffset>
            </wp:positionV>
            <wp:extent cx="76835"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-1971040</wp:posOffset>
            </wp:positionV>
            <wp:extent cx="76835"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-1971040</wp:posOffset>
            </wp:positionV>
            <wp:extent cx="76835"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-1971040</wp:posOffset>
            </wp:positionV>
            <wp:extent cx="77470"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-1971040</wp:posOffset>
            </wp:positionV>
            <wp:extent cx="68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-1971040</wp:posOffset>
            </wp:positionV>
            <wp:extent cx="6858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-1971040</wp:posOffset>
            </wp:positionV>
            <wp:extent cx="6858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-1971040</wp:posOffset>
            </wp:positionV>
            <wp:extent cx="6858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-1971040</wp:posOffset>
            </wp:positionV>
            <wp:extent cx="6858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-24765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392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52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(46,002 )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(39,783 )</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(210 )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Amortization of debt discount and issuance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preferred unit warrant liability</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(2,455 )</w:t>
            </w: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(528 )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party payable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(71 )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(2,717 )</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(31,886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1"/>
              </w:rPr>
              <w:t>(70,890 )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(1,089 )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(235 )</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(71,979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long-term debt and warrants, net of issuance costs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Tax withholdings paid on behalf of employees for net share settlement</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(626 )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Payment of deferred financing costs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(108 )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Class A common stock sold in the IPO, net of issuance costs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issuance of preferred units, net of issuance costs</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exercise of warrants for common units</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the Paycheck Protection Program Loan</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(1,254 )</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Repayment of convertible note</w:t>
            </w:r>
          </w:p>
        </w:tc>
        <w:tc>
          <w:tcPr>
            <w:tcW w:w="96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(3,314 )</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560"/>
              <w:spacing w:after="0"/>
              <w:rPr>
                <w:sz w:val="20"/>
                <w:szCs w:val="20"/>
                <w:color w:val="auto"/>
              </w:rPr>
            </w:pPr>
            <w:r>
              <w:rPr>
                <w:rFonts w:ascii="Arial" w:cs="Arial" w:eastAsia="Arial" w:hAnsi="Arial"/>
                <w:sz w:val="18"/>
                <w:szCs w:val="18"/>
                <w:color w:val="auto"/>
              </w:rPr>
              <w:t>Net (decrease) increase in cash, cash equivalents and restricted cash equivalents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(89,734 )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56,685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117,453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equivalents, end of period</w:t>
            </w:r>
          </w:p>
        </w:tc>
        <w:tc>
          <w:tcPr>
            <w:tcW w:w="96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27,719</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129,743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96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Exchanges of Paired Interests and non-corresponding Class A Units of Rani LLC</w:t>
            </w:r>
          </w:p>
        </w:tc>
        <w:tc>
          <w:tcPr>
            <w:tcW w:w="96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74,790</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Issuance costs deducted from long-term debt proceeds</w:t>
            </w:r>
          </w:p>
        </w:tc>
        <w:tc>
          <w:tcPr>
            <w:tcW w:w="960" w:type="dxa"/>
            <w:vAlign w:val="bottom"/>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928</w:t>
            </w:r>
          </w:p>
        </w:tc>
        <w:tc>
          <w:tcPr>
            <w:tcW w:w="2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96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Deferred financing costs included in prepaid expenses</w:t>
            </w:r>
          </w:p>
        </w:tc>
        <w:tc>
          <w:tcPr>
            <w:tcW w:w="960" w:type="dxa"/>
            <w:vAlign w:val="bottom"/>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260</w:t>
            </w:r>
          </w:p>
        </w:tc>
        <w:tc>
          <w:tcPr>
            <w:tcW w:w="2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financing costs included in accrued expenses</w:t>
            </w:r>
          </w:p>
        </w:tc>
        <w:tc>
          <w:tcPr>
            <w:tcW w:w="96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Issuance costs included in accrued expenses</w:t>
            </w:r>
          </w:p>
        </w:tc>
        <w:tc>
          <w:tcPr>
            <w:tcW w:w="960" w:type="dxa"/>
            <w:vAlign w:val="bottom"/>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 receivable included in prepaid expenses</w:t>
            </w:r>
          </w:p>
        </w:tc>
        <w:tc>
          <w:tcPr>
            <w:tcW w:w="96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Exchange of Class A Units of Rani LLC from the Former LLC Owners</w:t>
            </w:r>
          </w:p>
        </w:tc>
        <w:tc>
          <w:tcPr>
            <w:tcW w:w="960" w:type="dxa"/>
            <w:vAlign w:val="bottom"/>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132,527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Settlement of preferred unit warrant liability</w:t>
            </w:r>
          </w:p>
        </w:tc>
        <w:tc>
          <w:tcPr>
            <w:tcW w:w="96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-4448175</wp:posOffset>
            </wp:positionV>
            <wp:extent cx="6858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-3882390</wp:posOffset>
            </wp:positionV>
            <wp:extent cx="6858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-2219325</wp:posOffset>
            </wp:positionV>
            <wp:extent cx="685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-1936750</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-1327785</wp:posOffset>
            </wp:positionV>
            <wp:extent cx="124333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-1002030</wp:posOffset>
            </wp:positionV>
            <wp:extent cx="124333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-676275</wp:posOffset>
            </wp:positionV>
            <wp:extent cx="124333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124333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60" w:firstLine="1018"/>
        <w:spacing w:after="0" w:line="249" w:lineRule="auto"/>
        <w:rPr>
          <w:sz w:val="20"/>
          <w:szCs w:val="20"/>
          <w:color w:val="auto"/>
        </w:rPr>
      </w:pPr>
      <w:r>
        <w:rPr>
          <w:rFonts w:ascii="Arial" w:cs="Arial" w:eastAsia="Arial" w:hAnsi="Arial"/>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are collectively referred to herein as “Rani” or the “Company.”</w:t>
      </w:r>
    </w:p>
    <w:p>
      <w:pPr>
        <w:spacing w:after="0" w:line="181" w:lineRule="exact"/>
        <w:rPr>
          <w:sz w:val="20"/>
          <w:szCs w:val="20"/>
          <w:color w:val="auto"/>
        </w:rPr>
      </w:pPr>
    </w:p>
    <w:p>
      <w:pPr>
        <w:ind w:right="180" w:firstLine="1018"/>
        <w:spacing w:after="0" w:line="249" w:lineRule="auto"/>
        <w:rPr>
          <w:sz w:val="20"/>
          <w:szCs w:val="20"/>
          <w:color w:val="auto"/>
        </w:rPr>
      </w:pPr>
      <w:r>
        <w:rPr>
          <w:rFonts w:ascii="Arial" w:cs="Arial" w:eastAsia="Arial" w:hAnsi="Arial"/>
          <w:sz w:val="18"/>
          <w:szCs w:val="18"/>
          <w:color w:val="auto"/>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Organizational Transactions</w:t>
      </w:r>
    </w:p>
    <w:p>
      <w:pPr>
        <w:spacing w:after="0" w:line="212" w:lineRule="exact"/>
        <w:rPr>
          <w:sz w:val="20"/>
          <w:szCs w:val="20"/>
          <w:color w:val="auto"/>
        </w:rPr>
      </w:pPr>
    </w:p>
    <w:p>
      <w:pPr>
        <w:ind w:right="80" w:firstLine="1018"/>
        <w:spacing w:after="0" w:line="249" w:lineRule="auto"/>
        <w:rPr>
          <w:sz w:val="20"/>
          <w:szCs w:val="20"/>
          <w:color w:val="auto"/>
        </w:rPr>
      </w:pPr>
      <w:r>
        <w:rPr>
          <w:rFonts w:ascii="Arial" w:cs="Arial" w:eastAsia="Arial" w:hAnsi="Arial"/>
          <w:sz w:val="18"/>
          <w:szCs w:val="18"/>
          <w:color w:val="auto"/>
        </w:rPr>
        <w:t>In August 2021, the Company closed its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IPO, the Company was party to the following organizational transactions (the “Organizational Transactions”):</w:t>
      </w:r>
    </w:p>
    <w:p>
      <w:pPr>
        <w:spacing w:after="0" w:line="115" w:lineRule="exact"/>
        <w:rPr>
          <w:sz w:val="20"/>
          <w:szCs w:val="20"/>
          <w:color w:val="auto"/>
        </w:rPr>
      </w:pPr>
    </w:p>
    <w:p>
      <w:pPr>
        <w:ind w:left="1020" w:right="80" w:hanging="503"/>
        <w:spacing w:after="0" w:line="28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Profits Interests into Class A Units. In connection with the closing of the IPO, each LLC interest was exchanged 1 for 0.5282 as determined and predicated on the initial public offering price of the Company’s Class A common stock;</w:t>
      </w:r>
    </w:p>
    <w:p>
      <w:pPr>
        <w:spacing w:after="0" w:line="62" w:lineRule="exact"/>
        <w:rPr>
          <w:rFonts w:ascii="Arial" w:cs="Arial" w:eastAsia="Arial" w:hAnsi="Arial"/>
          <w:sz w:val="16"/>
          <w:szCs w:val="16"/>
          <w:color w:val="auto"/>
        </w:rPr>
      </w:pPr>
    </w:p>
    <w:p>
      <w:pPr>
        <w:ind w:left="1020" w:right="4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9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Exchanged 12,047,925 shares of Class A common stock for existing Class A Units of Rani LLC held by certain individuals and entities (the “Former LLC Owners”) on a one-for-one basis;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 Registration Rights Agreement with certain of the Continuing LLC Owners.</w:t>
      </w:r>
    </w:p>
    <w:p>
      <w:pPr>
        <w:spacing w:after="0" w:line="212" w:lineRule="exact"/>
        <w:rPr>
          <w:sz w:val="20"/>
          <w:szCs w:val="20"/>
          <w:color w:val="auto"/>
        </w:rPr>
      </w:pPr>
    </w:p>
    <w:p>
      <w:pPr>
        <w:ind w:right="40" w:firstLine="1018"/>
        <w:spacing w:after="0" w:line="280" w:lineRule="auto"/>
        <w:rPr>
          <w:sz w:val="20"/>
          <w:szCs w:val="20"/>
          <w:color w:val="auto"/>
        </w:rPr>
      </w:pPr>
      <w:r>
        <w:rPr>
          <w:rFonts w:ascii="Arial" w:cs="Arial" w:eastAsia="Arial" w:hAnsi="Arial"/>
          <w:sz w:val="16"/>
          <w:szCs w:val="16"/>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September 30, 2022,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The Company has incurred recurring losses since its inception, including net losses of $46.0 million for the nine months ended September 30, 2022. As of September 30, 2022, the Company had an accumulated deficit of $30.1 million and for the nine months ended September 30, 2022 had negative cash flows from operations of $31.9 million. The Company expects to continue to generate operating losses and negative operating cash flows for the foreseeable future as it continues to develop the RaniPill capsule. The Company expects that its cash, cash equivalents, restricted cash equivalents and marketable securities of $98.7 million as of September 30, 2022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such as “at the market offerings ” as defined in Rule 415(a)</w:t>
      </w:r>
    </w:p>
    <w:p>
      <w:pPr>
        <w:spacing w:after="0" w:line="1" w:lineRule="exact"/>
        <w:rPr>
          <w:sz w:val="20"/>
          <w:szCs w:val="20"/>
          <w:color w:val="auto"/>
        </w:rPr>
      </w:pPr>
    </w:p>
    <w:p>
      <w:pPr>
        <w:ind w:right="20" w:firstLine="8"/>
        <w:spacing w:after="0" w:line="278"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the Securities Act,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60" w:lineRule="exact"/>
        <w:rPr>
          <w:sz w:val="20"/>
          <w:szCs w:val="20"/>
          <w:color w:val="auto"/>
        </w:rPr>
      </w:pPr>
    </w:p>
    <w:p>
      <w:pPr>
        <w:ind w:right="60" w:firstLine="1018"/>
        <w:spacing w:after="0" w:line="249" w:lineRule="auto"/>
        <w:rPr>
          <w:sz w:val="20"/>
          <w:szCs w:val="20"/>
          <w:color w:val="auto"/>
        </w:rPr>
      </w:pPr>
      <w:r>
        <w:rPr>
          <w:rFonts w:ascii="Arial" w:cs="Arial" w:eastAsia="Arial" w:hAnsi="Arial"/>
          <w:sz w:val="18"/>
          <w:szCs w:val="18"/>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Market volatility resulting from the novel coronavirus disease (“COVID-19”) pandemic or other factors could also adversely impact the Company’s ability to access capital when and as needed.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80" w:firstLine="1018"/>
        <w:spacing w:after="0" w:line="261"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w:t>
      </w:r>
    </w:p>
    <w:p>
      <w:pPr>
        <w:spacing w:after="0" w:line="171" w:lineRule="exact"/>
        <w:rPr>
          <w:sz w:val="20"/>
          <w:szCs w:val="20"/>
          <w:color w:val="auto"/>
        </w:rPr>
      </w:pPr>
    </w:p>
    <w:p>
      <w:pPr>
        <w:ind w:firstLine="1018"/>
        <w:spacing w:after="0" w:line="290" w:lineRule="auto"/>
        <w:rPr>
          <w:sz w:val="20"/>
          <w:szCs w:val="20"/>
          <w:color w:val="auto"/>
        </w:rPr>
      </w:pPr>
      <w:r>
        <w:rPr>
          <w:rFonts w:ascii="Arial" w:cs="Arial" w:eastAsia="Arial" w:hAnsi="Arial"/>
          <w:sz w:val="16"/>
          <w:szCs w:val="16"/>
          <w:color w:val="auto"/>
        </w:rPr>
        <w:t>The Company operates and controls all of the business and affairs of Rani LLC, and through Rani LLC and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50" w:lineRule="exact"/>
        <w:rPr>
          <w:sz w:val="20"/>
          <w:szCs w:val="20"/>
          <w:color w:val="auto"/>
        </w:rPr>
      </w:pPr>
    </w:p>
    <w:p>
      <w:pPr>
        <w:ind w:right="220" w:firstLine="1018"/>
        <w:spacing w:after="0" w:line="256" w:lineRule="auto"/>
        <w:rPr>
          <w:sz w:val="20"/>
          <w:szCs w:val="20"/>
          <w:color w:val="auto"/>
        </w:rPr>
      </w:pPr>
      <w:r>
        <w:rPr>
          <w:rFonts w:ascii="Arial" w:cs="Arial" w:eastAsia="Arial" w:hAnsi="Arial"/>
          <w:sz w:val="18"/>
          <w:szCs w:val="18"/>
          <w:color w:val="auto"/>
        </w:rPr>
        <w:t>The Organizational Transactions were considered transactions between entities under common control. As a result, the condensed consolidated financial statements for periods prior to the IPO and the Organizational Transactions have been adjusted to combine the previously separate entities for presentation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12" w:lineRule="exact"/>
        <w:rPr>
          <w:sz w:val="20"/>
          <w:szCs w:val="20"/>
          <w:color w:val="auto"/>
        </w:rPr>
      </w:pPr>
    </w:p>
    <w:p>
      <w:pPr>
        <w:ind w:right="260" w:firstLine="1018"/>
        <w:spacing w:after="0" w:line="261"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except for the adoption of the new lease accounting standard. Operating results for the three and nine months ended September 30, 2022 are not necessarily indicative of the results that may be expected for the year ending December 31, 2022 or for any future period.</w:t>
      </w:r>
    </w:p>
    <w:p>
      <w:pPr>
        <w:spacing w:after="0" w:line="172" w:lineRule="exact"/>
        <w:rPr>
          <w:sz w:val="20"/>
          <w:szCs w:val="20"/>
          <w:color w:val="auto"/>
        </w:rPr>
      </w:pPr>
    </w:p>
    <w:p>
      <w:pPr>
        <w:ind w:right="80" w:firstLine="1018"/>
        <w:spacing w:after="0" w:line="290" w:lineRule="auto"/>
        <w:rPr>
          <w:sz w:val="20"/>
          <w:szCs w:val="20"/>
          <w:color w:val="auto"/>
        </w:rPr>
      </w:pPr>
      <w:r>
        <w:rPr>
          <w:rFonts w:ascii="Arial" w:cs="Arial" w:eastAsia="Arial" w:hAnsi="Arial"/>
          <w:sz w:val="16"/>
          <w:szCs w:val="16"/>
          <w:color w:val="auto"/>
        </w:rPr>
        <w:t>The consolidated balance sheet as of December 31, 2021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2021 consolidated financial statements and notes included in the Company’s Annual Report on Form 10-K filed with the SEC on March 31, 2022.</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1018"/>
        <w:spacing w:after="0" w:line="25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Estimates include, but are not limited to equity-based compensation expense, accrued research and development costs, the measurement of right-of-use assets and lease liabilities and related incremental borrowing rate, the fair value of warrants and, until the occurrence of the Company's IPO, the fair value of Profits Interests and preferred unit warrants. Actual results may differ materially and adversely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80" w:firstLine="1018"/>
        <w:spacing w:after="0" w:line="248" w:lineRule="auto"/>
        <w:rPr>
          <w:sz w:val="20"/>
          <w:szCs w:val="20"/>
          <w:color w:val="auto"/>
        </w:rPr>
      </w:pPr>
      <w:r>
        <w:rPr>
          <w:rFonts w:ascii="Arial" w:cs="Arial" w:eastAsia="Arial" w:hAnsi="Arial"/>
          <w:sz w:val="18"/>
          <w:szCs w:val="18"/>
          <w:color w:val="auto"/>
        </w:rPr>
        <w:t>A description of the Company’s significant accounting policies is included in the audited consolidated financial statements within its Annual Report on Form 10-K for the year ended December 31, 2021. Except as noted below, there have been no material changes in the Company’s significant accounting policies during the nine months ended September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12" w:lineRule="exact"/>
        <w:rPr>
          <w:sz w:val="20"/>
          <w:szCs w:val="20"/>
          <w:color w:val="auto"/>
        </w:rPr>
      </w:pPr>
    </w:p>
    <w:p>
      <w:pPr>
        <w:ind w:firstLine="1018"/>
        <w:spacing w:after="0" w:line="290"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50" w:lineRule="exact"/>
        <w:rPr>
          <w:sz w:val="20"/>
          <w:szCs w:val="20"/>
          <w:color w:val="auto"/>
        </w:rPr>
      </w:pPr>
    </w:p>
    <w:p>
      <w:pPr>
        <w:ind w:right="100" w:firstLine="1018"/>
        <w:spacing w:after="0" w:line="249" w:lineRule="auto"/>
        <w:rPr>
          <w:sz w:val="20"/>
          <w:szCs w:val="20"/>
          <w:color w:val="auto"/>
        </w:rPr>
      </w:pPr>
      <w:r>
        <w:rPr>
          <w:rFonts w:ascii="Arial" w:cs="Arial" w:eastAsia="Arial" w:hAnsi="Arial"/>
          <w:sz w:val="18"/>
          <w:szCs w:val="18"/>
          <w:color w:val="auto"/>
        </w:rPr>
        <w:t>In March 2020, the World Health Organization declared the COVID-19 outbreak a pandemic. The extent to which the COVID-19 pandemic will further directly or indirectly impact the Company's results of operation and financial condition has been and will continue to be driven by many factors, most of which are beyond the Company's control and ability to forecast. Because of these uncertainties, the Company cannot estimate how long or to what extent COVID-19 will impact the Company's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 Equivalents</w:t>
      </w:r>
    </w:p>
    <w:p>
      <w:pPr>
        <w:spacing w:after="0" w:line="212" w:lineRule="exact"/>
        <w:rPr>
          <w:sz w:val="20"/>
          <w:szCs w:val="20"/>
          <w:color w:val="auto"/>
        </w:rPr>
      </w:pPr>
    </w:p>
    <w:p>
      <w:pPr>
        <w:ind w:right="100" w:firstLine="1018"/>
        <w:spacing w:after="0" w:line="248" w:lineRule="auto"/>
        <w:rPr>
          <w:sz w:val="20"/>
          <w:szCs w:val="20"/>
          <w:color w:val="auto"/>
        </w:rPr>
      </w:pPr>
      <w:r>
        <w:rPr>
          <w:rFonts w:ascii="Arial" w:cs="Arial" w:eastAsia="Arial" w:hAnsi="Arial"/>
          <w:sz w:val="18"/>
          <w:szCs w:val="18"/>
          <w:color w:val="auto"/>
        </w:rPr>
        <w:t>The Company considers all cash held on deposit and highly liquid investments purchased with original or remaining maturities of less than three months at the date of purchase to be cash equivalents. Restricted cash equivalents consist of cash collateral required by a bank in connection with the Company's commercial credit cards program.</w:t>
      </w:r>
    </w:p>
    <w:p>
      <w:pPr>
        <w:spacing w:after="0" w:line="195" w:lineRule="exact"/>
        <w:rPr>
          <w:sz w:val="20"/>
          <w:szCs w:val="20"/>
          <w:color w:val="auto"/>
        </w:rPr>
      </w:pPr>
    </w:p>
    <w:p>
      <w:pPr>
        <w:ind w:right="80" w:firstLine="101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equivalents reported within the condensed consolidated balance sheet which, in aggregate, represents the amount reported in the condensed consolidated statements of cash flows for the nine months ended September 30, 2022 and 2021:</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As of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27,219</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129,743</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cash equivalents</w:t>
            </w: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ind w:left="100"/>
              <w:spacing w:after="0"/>
              <w:rPr>
                <w:sz w:val="20"/>
                <w:szCs w:val="20"/>
                <w:color w:val="auto"/>
              </w:rPr>
            </w:pPr>
            <w:r>
              <w:rPr>
                <w:rFonts w:ascii="Arial" w:cs="Arial" w:eastAsia="Arial" w:hAnsi="Arial"/>
                <w:sz w:val="18"/>
                <w:szCs w:val="18"/>
                <w:color w:val="auto"/>
              </w:rPr>
              <w:t>Total cash, cash equivalents and restricted cash equivalents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27,719</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129,743</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2" w:lineRule="exact"/>
        <w:rPr>
          <w:sz w:val="20"/>
          <w:szCs w:val="20"/>
          <w:color w:val="auto"/>
        </w:rPr>
      </w:pPr>
    </w:p>
    <w:p>
      <w:pPr>
        <w:ind w:right="100" w:firstLine="1018"/>
        <w:spacing w:after="0" w:line="280" w:lineRule="auto"/>
        <w:rPr>
          <w:sz w:val="20"/>
          <w:szCs w:val="20"/>
          <w:color w:val="auto"/>
        </w:rPr>
      </w:pPr>
      <w:r>
        <w:rPr>
          <w:rFonts w:ascii="Arial" w:cs="Arial" w:eastAsia="Arial" w:hAnsi="Arial"/>
          <w:sz w:val="16"/>
          <w:szCs w:val="16"/>
          <w:color w:val="auto"/>
        </w:rPr>
        <w:t>The Company invests its excess cash in marketable securities with high credit ratings including securities issued by U.S. and international governments and their agencies, corporate debt securities and commercial paper. The Company has assessed U.S. government treasuries as Level 1 and all other marketable securities as Level 2 within the fair value hierarchy of Accounting Standard Codification (“ASC”) Topic 820. All the Company's marketable securities have been accounted for as available-for-sale and carried at fair value. The Company classifies all its available-for-sale marketable securities, including those with maturity dates beyond one year, as current assets on the condensed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condensed consolidated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both"/>
        <w:ind w:right="660"/>
        <w:spacing w:after="0" w:line="256" w:lineRule="auto"/>
        <w:rPr>
          <w:sz w:val="20"/>
          <w:szCs w:val="20"/>
          <w:color w:val="auto"/>
        </w:rPr>
      </w:pPr>
      <w:r>
        <w:rPr>
          <w:rFonts w:ascii="Arial" w:cs="Arial" w:eastAsia="Arial" w:hAnsi="Arial"/>
          <w:sz w:val="18"/>
          <w:szCs w:val="18"/>
          <w:color w:val="auto"/>
        </w:rPr>
        <w:t>statements of operations and comprehensive loss. Realized gains and losses on marketable securities are included in other income (expense) on the condensed consolidated statements of operations. Gains and losses on sales are recorded based on the trade date and determined using the specific identification method.</w:t>
      </w:r>
    </w:p>
    <w:p>
      <w:pPr>
        <w:spacing w:after="0" w:line="175" w:lineRule="exact"/>
        <w:rPr>
          <w:sz w:val="20"/>
          <w:szCs w:val="20"/>
          <w:color w:val="auto"/>
        </w:rPr>
      </w:pPr>
    </w:p>
    <w:p>
      <w:pPr>
        <w:ind w:firstLine="1018"/>
        <w:spacing w:after="0" w:line="256" w:lineRule="auto"/>
        <w:rPr>
          <w:sz w:val="20"/>
          <w:szCs w:val="20"/>
          <w:color w:val="auto"/>
        </w:rPr>
      </w:pPr>
      <w:r>
        <w:rPr>
          <w:rFonts w:ascii="Arial" w:cs="Arial" w:eastAsia="Arial" w:hAnsi="Arial"/>
          <w:sz w:val="17"/>
          <w:szCs w:val="17"/>
          <w:color w:val="auto"/>
        </w:rPr>
        <w:t>The Company has adopted Accounting Standard Codification Topic 326. Under Subtopic 326-30, the Company periodically assesses its available-for-sale marketable securities for impairment. For debt securities in an unrealized loss position, this assessment first takes into account the Company's intent to sell, or whether it is more likely than not that the Company will be required to sell the security before recovery of its amortized cost basis. If either of these criteria are met, the debt security’s amortized cost basis is written down to fair value through interest expense and other, net. For debt securities in an unrealized loss position that do not meet the aforementioned criteria, the Company assesses whether the decline in fair value has resulted from credit losses or other factors. In 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in other income (expense), net, limited by the amount that the fair value is less than the amortized cost basis. Any additional impairment not recorded through an allowance for credit losses is recognized in other comprehensive loss. Changes in the allowance for credit losses are recorded as provision for (or reversal of) credit loss expense. Losses are charged against the allowance when management believes the uncollectability of an available-for-sale marketable security is confirmed or when either of the criteria regarding intent or requirement to sell is met. These changes are recorded in other income (expense), net. The Company has made an accounting policy election to not measure an allowance for credit loss for accrued interest receivables and will recognize a credit loss for accrued interest receivables when the loss becomes probable and estimable. As of September 30, 2022, interest income receivable recorded as a component of prepaid expenses and other current assets on the condensed consolidated balance sheet was de minimis.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right="80" w:firstLine="1018"/>
        <w:spacing w:after="0" w:line="245"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20" w:right="40"/>
        <w:spacing w:after="0" w:line="248"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5" w:lineRule="exact"/>
        <w:rPr>
          <w:sz w:val="20"/>
          <w:szCs w:val="20"/>
          <w:color w:val="auto"/>
        </w:rPr>
      </w:pPr>
    </w:p>
    <w:p>
      <w:pPr>
        <w:ind w:left="1020" w:right="28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1"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The carrying values of the Company’s cash, cash equivalents, restricted cash equivalents, prepaid expenses, accounts payable, and accruals approximate their fair value due to their short-term nature.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120" w:firstLine="1018"/>
        <w:spacing w:after="0" w:line="290" w:lineRule="auto"/>
        <w:rPr>
          <w:sz w:val="20"/>
          <w:szCs w:val="20"/>
          <w:color w:val="auto"/>
        </w:rPr>
      </w:pPr>
      <w:r>
        <w:rPr>
          <w:rFonts w:ascii="Arial" w:cs="Arial" w:eastAsia="Arial" w:hAnsi="Arial"/>
          <w:sz w:val="16"/>
          <w:szCs w:val="16"/>
          <w:color w:val="auto"/>
        </w:rPr>
        <w:t>Prior to January 1, 2022, the Company had one cancelable operating lease agreement for its corporate headquarters and recognized related rent expense on a straight-line basis over the term of the lease. The Company’s lease agreement contained termination and renewal options. The Company did not assume termination nor renewals options in its determination of the lease term unless they were deemed to be reasonably certain at the renewal of the lease. The Company began recognizing rent expense on the date that it obtained the legal right to use and control the leased space.</w:t>
      </w:r>
    </w:p>
    <w:p>
      <w:pPr>
        <w:spacing w:after="0" w:line="164" w:lineRule="exact"/>
        <w:rPr>
          <w:sz w:val="20"/>
          <w:szCs w:val="20"/>
          <w:color w:val="auto"/>
        </w:rPr>
      </w:pPr>
    </w:p>
    <w:p>
      <w:pPr>
        <w:ind w:right="60" w:firstLine="1018"/>
        <w:spacing w:after="0" w:line="260" w:lineRule="auto"/>
        <w:rPr>
          <w:sz w:val="20"/>
          <w:szCs w:val="20"/>
          <w:color w:val="auto"/>
        </w:rPr>
      </w:pPr>
      <w:r>
        <w:rPr>
          <w:rFonts w:ascii="Arial" w:cs="Arial" w:eastAsia="Arial" w:hAnsi="Arial"/>
          <w:sz w:val="17"/>
          <w:szCs w:val="17"/>
          <w:color w:val="auto"/>
        </w:rPr>
        <w:t>Subsequent to the adoption of the new leasing standard on January 1, 2022, 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condensed consolidated balance sheet as of September 30, 2022.</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firstLine="1018"/>
        <w:spacing w:after="0" w:line="260"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173" w:lineRule="exact"/>
        <w:rPr>
          <w:sz w:val="20"/>
          <w:szCs w:val="20"/>
          <w:color w:val="auto"/>
        </w:rPr>
      </w:pPr>
    </w:p>
    <w:p>
      <w:pPr>
        <w:ind w:right="60" w:firstLine="1018"/>
        <w:spacing w:after="0" w:line="290" w:lineRule="auto"/>
        <w:rPr>
          <w:sz w:val="20"/>
          <w:szCs w:val="20"/>
          <w:color w:val="auto"/>
        </w:rPr>
      </w:pPr>
      <w:r>
        <w:rPr>
          <w:rFonts w:ascii="Arial" w:cs="Arial" w:eastAsia="Arial" w:hAnsi="Arial"/>
          <w:sz w:val="16"/>
          <w:szCs w:val="16"/>
          <w:color w:val="auto"/>
        </w:rPr>
        <w:t>The operating lease ROU assets also include any lease payments made and exclude lease incentives. Lease expense is recognized on a straight-line basis over the expected lease term. The Company has elected to not separate lease and non-lease components for its leased assets and accounts for all lease and non-lease components of its agreements as a single lease component. The lease components resulting in a ROU asset have been recorded on the condensed consolidated balance sheet and amortized as lease expense on a straight-line basis over the lease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with Detachable Warrants</w:t>
      </w:r>
    </w:p>
    <w:p>
      <w:pPr>
        <w:spacing w:after="0" w:line="225" w:lineRule="exact"/>
        <w:rPr>
          <w:sz w:val="20"/>
          <w:szCs w:val="20"/>
          <w:color w:val="auto"/>
        </w:rPr>
      </w:pPr>
    </w:p>
    <w:p>
      <w:pPr>
        <w:ind w:right="60" w:firstLine="1018"/>
        <w:spacing w:after="0" w:line="243" w:lineRule="auto"/>
        <w:rPr>
          <w:sz w:val="20"/>
          <w:szCs w:val="20"/>
          <w:color w:val="auto"/>
        </w:rPr>
      </w:pPr>
      <w:r>
        <w:rPr>
          <w:rFonts w:ascii="Arial" w:cs="Arial" w:eastAsia="Arial" w:hAnsi="Arial"/>
          <w:sz w:val="18"/>
          <w:szCs w:val="18"/>
          <w:color w:val="auto"/>
        </w:rPr>
        <w:t>Detachable warrants are evaluated for the classification of warrants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relative estimated fair values. The portion of the proceeds allocated to the warrants are accounted for as paid-in capital and a debt discount. The remaining proceeds, as further reduced by discounts created by the bifurcation of embedded derivatives and beneficial conversion features, are allocated to the debt.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 accounting as derivative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63" w:lineRule="auto"/>
        <w:rPr>
          <w:sz w:val="20"/>
          <w:szCs w:val="20"/>
          <w:color w:val="auto"/>
        </w:rPr>
      </w:pPr>
      <w:r>
        <w:rPr>
          <w:rFonts w:ascii="Arial" w:cs="Arial" w:eastAsia="Arial" w:hAnsi="Arial"/>
          <w:sz w:val="17"/>
          <w:szCs w:val="17"/>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71" w:lineRule="exact"/>
        <w:rPr>
          <w:sz w:val="20"/>
          <w:szCs w:val="20"/>
          <w:color w:val="auto"/>
        </w:rPr>
      </w:pPr>
    </w:p>
    <w:p>
      <w:pPr>
        <w:ind w:right="120" w:firstLine="1018"/>
        <w:spacing w:after="0" w:line="24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40" w:firstLine="1018"/>
        <w:spacing w:after="0" w:line="324" w:lineRule="auto"/>
        <w:rPr>
          <w:sz w:val="20"/>
          <w:szCs w:val="20"/>
          <w:color w:val="auto"/>
        </w:rPr>
      </w:pPr>
      <w:r>
        <w:rPr>
          <w:rFonts w:ascii="Arial" w:cs="Arial" w:eastAsia="Arial" w:hAnsi="Arial"/>
          <w:sz w:val="16"/>
          <w:szCs w:val="16"/>
          <w:color w:val="auto"/>
        </w:rPr>
        <w:t>Comprehensive loss is defined as a change in equity of a business enterprise during a period, resulting from transactions and other events and/or circumstances from non-owner sources. Other comprehensive loss represents changes in fair value of our available-for-sale marketable securities.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Net Loss Per Class A Common Share Attributable to Rani Holdings</w:t>
      </w:r>
    </w:p>
    <w:p>
      <w:pPr>
        <w:spacing w:after="0" w:line="225" w:lineRule="exact"/>
        <w:rPr>
          <w:sz w:val="20"/>
          <w:szCs w:val="20"/>
          <w:color w:val="auto"/>
        </w:rPr>
      </w:pPr>
    </w:p>
    <w:p>
      <w:pPr>
        <w:jc w:val="both"/>
        <w:ind w:right="120" w:firstLine="1018"/>
        <w:spacing w:after="0" w:line="268" w:lineRule="auto"/>
        <w:rPr>
          <w:sz w:val="20"/>
          <w:szCs w:val="20"/>
          <w:color w:val="auto"/>
        </w:rPr>
      </w:pPr>
      <w:r>
        <w:rPr>
          <w:rFonts w:ascii="Arial" w:cs="Arial" w:eastAsia="Arial" w:hAnsi="Arial"/>
          <w:sz w:val="17"/>
          <w:szCs w:val="17"/>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12"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57"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In August 2021, based on the Organizational Transactions, Rani Holdings became the sole managing member of Rani LLC. As of September 30, 2022, Rani Holdings held approximately 49% of the Class A Units of Rani LLC, and approximately 51% of the outstanding Class A Units of Rani LLC are held by the Continuing LLC Owners. Therefore, the Company reports NCI based on the Class A Units of Rani LLC held by the Continuing LLC Owners on its condensed consolidated balance sheet as of September 30, 2022. Income or loss attributed to the NCI in Rani LLC is based on the Class A Units outstanding during the period for which the income or loss is generated and is presented on the condensed consolidated statements of operations and comprehensive loss.</w:t>
      </w:r>
    </w:p>
    <w:p>
      <w:pPr>
        <w:spacing w:after="0" w:line="201" w:lineRule="exact"/>
        <w:rPr>
          <w:sz w:val="20"/>
          <w:szCs w:val="20"/>
          <w:color w:val="auto"/>
        </w:rPr>
      </w:pPr>
    </w:p>
    <w:p>
      <w:pPr>
        <w:ind w:right="240" w:firstLine="1018"/>
        <w:spacing w:after="0" w:line="290" w:lineRule="auto"/>
        <w:rPr>
          <w:sz w:val="20"/>
          <w:szCs w:val="20"/>
          <w:color w:val="auto"/>
        </w:rPr>
      </w:pPr>
      <w:r>
        <w:rPr>
          <w:rFonts w:ascii="Arial" w:cs="Arial" w:eastAsia="Arial" w:hAnsi="Arial"/>
          <w:sz w:val="16"/>
          <w:szCs w:val="16"/>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September 30, 2022, there were 4,650,195 exchanges of Paired Interests and 158,051 exchanges of non-corresponding Class A Units of Rani LLC for an equal number of shares of the Company's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right="20" w:firstLine="1018"/>
        <w:spacing w:after="0" w:line="260" w:lineRule="auto"/>
        <w:rPr>
          <w:sz w:val="20"/>
          <w:szCs w:val="20"/>
          <w:color w:val="auto"/>
        </w:rPr>
      </w:pPr>
      <w:r>
        <w:rPr>
          <w:rFonts w:ascii="Arial" w:cs="Arial" w:eastAsia="Arial" w:hAnsi="Arial"/>
          <w:sz w:val="17"/>
          <w:szCs w:val="17"/>
          <w:color w:val="auto"/>
        </w:rPr>
        <w:t>In February 2016, the FASB issued ASU 2016-02, Leases (“Topic 842”), as subsequently amended, to improve financial reporting and disclosures about leasing transactions. The Company adopted this standard on January 1, 2022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where applicable. The Company did not elect the practical expedient allowing the use-of-hindsight which would require the Company to reassess the lease term of its leases based on all facts and circumstances through the effective date and did not elect the practical expedient pertaining to land easements as this is not applicable to the current contract portfolio. The Company elected the post-transition practical expedient to not separate lease components from non-lease components for all existing lease classes. The Company also elected a policy of not recording leases on its condensed balance sheets when the leases have a term of twelve months or less and the Company is not reasonably certain to elect an option to purchase the leased asset.</w:t>
      </w:r>
    </w:p>
    <w:p>
      <w:pPr>
        <w:spacing w:after="0" w:line="173" w:lineRule="exact"/>
        <w:rPr>
          <w:sz w:val="20"/>
          <w:szCs w:val="20"/>
          <w:color w:val="auto"/>
        </w:rPr>
      </w:pPr>
    </w:p>
    <w:p>
      <w:pPr>
        <w:ind w:right="40" w:firstLine="1018"/>
        <w:spacing w:after="0" w:line="249" w:lineRule="auto"/>
        <w:rPr>
          <w:sz w:val="20"/>
          <w:szCs w:val="20"/>
          <w:color w:val="auto"/>
        </w:rPr>
      </w:pPr>
      <w:r>
        <w:rPr>
          <w:rFonts w:ascii="Arial" w:cs="Arial" w:eastAsia="Arial" w:hAnsi="Arial"/>
          <w:sz w:val="18"/>
          <w:szCs w:val="18"/>
          <w:color w:val="auto"/>
        </w:rPr>
        <w:t>The adoption of this standard resulted in the recognition of a ROU asset and lease liabilities of $1.3 million, respectively.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81" w:lineRule="exact"/>
        <w:rPr>
          <w:sz w:val="20"/>
          <w:szCs w:val="20"/>
          <w:color w:val="auto"/>
        </w:rPr>
      </w:pPr>
    </w:p>
    <w:p>
      <w:pPr>
        <w:ind w:firstLine="1018"/>
        <w:spacing w:after="0" w:line="257"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(“ASU 2016-13”), that revises the measurement of credit losses for most financial instruments measured at amortized cost, including trade receivables, from an incurred loss methodology to an expected loss methodology which results in earlier recognition of credit losses. Under the incurred loss model, a loss is not recognized until it is probable that the loss-causing event has already occurred. The standard introduces a forward-looking expected credit loss model that requires an estimate of the expected credit losses over the life of the instrument by considering all relevant information including historical experience, current conditions, and reasonable and supportable forecasts that affect collectability. In addition, the standard also modifies the impairment model for available-for-sale debt securities, which are measured at fair value, by eliminating the consideration for the length of time fair value has been less than amortized cost when assessing credit loss for a debt security and provides for reversals of credit losses through income upon credit improvement. The Company early adopted this standard on July 1, 2022, for the interim period ended September 30, 2022. Based on the composition of the Company's investment portfolio, which reflects the Company's primary investment objective of capital preservation, the adoption of this standard did not have a material impact on the Company's condensed consolidated financial statements or related disclosures.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Cash Equivalents, Restricted Cash Equivalents and Marketable Securities</w:t>
      </w:r>
    </w:p>
    <w:p>
      <w:pPr>
        <w:spacing w:after="0" w:line="216" w:lineRule="exact"/>
        <w:rPr>
          <w:sz w:val="20"/>
          <w:szCs w:val="20"/>
          <w:color w:val="auto"/>
        </w:rPr>
      </w:pPr>
    </w:p>
    <w:p>
      <w:pPr>
        <w:ind w:right="600" w:firstLine="1018"/>
        <w:spacing w:after="0" w:line="277" w:lineRule="auto"/>
        <w:rPr>
          <w:sz w:val="20"/>
          <w:szCs w:val="20"/>
          <w:color w:val="auto"/>
        </w:rPr>
      </w:pPr>
      <w:r>
        <w:rPr>
          <w:rFonts w:ascii="Arial" w:cs="Arial" w:eastAsia="Arial" w:hAnsi="Arial"/>
          <w:sz w:val="18"/>
          <w:szCs w:val="18"/>
          <w:color w:val="auto"/>
        </w:rPr>
        <w:t>The following tables summarizes the amortized cost and fair value of the Company's cash equivalents, restricted cash equivalents and marketable securities by major investment category:</w:t>
      </w:r>
    </w:p>
    <w:p>
      <w:pPr>
        <w:spacing w:after="0" w:line="148"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rPr>
              <w:t>As of September 30, 2022</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23,286</w:t>
            </w:r>
          </w:p>
        </w:tc>
        <w:tc>
          <w:tcPr>
            <w:tcW w:w="1060" w:type="dxa"/>
            <w:vAlign w:val="bottom"/>
            <w:gridSpan w:val="3"/>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Total cash equivalents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23,286</w:t>
            </w:r>
          </w:p>
        </w:tc>
        <w:tc>
          <w:tcPr>
            <w:tcW w:w="1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equivalents and restricted cash equivalents</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23,786</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100"/>
              <w:spacing w:after="0" w:line="196" w:lineRule="exact"/>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37,738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(75 )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26,417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5,434</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(38 )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71,070</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00" w:type="dxa"/>
            <w:vAlign w:val="bottom"/>
          </w:tcPr>
          <w:p>
            <w:pPr>
              <w:spacing w:after="0" w:line="168" w:lineRule="exact"/>
              <w:rPr>
                <w:sz w:val="20"/>
                <w:szCs w:val="20"/>
                <w:color w:val="auto"/>
              </w:rPr>
            </w:pPr>
            <w:r>
              <w:rPr>
                <w:rFonts w:ascii="Arial" w:cs="Arial" w:eastAsia="Arial" w:hAnsi="Arial"/>
                <w:sz w:val="18"/>
                <w:szCs w:val="18"/>
                <w:color w:val="auto"/>
              </w:rPr>
              <w:t>Total cash equivalents, restricted cash equivalents and</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94,856</w:t>
            </w:r>
          </w:p>
        </w:tc>
        <w:tc>
          <w:tcPr>
            <w:tcW w:w="1060" w:type="dxa"/>
            <w:vAlign w:val="bottom"/>
            <w:gridSpan w:val="3"/>
            <w:vMerge w:val="restart"/>
          </w:tcPr>
          <w:p>
            <w:pPr>
              <w:jc w:val="right"/>
              <w:ind w:right="688"/>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(118 )</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94,738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line="190" w:lineRule="exact"/>
              <w:rPr>
                <w:sz w:val="20"/>
                <w:szCs w:val="20"/>
                <w:color w:val="auto"/>
              </w:rPr>
            </w:pPr>
            <w:r>
              <w:rPr>
                <w:rFonts w:ascii="Arial" w:cs="Arial" w:eastAsia="Arial" w:hAnsi="Arial"/>
                <w:sz w:val="18"/>
                <w:szCs w:val="18"/>
                <w:color w:val="auto"/>
              </w:rPr>
              <w:t>marketable securities</w:t>
            </w:r>
          </w:p>
        </w:tc>
        <w:tc>
          <w:tcPr>
            <w:tcW w:w="1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9"/>
              </w:rPr>
              <w:t>115,595</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708"/>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115,595</w:t>
            </w:r>
          </w:p>
        </w:tc>
        <w:tc>
          <w:tcPr>
            <w:tcW w:w="20" w:type="dxa"/>
            <w:vAlign w:val="bottom"/>
          </w:tcPr>
          <w:p>
            <w:pPr>
              <w:spacing w:after="0"/>
              <w:rPr>
                <w:sz w:val="18"/>
                <w:szCs w:val="18"/>
                <w:color w:val="auto"/>
              </w:rPr>
            </w:pPr>
          </w:p>
        </w:tc>
        <w:tc>
          <w:tcPr>
            <w:tcW w:w="10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-2845435</wp:posOffset>
            </wp:positionV>
            <wp:extent cx="5969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-2845435</wp:posOffset>
            </wp:positionV>
            <wp:extent cx="6032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-2845435</wp:posOffset>
            </wp:positionV>
            <wp:extent cx="60325"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-2845435</wp:posOffset>
            </wp:positionV>
            <wp:extent cx="60325"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-2279650</wp:posOffset>
            </wp:positionV>
            <wp:extent cx="240855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8555" cy="1631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-1422400</wp:posOffset>
            </wp:positionV>
            <wp:extent cx="59690"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-1422400</wp:posOffset>
            </wp:positionV>
            <wp:extent cx="60325"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-1422400</wp:posOffset>
            </wp:positionV>
            <wp:extent cx="60325"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-1422400</wp:posOffset>
            </wp:positionV>
            <wp:extent cx="60325"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032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969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As of September 30, 2022, all marketable securities held have maturity dates within one year or less. The Company regularly reviews its available-for-sale marketable securities in an unrealized loss position and evaluates the current expected credit loss by considering factors such as historical experience, market data, issuer-specific factors, and current economic conditions. As of September 30, 2022,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September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The following tables presents information about the Company’s financial assets and liabilities measured at fair value on a recurring basis and indicates the level of inputs used in such measurements (in thousands):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September 30, 2022</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23,286</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26,417</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r>
      <w:tr>
        <w:trPr>
          <w:trHeight w:val="25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33,289</w:t>
            </w: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tbl>
      <w:tblPr>
        <w:tblLayout w:type="fixed"/>
        <w:tblInd w:w="8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 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115,595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03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03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8" w:lineRule="exact"/>
        <w:rPr>
          <w:sz w:val="20"/>
          <w:szCs w:val="20"/>
          <w:color w:val="auto"/>
        </w:rPr>
      </w:pPr>
    </w:p>
    <w:p>
      <w:pPr>
        <w:ind w:right="60" w:firstLine="1018"/>
        <w:spacing w:after="0" w:line="245" w:lineRule="auto"/>
        <w:rPr>
          <w:sz w:val="20"/>
          <w:szCs w:val="20"/>
          <w:color w:val="auto"/>
        </w:rPr>
      </w:pPr>
      <w:r>
        <w:rPr>
          <w:rFonts w:ascii="Arial" w:cs="Arial" w:eastAsia="Arial" w:hAnsi="Arial"/>
          <w:sz w:val="18"/>
          <w:szCs w:val="18"/>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39" w:lineRule="exact"/>
        <w:rPr>
          <w:sz w:val="20"/>
          <w:szCs w:val="20"/>
          <w:color w:val="auto"/>
        </w:rPr>
      </w:pPr>
    </w:p>
    <w:p>
      <w:pPr>
        <w:ind w:right="20" w:firstLine="1018"/>
        <w:spacing w:after="0" w:line="263" w:lineRule="auto"/>
        <w:rPr>
          <w:sz w:val="20"/>
          <w:szCs w:val="20"/>
          <w:color w:val="auto"/>
        </w:rPr>
      </w:pPr>
      <w:r>
        <w:rPr>
          <w:rFonts w:ascii="Arial" w:cs="Arial" w:eastAsia="Arial" w:hAnsi="Arial"/>
          <w:sz w:val="17"/>
          <w:szCs w:val="17"/>
          <w:color w:val="auto"/>
        </w:rPr>
        <w:t>For the three and nine months ended September 30, 2022, as further discussed in Note 13, the Company issued Level 3 equity classified warrants of $0.5 million in connection with the loan and security agreement that were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p>
    <w:p>
      <w:pPr>
        <w:spacing w:after="0" w:line="171" w:lineRule="exact"/>
        <w:rPr>
          <w:sz w:val="20"/>
          <w:szCs w:val="20"/>
          <w:color w:val="auto"/>
        </w:rPr>
      </w:pPr>
    </w:p>
    <w:p>
      <w:pPr>
        <w:jc w:val="both"/>
        <w:ind w:right="220" w:firstLine="1018"/>
        <w:spacing w:after="0" w:line="248" w:lineRule="auto"/>
        <w:rPr>
          <w:sz w:val="20"/>
          <w:szCs w:val="20"/>
          <w:color w:val="auto"/>
        </w:rPr>
      </w:pPr>
      <w:r>
        <w:rPr>
          <w:rFonts w:ascii="Arial" w:cs="Arial" w:eastAsia="Arial" w:hAnsi="Arial"/>
          <w:sz w:val="18"/>
          <w:szCs w:val="18"/>
          <w:color w:val="auto"/>
        </w:rPr>
        <w:t>For the three and nine months ended September 30, 2021, the Company held a Level 3 liability associated with preferred unit warrants that were issued in conjunction with a loan and security agreement. These preferred unit warrants were settled with Class A common stock as part of the IPO and Organizational Transactions.</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3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w:t>
            </w:r>
          </w:p>
        </w:tc>
        <w:tc>
          <w:tcPr>
            <w:tcW w:w="222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2"/>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b w:val="1"/>
                <w:bCs w:val="1"/>
                <w:color w:val="auto"/>
                <w:w w:val="79"/>
              </w:rPr>
              <w:t>$</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Change in estimated fair value of Series E warrants</w:t>
            </w:r>
          </w:p>
        </w:tc>
        <w:tc>
          <w:tcPr>
            <w:tcW w:w="7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Settlement of Series E warrants</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(691 )</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9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Accrued expenses consist of the following (in thousands):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preclinical and clinical trial costs</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-1807845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-1807845</wp:posOffset>
            </wp:positionV>
            <wp:extent cx="5969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-1807845</wp:posOffset>
            </wp:positionV>
            <wp:extent cx="6032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-1807845</wp:posOffset>
            </wp:positionV>
            <wp:extent cx="6032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Evaluation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12" w:lineRule="exact"/>
        <w:rPr>
          <w:sz w:val="20"/>
          <w:szCs w:val="20"/>
          <w:color w:val="auto"/>
        </w:rPr>
      </w:pPr>
    </w:p>
    <w:p>
      <w:pPr>
        <w:ind w:right="120" w:firstLine="1018"/>
        <w:spacing w:after="0" w:line="249" w:lineRule="auto"/>
        <w:rPr>
          <w:sz w:val="20"/>
          <w:szCs w:val="20"/>
          <w:color w:val="auto"/>
        </w:rPr>
      </w:pPr>
      <w:r>
        <w:rPr>
          <w:rFonts w:ascii="Arial" w:cs="Arial" w:eastAsia="Arial" w:hAnsi="Arial"/>
          <w:sz w:val="18"/>
          <w:szCs w:val="18"/>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ind w:right="40"/>
        <w:spacing w:after="0" w:line="246" w:lineRule="auto"/>
        <w:rPr>
          <w:sz w:val="20"/>
          <w:szCs w:val="20"/>
          <w:color w:val="auto"/>
        </w:rPr>
      </w:pPr>
      <w:r>
        <w:rPr>
          <w:rFonts w:ascii="Arial" w:cs="Arial" w:eastAsia="Arial" w:hAnsi="Arial"/>
          <w:sz w:val="18"/>
          <w:szCs w:val="18"/>
          <w:color w:val="auto"/>
        </w:rPr>
        <w:t>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85" w:lineRule="exact"/>
        <w:rPr>
          <w:sz w:val="20"/>
          <w:szCs w:val="20"/>
          <w:color w:val="auto"/>
        </w:rPr>
      </w:pPr>
    </w:p>
    <w:p>
      <w:pPr>
        <w:ind w:right="180" w:firstLine="1018"/>
        <w:spacing w:after="0" w:line="256" w:lineRule="auto"/>
        <w:rPr>
          <w:sz w:val="20"/>
          <w:szCs w:val="20"/>
          <w:color w:val="auto"/>
        </w:rPr>
      </w:pPr>
      <w:r>
        <w:rPr>
          <w:rFonts w:ascii="Arial" w:cs="Arial" w:eastAsia="Arial" w:hAnsi="Arial"/>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to be a single performance obligation.</w:t>
      </w:r>
    </w:p>
    <w:p>
      <w:pPr>
        <w:spacing w:after="0" w:line="175" w:lineRule="exact"/>
        <w:rPr>
          <w:sz w:val="20"/>
          <w:szCs w:val="20"/>
          <w:color w:val="auto"/>
        </w:rPr>
      </w:pPr>
    </w:p>
    <w:p>
      <w:pPr>
        <w:ind w:right="100" w:firstLine="1018"/>
        <w:spacing w:after="0" w:line="256" w:lineRule="auto"/>
        <w:rPr>
          <w:sz w:val="20"/>
          <w:szCs w:val="20"/>
          <w:color w:val="auto"/>
        </w:rPr>
      </w:pPr>
      <w:r>
        <w:rPr>
          <w:rFonts w:ascii="Arial" w:cs="Arial" w:eastAsia="Arial" w:hAnsi="Arial"/>
          <w:sz w:val="18"/>
          <w:szCs w:val="18"/>
          <w:color w:val="auto"/>
        </w:rPr>
        <w:t xml:space="preserve">In May 2021, the Company received written notice from Takeda as to their intent to terminate the contract for convenience. </w:t>
      </w:r>
      <w:r>
        <w:rPr>
          <w:rFonts w:ascii="Arial" w:cs="Arial" w:eastAsia="Arial" w:hAnsi="Arial"/>
          <w:sz w:val="18"/>
          <w:szCs w:val="18"/>
          <w:color w:val="212529"/>
        </w:rPr>
        <w:t>Due to the</w:t>
      </w:r>
      <w:r>
        <w:rPr>
          <w:rFonts w:ascii="Arial" w:cs="Arial" w:eastAsia="Arial" w:hAnsi="Arial"/>
          <w:sz w:val="18"/>
          <w:szCs w:val="18"/>
          <w:color w:val="auto"/>
        </w:rPr>
        <w:t xml:space="preserve"> </w:t>
      </w:r>
      <w:r>
        <w:rPr>
          <w:rFonts w:ascii="Arial" w:cs="Arial" w:eastAsia="Arial" w:hAnsi="Arial"/>
          <w:sz w:val="18"/>
          <w:szCs w:val="18"/>
          <w:color w:val="212529"/>
        </w:rPr>
        <w:t>delivery of the termination notice, the Company determined that there were no further enforceable rights and obligations under the agreement beyond May 2021 and the remaining $2.0 million of deferred revenue was recognized in 2021</w:t>
      </w:r>
      <w:r>
        <w:rPr>
          <w:rFonts w:ascii="Arial" w:cs="Arial" w:eastAsia="Arial" w:hAnsi="Arial"/>
          <w:sz w:val="18"/>
          <w:szCs w:val="18"/>
          <w:color w:val="000000"/>
        </w:rPr>
        <w:t>.</w:t>
      </w:r>
    </w:p>
    <w:p>
      <w:pPr>
        <w:spacing w:after="0" w:line="175" w:lineRule="exact"/>
        <w:rPr>
          <w:sz w:val="20"/>
          <w:szCs w:val="20"/>
          <w:color w:val="auto"/>
        </w:rPr>
      </w:pPr>
    </w:p>
    <w:p>
      <w:pPr>
        <w:ind w:right="20" w:firstLine="1018"/>
        <w:spacing w:after="0" w:line="256" w:lineRule="auto"/>
        <w:rPr>
          <w:sz w:val="20"/>
          <w:szCs w:val="20"/>
          <w:color w:val="auto"/>
        </w:rPr>
      </w:pPr>
      <w:r>
        <w:rPr>
          <w:rFonts w:ascii="Arial" w:cs="Arial" w:eastAsia="Arial" w:hAnsi="Arial"/>
          <w:sz w:val="18"/>
          <w:szCs w:val="18"/>
          <w:color w:val="auto"/>
        </w:rPr>
        <w:t>For the nine months ended September 30, 2022, no contract revenue related to the Takeda agreement was recognized. For the nine months ended September 30, 2021, the Company recognized contract revenue related to the Takeda agreement of $2.7 million. There was no deferred revenue as of September 30, 2022 nor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16" w:lineRule="exact"/>
        <w:rPr>
          <w:sz w:val="20"/>
          <w:szCs w:val="20"/>
          <w:color w:val="auto"/>
        </w:rPr>
      </w:pPr>
    </w:p>
    <w:p>
      <w:pPr>
        <w:ind w:right="20" w:firstLine="1018"/>
        <w:spacing w:after="0" w:line="256" w:lineRule="auto"/>
        <w:rPr>
          <w:sz w:val="20"/>
          <w:szCs w:val="20"/>
          <w:color w:val="auto"/>
        </w:rPr>
      </w:pPr>
      <w:r>
        <w:rPr>
          <w:rFonts w:ascii="Arial" w:cs="Arial" w:eastAsia="Arial" w:hAnsi="Arial"/>
          <w:sz w:val="18"/>
          <w:szCs w:val="18"/>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right="40" w:firstLine="1018"/>
        <w:spacing w:after="0" w:line="275" w:lineRule="auto"/>
        <w:rPr>
          <w:sz w:val="20"/>
          <w:szCs w:val="20"/>
          <w:color w:val="auto"/>
        </w:rPr>
      </w:pPr>
      <w:r>
        <w:rPr>
          <w:rFonts w:ascii="Arial" w:cs="Arial" w:eastAsia="Arial" w:hAnsi="Arial"/>
          <w:sz w:val="16"/>
          <w:szCs w:val="16"/>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an original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July 2022, the Occupancy Services in Milpitas, California were extended for an additional one year lease term through February 2024.</w:t>
      </w:r>
    </w:p>
    <w:p>
      <w:pPr>
        <w:spacing w:after="0" w:line="165" w:lineRule="exact"/>
        <w:rPr>
          <w:sz w:val="20"/>
          <w:szCs w:val="20"/>
          <w:color w:val="auto"/>
        </w:rPr>
      </w:pPr>
    </w:p>
    <w:p>
      <w:pPr>
        <w:ind w:right="80" w:firstLine="1018"/>
        <w:spacing w:after="0" w:line="259" w:lineRule="auto"/>
        <w:rPr>
          <w:sz w:val="20"/>
          <w:szCs w:val="20"/>
          <w:color w:val="auto"/>
        </w:rPr>
      </w:pPr>
      <w:r>
        <w:rPr>
          <w:rFonts w:ascii="Arial" w:cs="Arial" w:eastAsia="Arial" w:hAnsi="Arial"/>
          <w:sz w:val="17"/>
          <w:szCs w:val="17"/>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620" w:firstLine="1018"/>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net of the amount that the Company charged ICL, which is included in the condensed consolidated statements of operations and comprehensive loss (in thousands):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4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49"/>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-25400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1018"/>
        <w:spacing w:after="0" w:line="249" w:lineRule="auto"/>
        <w:rPr>
          <w:sz w:val="20"/>
          <w:szCs w:val="20"/>
          <w:color w:val="auto"/>
        </w:rPr>
      </w:pPr>
      <w:r>
        <w:rPr>
          <w:rFonts w:ascii="Arial" w:cs="Arial" w:eastAsia="Arial" w:hAnsi="Arial"/>
          <w:sz w:val="18"/>
          <w:szCs w:val="18"/>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September 30, 2022, all of the Company's facilities are owned or leased by an entity affiliated with the Company’s Chairman (Note 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for the use of these facilities through its services agreements with ICL.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37" w:lineRule="exact"/>
        <w:rPr>
          <w:sz w:val="20"/>
          <w:szCs w:val="20"/>
          <w:color w:val="auto"/>
        </w:rPr>
      </w:pPr>
    </w:p>
    <w:p>
      <w:pPr>
        <w:ind w:right="360" w:firstLine="1018"/>
        <w:spacing w:after="0" w:line="268" w:lineRule="auto"/>
        <w:rPr>
          <w:sz w:val="20"/>
          <w:szCs w:val="20"/>
          <w:color w:val="auto"/>
        </w:rPr>
      </w:pPr>
      <w:r>
        <w:rPr>
          <w:rFonts w:ascii="Arial" w:cs="Arial" w:eastAsia="Arial" w:hAnsi="Arial"/>
          <w:sz w:val="17"/>
          <w:szCs w:val="17"/>
          <w:color w:val="auto"/>
        </w:rPr>
        <w:t>During 2020 and 2021, a related party of the Company, and its affiliates, purchased 2,100,800 common units of Rani LLC and 7,880,120 Series E Preferred Units of Rani LLC. As part of the Organizational Transactions the common units and Series E Preferred Units were exchanged for 5,277,729 shares of the Company's Class A common stock. In connection with the IPO and subsequent thereto, the same related party purchased an additional 6,458,904 shares of the Company’s Class A common stock for total gross proceeds of $71.1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12" w:lineRule="exact"/>
        <w:rPr>
          <w:sz w:val="20"/>
          <w:szCs w:val="20"/>
          <w:color w:val="auto"/>
        </w:rPr>
      </w:pPr>
    </w:p>
    <w:p>
      <w:pPr>
        <w:ind w:right="80" w:firstLine="1018"/>
        <w:spacing w:after="0" w:line="246" w:lineRule="auto"/>
        <w:rPr>
          <w:sz w:val="20"/>
          <w:szCs w:val="20"/>
          <w:color w:val="auto"/>
        </w:rPr>
      </w:pPr>
      <w:r>
        <w:rPr>
          <w:rFonts w:ascii="Arial" w:cs="Arial" w:eastAsia="Arial" w:hAnsi="Arial"/>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85" w:lineRule="exact"/>
        <w:rPr>
          <w:sz w:val="20"/>
          <w:szCs w:val="20"/>
          <w:color w:val="auto"/>
        </w:rPr>
      </w:pPr>
    </w:p>
    <w:p>
      <w:pPr>
        <w:ind w:firstLine="1018"/>
        <w:spacing w:after="0" w:line="275" w:lineRule="auto"/>
        <w:rPr>
          <w:sz w:val="20"/>
          <w:szCs w:val="20"/>
          <w:color w:val="auto"/>
        </w:rPr>
      </w:pPr>
      <w:r>
        <w:rPr>
          <w:rFonts w:ascii="Arial" w:cs="Arial" w:eastAsia="Arial" w:hAnsi="Arial"/>
          <w:sz w:val="16"/>
          <w:szCs w:val="16"/>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right="40" w:firstLine="1018"/>
        <w:spacing w:after="0" w:line="260" w:lineRule="auto"/>
        <w:rPr>
          <w:sz w:val="20"/>
          <w:szCs w:val="20"/>
          <w:color w:val="auto"/>
        </w:rPr>
      </w:pPr>
      <w:r>
        <w:rPr>
          <w:rFonts w:ascii="Arial" w:cs="Arial" w:eastAsia="Arial" w:hAnsi="Arial"/>
          <w:sz w:val="17"/>
          <w:szCs w:val="17"/>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12" w:lineRule="exact"/>
        <w:rPr>
          <w:sz w:val="20"/>
          <w:szCs w:val="20"/>
          <w:color w:val="auto"/>
        </w:rPr>
      </w:pPr>
    </w:p>
    <w:p>
      <w:pPr>
        <w:ind w:right="60" w:firstLine="1018"/>
        <w:spacing w:after="0" w:line="260"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12" w:lineRule="exact"/>
        <w:rPr>
          <w:sz w:val="20"/>
          <w:szCs w:val="20"/>
          <w:color w:val="auto"/>
        </w:rPr>
      </w:pPr>
    </w:p>
    <w:p>
      <w:pPr>
        <w:ind w:right="280" w:firstLine="1018"/>
        <w:spacing w:after="0" w:line="263" w:lineRule="auto"/>
        <w:rPr>
          <w:sz w:val="20"/>
          <w:szCs w:val="20"/>
          <w:color w:val="auto"/>
        </w:rPr>
      </w:pPr>
      <w:r>
        <w:rPr>
          <w:rFonts w:ascii="Arial" w:cs="Arial" w:eastAsia="Arial" w:hAnsi="Arial"/>
          <w:sz w:val="17"/>
          <w:szCs w:val="17"/>
          <w:color w:val="auto"/>
        </w:rPr>
        <w:t>In February 2021, one of the Company's named executive officers and then member of the Board of Managers of Rani LLC, and a current member of the Board of Managers of Rani LLC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140" w:firstLine="1018"/>
        <w:spacing w:after="0" w:line="249"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nine months ended September 30, 2022, these parties to the TRA exchanged 2,317,184 Paired Interests that resulted in tax benefits subject to the TRA (Note 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12"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7"/>
          <w:szCs w:val="17"/>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12" w:lineRule="exact"/>
        <w:rPr>
          <w:sz w:val="20"/>
          <w:szCs w:val="20"/>
          <w:color w:val="auto"/>
        </w:rPr>
      </w:pPr>
    </w:p>
    <w:p>
      <w:pPr>
        <w:ind w:right="80" w:firstLine="1018"/>
        <w:spacing w:after="0" w:line="246" w:lineRule="auto"/>
        <w:rPr>
          <w:sz w:val="20"/>
          <w:szCs w:val="20"/>
          <w:color w:val="auto"/>
        </w:rPr>
      </w:pPr>
      <w:r>
        <w:rPr>
          <w:rFonts w:ascii="Arial" w:cs="Arial" w:eastAsia="Arial" w:hAnsi="Arial"/>
          <w:sz w:val="18"/>
          <w:szCs w:val="18"/>
          <w:color w:val="auto"/>
        </w:rPr>
        <w:t>The Company operates its business through Rani LLC and its subsidiary.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85" w:lineRule="exact"/>
        <w:rPr>
          <w:sz w:val="20"/>
          <w:szCs w:val="20"/>
          <w:color w:val="auto"/>
        </w:rPr>
      </w:pPr>
    </w:p>
    <w:p>
      <w:pPr>
        <w:ind w:right="180" w:firstLine="1018"/>
        <w:spacing w:after="0" w:line="261" w:lineRule="auto"/>
        <w:rPr>
          <w:sz w:val="20"/>
          <w:szCs w:val="20"/>
          <w:color w:val="auto"/>
        </w:rPr>
      </w:pPr>
      <w:r>
        <w:rPr>
          <w:rFonts w:ascii="Arial" w:cs="Arial" w:eastAsia="Arial" w:hAnsi="Arial"/>
          <w:sz w:val="18"/>
          <w:szCs w:val="18"/>
          <w:color w:val="auto"/>
        </w:rPr>
        <w:t>During the nine months ended September 30, 2022, certain parties to the Rani LLC Agreement exchanged 2,317,184 Paired Interests for an equal number of shares of the Company's Class A common stock.</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60" w:firstLine="1018"/>
        <w:spacing w:after="0" w:line="243" w:lineRule="auto"/>
        <w:rPr>
          <w:sz w:val="20"/>
          <w:szCs w:val="20"/>
          <w:color w:val="auto"/>
        </w:rPr>
      </w:pPr>
      <w:r>
        <w:rPr>
          <w:rFonts w:ascii="Arial" w:cs="Arial" w:eastAsia="Arial" w:hAnsi="Arial"/>
          <w:sz w:val="18"/>
          <w:szCs w:val="18"/>
          <w:color w:val="auto"/>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The Company determined it to be reasonably certain that it would exercise its renewal option for a successive twelve-month period and has considered it in the determination of the right-of-use assets and lease liabilities associated with the RMS-ICL Service Agreement as of September 30, 2022.</w:t>
      </w:r>
    </w:p>
    <w:p>
      <w:pPr>
        <w:spacing w:after="0" w:line="187" w:lineRule="exact"/>
        <w:rPr>
          <w:sz w:val="20"/>
          <w:szCs w:val="20"/>
          <w:color w:val="auto"/>
        </w:rPr>
      </w:pPr>
    </w:p>
    <w:p>
      <w:pPr>
        <w:ind w:right="60" w:firstLine="1018"/>
        <w:spacing w:after="0" w:line="278" w:lineRule="auto"/>
        <w:rPr>
          <w:sz w:val="20"/>
          <w:szCs w:val="20"/>
          <w:color w:val="auto"/>
        </w:rPr>
      </w:pPr>
      <w:r>
        <w:rPr>
          <w:rFonts w:ascii="Arial" w:cs="Arial" w:eastAsia="Arial" w:hAnsi="Arial"/>
          <w:sz w:val="16"/>
          <w:szCs w:val="16"/>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In July 2022, the Occupancy Services in Milpitas, California, were extended for an additional one year lease term through February 2024. The Company accounted for the lease extension as a lease modification that did not result in a separate contract and recognized the right-of-use asset and lease liabilities associated with the Rani LLC-ICL Service Agreement in the condensed consolidated balance sheet as of September 30, 2022. As of September 30, 2022, the second renewal option for the facility in Milpitas, California was not deemed reasonably certain to be exercised.</w:t>
      </w:r>
    </w:p>
    <w:p>
      <w:pPr>
        <w:spacing w:after="0" w:line="161" w:lineRule="exact"/>
        <w:rPr>
          <w:sz w:val="20"/>
          <w:szCs w:val="20"/>
          <w:color w:val="auto"/>
        </w:rPr>
      </w:pPr>
    </w:p>
    <w:p>
      <w:pPr>
        <w:ind w:right="20" w:firstLine="1018"/>
        <w:spacing w:after="0" w:line="283" w:lineRule="auto"/>
        <w:rPr>
          <w:sz w:val="20"/>
          <w:szCs w:val="20"/>
          <w:color w:val="auto"/>
        </w:rPr>
      </w:pPr>
      <w:r>
        <w:rPr>
          <w:rFonts w:ascii="Arial" w:cs="Arial" w:eastAsia="Arial" w:hAnsi="Arial"/>
          <w:sz w:val="16"/>
          <w:szCs w:val="16"/>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Total operating lease expense incurred with ICL was $1.1 million and $0.6 million for the nine months ended September 30, 2022 and 2021, respectively. Short term lease expense are included in the total operating lease expense and not immaterial for the periods presented. Variable lease payments are excluded in the total operating lease expense and immaterial for the periods presented.</w:t>
      </w:r>
    </w:p>
    <w:p>
      <w:pPr>
        <w:spacing w:after="0" w:line="156" w:lineRule="exact"/>
        <w:rPr>
          <w:sz w:val="20"/>
          <w:szCs w:val="20"/>
          <w:color w:val="auto"/>
        </w:rPr>
      </w:pPr>
    </w:p>
    <w:p>
      <w:pPr>
        <w:ind w:right="280" w:firstLine="1018"/>
        <w:spacing w:after="0" w:line="261" w:lineRule="auto"/>
        <w:rPr>
          <w:sz w:val="20"/>
          <w:szCs w:val="20"/>
          <w:color w:val="auto"/>
        </w:rPr>
      </w:pPr>
      <w:r>
        <w:rPr>
          <w:rFonts w:ascii="Arial" w:cs="Arial" w:eastAsia="Arial" w:hAnsi="Arial"/>
          <w:sz w:val="18"/>
          <w:szCs w:val="18"/>
          <w:color w:val="auto"/>
        </w:rPr>
        <w:t>Supplemental information on the Company’s condensed consolidated balance sheet and statements of cash flow as of September 30, 2022 related to leases was as follows (in thousands):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Operating lease liability, current portion</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liability, less current portion</w:t>
            </w:r>
          </w:p>
        </w:tc>
        <w:tc>
          <w:tcPr>
            <w:tcW w:w="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774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77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paid for amounts included in lease liabilities: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years</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-1637030</wp:posOffset>
            </wp:positionV>
            <wp:extent cx="6032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146050"/>
                    </a:xfrm>
                    <a:prstGeom prst="rect">
                      <a:avLst/>
                    </a:prstGeom>
                    <a:noFill/>
                  </pic:spPr>
                </pic:pic>
              </a:graphicData>
            </a:graphic>
          </wp:anchor>
        </w:drawing>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1" w:name="page22"/>
    <w:bookmarkEnd w:id="21"/>
    <w:p>
      <w:pPr>
        <w:ind w:left="1020"/>
        <w:spacing w:after="0"/>
        <w:rPr>
          <w:sz w:val="20"/>
          <w:szCs w:val="20"/>
          <w:color w:val="auto"/>
        </w:rPr>
      </w:pPr>
      <w:r>
        <w:rPr>
          <w:rFonts w:ascii="Arial" w:cs="Arial" w:eastAsia="Arial" w:hAnsi="Arial"/>
          <w:sz w:val="16"/>
          <w:szCs w:val="16"/>
          <w:color w:val="auto"/>
        </w:rPr>
        <w:t>As of September 30, 2022, minimum annual rental payments under the Company’s operating lease agreements are as follows (in thousands):</w:t>
      </w:r>
    </w:p>
    <w:p>
      <w:pPr>
        <w:spacing w:after="0" w:line="24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2022 (remaining three months)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2024</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undiscounted future minimum lease payments</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r>
      <w:tr>
        <w:trPr>
          <w:trHeight w:val="250"/>
        </w:trPr>
        <w:tc>
          <w:tcPr>
            <w:tcW w:w="7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840" w:type="dxa"/>
            <w:vAlign w:val="bottom"/>
          </w:tcPr>
          <w:p>
            <w:pPr>
              <w:ind w:left="180"/>
              <w:spacing w:after="0" w:line="196" w:lineRule="exact"/>
              <w:rPr>
                <w:sz w:val="20"/>
                <w:szCs w:val="20"/>
                <w:color w:val="auto"/>
              </w:rPr>
            </w:pPr>
            <w:r>
              <w:rPr>
                <w:rFonts w:ascii="Arial" w:cs="Arial" w:eastAsia="Arial" w:hAnsi="Arial"/>
                <w:sz w:val="18"/>
                <w:szCs w:val="18"/>
                <w:color w:val="auto"/>
              </w:rPr>
              <w:t>Less: Operating lease liability, current portion</w:t>
            </w: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984</w:t>
            </w:r>
          </w:p>
        </w:tc>
        <w:tc>
          <w:tcPr>
            <w:tcW w:w="100" w:type="dxa"/>
            <w:vAlign w:val="bottom"/>
          </w:tcPr>
          <w:p>
            <w:pPr>
              <w:spacing w:after="0"/>
              <w:rPr>
                <w:sz w:val="17"/>
                <w:szCs w:val="17"/>
                <w:color w:val="auto"/>
              </w:rPr>
            </w:pPr>
          </w:p>
        </w:tc>
      </w:tr>
      <w:tr>
        <w:trPr>
          <w:trHeight w:val="250"/>
        </w:trPr>
        <w:tc>
          <w:tcPr>
            <w:tcW w:w="7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lease liability, less current portion</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-762000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-333375</wp:posOffset>
            </wp:positionV>
            <wp:extent cx="6032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80" w:firstLine="1018"/>
        <w:spacing w:after="0" w:line="256" w:lineRule="auto"/>
        <w:rPr>
          <w:sz w:val="20"/>
          <w:szCs w:val="20"/>
          <w:color w:val="auto"/>
        </w:rPr>
      </w:pPr>
      <w:r>
        <w:rPr>
          <w:rFonts w:ascii="Arial" w:cs="Arial" w:eastAsia="Arial" w:hAnsi="Arial"/>
          <w:sz w:val="18"/>
          <w:szCs w:val="18"/>
          <w:color w:val="auto"/>
        </w:rPr>
        <w:t>Operating leases in the table above exclude future minimum lease payments for Occupancy Services in San Antonio, Texas under the Rani LLC-ICL Service Agreement. Future minimum lease payments for Occupancy Services in San Antonio for fiscal years 2022 (remaining three months) and 2023 totaled $0.1 million and $0.1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16" w:lineRule="exact"/>
        <w:rPr>
          <w:sz w:val="20"/>
          <w:szCs w:val="20"/>
          <w:color w:val="auto"/>
        </w:rPr>
      </w:pPr>
    </w:p>
    <w:p>
      <w:pPr>
        <w:jc w:val="both"/>
        <w:ind w:right="100" w:firstLine="1018"/>
        <w:spacing w:after="0" w:line="249" w:lineRule="auto"/>
        <w:rPr>
          <w:sz w:val="20"/>
          <w:szCs w:val="20"/>
          <w:color w:val="auto"/>
        </w:rPr>
      </w:pPr>
      <w:r>
        <w:rPr>
          <w:rFonts w:ascii="Arial" w:cs="Arial" w:eastAsia="Arial" w:hAnsi="Arial"/>
          <w:sz w:val="18"/>
          <w:szCs w:val="18"/>
          <w:color w:val="auto"/>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September 30, 2022, there were 76,336 warrants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Members’ Deficit</w:t>
      </w:r>
    </w:p>
    <w:p>
      <w:pPr>
        <w:spacing w:after="0" w:line="229" w:lineRule="exact"/>
        <w:rPr>
          <w:sz w:val="20"/>
          <w:szCs w:val="20"/>
          <w:color w:val="auto"/>
        </w:rPr>
      </w:pPr>
    </w:p>
    <w:p>
      <w:pPr>
        <w:ind w:right="260" w:firstLine="1018"/>
        <w:spacing w:after="0" w:line="245" w:lineRule="auto"/>
        <w:rPr>
          <w:sz w:val="20"/>
          <w:szCs w:val="20"/>
          <w:color w:val="auto"/>
        </w:rPr>
      </w:pPr>
      <w:r>
        <w:rPr>
          <w:rFonts w:ascii="Arial" w:cs="Arial" w:eastAsia="Arial" w:hAnsi="Arial"/>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86" w:lineRule="exact"/>
        <w:rPr>
          <w:sz w:val="20"/>
          <w:szCs w:val="20"/>
          <w:color w:val="auto"/>
        </w:rPr>
      </w:pPr>
    </w:p>
    <w:p>
      <w:pPr>
        <w:ind w:right="60" w:firstLine="1018"/>
        <w:spacing w:after="0" w:line="249" w:lineRule="auto"/>
        <w:rPr>
          <w:sz w:val="20"/>
          <w:szCs w:val="20"/>
          <w:color w:val="auto"/>
        </w:rPr>
      </w:pPr>
      <w:r>
        <w:rPr>
          <w:rFonts w:ascii="Arial" w:cs="Arial" w:eastAsia="Arial" w:hAnsi="Arial"/>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 of a court; or otherwise. The members were also not obligated to make capital contributions to Rani LLC and Rani LLC would have dissolved only upon a written consent of a majority of the members.</w:t>
      </w:r>
    </w:p>
    <w:p>
      <w:pPr>
        <w:spacing w:after="0" w:line="194"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71" w:lineRule="exact"/>
        <w:rPr>
          <w:sz w:val="20"/>
          <w:szCs w:val="20"/>
          <w:color w:val="auto"/>
        </w:rPr>
      </w:pPr>
    </w:p>
    <w:p>
      <w:pPr>
        <w:ind w:right="180" w:firstLine="1018"/>
        <w:spacing w:after="0" w:line="249" w:lineRule="auto"/>
        <w:rPr>
          <w:sz w:val="20"/>
          <w:szCs w:val="20"/>
          <w:color w:val="auto"/>
        </w:rPr>
      </w:pPr>
      <w:r>
        <w:rPr>
          <w:rFonts w:ascii="Arial" w:cs="Arial" w:eastAsia="Arial" w:hAnsi="Arial"/>
          <w:sz w:val="18"/>
          <w:szCs w:val="18"/>
          <w:color w:val="auto"/>
        </w:rPr>
        <w:t>For the nine months ended September 30, 2022, certain of the Continuing LLC Owners executed an exchange of 4,650,195 Paired Interests and 158,051 non-corresponding Class A Units of Rani LLC in return for an equal number of shares of the Company’s Class A common stock. The corresponding shares of the Company’s Class B common stock included in the exchange of Paired Interests were subsequently cancelled and retired pursuant to the terms of the Rani LLC Agreement.</w:t>
      </w:r>
    </w:p>
    <w:p>
      <w:pPr>
        <w:spacing w:after="0" w:line="181" w:lineRule="exact"/>
        <w:rPr>
          <w:sz w:val="20"/>
          <w:szCs w:val="20"/>
          <w:color w:val="auto"/>
        </w:rPr>
      </w:pPr>
    </w:p>
    <w:p>
      <w:pPr>
        <w:ind w:right="80" w:firstLine="1018"/>
        <w:spacing w:after="0" w:line="245" w:lineRule="auto"/>
        <w:rPr>
          <w:sz w:val="20"/>
          <w:szCs w:val="20"/>
          <w:color w:val="auto"/>
        </w:rPr>
      </w:pPr>
      <w:r>
        <w:rPr>
          <w:rFonts w:ascii="Arial" w:cs="Arial" w:eastAsia="Arial" w:hAnsi="Arial"/>
          <w:sz w:val="18"/>
          <w:szCs w:val="18"/>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September 30, 2022, the Company has no sales under the Sales Agreement. In connection with the Sales Agreement, the Company recognized deferred offering costs totaling $0.3 million as a component of prepaid expenses and other current assets in the condensed consolidated balance sheet as of September 30, 2022 which will be offset against proceeds upon a sale under the Sales Agreement within the condensed consolidated statement of changes in stockholders equity.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ind w:left="1020" w:right="8780" w:hanging="1012"/>
        <w:spacing w:after="0" w:line="557" w:lineRule="auto"/>
        <w:tabs>
          <w:tab w:leader="none" w:pos="26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Equity-Based Compensation </w:t>
      </w:r>
      <w:r>
        <w:rPr>
          <w:rFonts w:ascii="Arial" w:cs="Arial" w:eastAsia="Arial" w:hAnsi="Arial"/>
          <w:sz w:val="16"/>
          <w:szCs w:val="16"/>
          <w:i w:val="1"/>
          <w:iCs w:val="1"/>
          <w:color w:val="auto"/>
        </w:rPr>
        <w:t>Stock Options</w:t>
      </w:r>
    </w:p>
    <w:p>
      <w:pPr>
        <w:ind w:left="1020"/>
        <w:spacing w:after="0"/>
        <w:rPr>
          <w:rFonts w:ascii="Arial" w:cs="Arial" w:eastAsia="Arial" w:hAnsi="Arial"/>
          <w:sz w:val="16"/>
          <w:szCs w:val="16"/>
          <w:b w:val="1"/>
          <w:bCs w:val="1"/>
          <w:color w:val="auto"/>
        </w:rPr>
      </w:pPr>
      <w:r>
        <w:rPr>
          <w:rFonts w:ascii="Arial" w:cs="Arial" w:eastAsia="Arial" w:hAnsi="Arial"/>
          <w:sz w:val="18"/>
          <w:szCs w:val="18"/>
          <w:color w:val="auto"/>
        </w:rPr>
        <w:t>A summary of stock option activity during the periods indicated is as follows:</w:t>
      </w:r>
    </w:p>
    <w:p>
      <w:pPr>
        <w:spacing w:after="0" w:line="203"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Weighted</w:t>
      </w:r>
    </w:p>
    <w:p>
      <w:pPr>
        <w:spacing w:after="0" w:line="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Average</w:t>
      </w:r>
    </w:p>
    <w:tbl>
      <w:tblPr>
        <w:tblLayout w:type="fixed"/>
        <w:tblInd w:w="860" w:type="dxa"/>
        <w:tblCellMar>
          <w:top w:w="0" w:type="dxa"/>
          <w:left w:w="0" w:type="dxa"/>
          <w:bottom w:w="0" w:type="dxa"/>
          <w:right w:w="0" w:type="dxa"/>
        </w:tblCellMar>
      </w:tblPr>
      <w:tr>
        <w:trPr>
          <w:trHeight w:val="134"/>
        </w:trPr>
        <w:tc>
          <w:tcPr>
            <w:tcW w:w="3560" w:type="dxa"/>
            <w:vAlign w:val="bottom"/>
          </w:tcPr>
          <w:p>
            <w:pPr>
              <w:spacing w:after="0"/>
              <w:rPr>
                <w:sz w:val="11"/>
                <w:szCs w:val="11"/>
                <w:color w:val="auto"/>
              </w:rPr>
            </w:pPr>
          </w:p>
        </w:tc>
        <w:tc>
          <w:tcPr>
            <w:tcW w:w="15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Number of Stock</w:t>
            </w:r>
          </w:p>
        </w:tc>
        <w:tc>
          <w:tcPr>
            <w:tcW w:w="12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4"/>
              </w:rPr>
              <w:t>Weighted Average</w:t>
            </w:r>
          </w:p>
        </w:tc>
        <w:tc>
          <w:tcPr>
            <w:tcW w:w="20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Aggregate Intrinsic</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6"/>
                <w:szCs w:val="16"/>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Exercise Price</w:t>
            </w: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Value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2,300,819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1,525,285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(56,135 )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3,769,969</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13.50</w:t>
            </w:r>
          </w:p>
        </w:tc>
        <w:tc>
          <w:tcPr>
            <w:tcW w:w="15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9.10</w:t>
            </w:r>
          </w:p>
        </w:tc>
        <w:tc>
          <w:tcPr>
            <w:tcW w:w="820" w:type="dxa"/>
            <w:vAlign w:val="bottom"/>
            <w:tcBorders>
              <w:top w:val="single" w:sz="8" w:color="CFF0FC"/>
            </w:tcBorders>
            <w:gridSpan w:val="2"/>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Exercisable at September 30, 2022</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851,908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13.07</w:t>
            </w:r>
          </w:p>
        </w:tc>
        <w:tc>
          <w:tcPr>
            <w:tcW w:w="15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8.88</w:t>
            </w:r>
          </w:p>
        </w:tc>
        <w:tc>
          <w:tcPr>
            <w:tcW w:w="820" w:type="dxa"/>
            <w:vAlign w:val="bottom"/>
            <w:tcBorders>
              <w:bottom w:val="single" w:sz="8" w:color="CFF0FC"/>
            </w:tcBorders>
            <w:gridSpan w:val="2"/>
            <w:shd w:val="clear" w:color="auto" w:fill="CFF0FC"/>
          </w:tcPr>
          <w:p>
            <w:pPr>
              <w:jc w:val="right"/>
              <w:ind w:right="42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line="196" w:lineRule="exact"/>
              <w:rPr>
                <w:sz w:val="20"/>
                <w:szCs w:val="20"/>
                <w:color w:val="auto"/>
              </w:rPr>
            </w:pPr>
            <w:r>
              <w:rPr>
                <w:rFonts w:ascii="Arial" w:cs="Arial" w:eastAsia="Arial" w:hAnsi="Arial"/>
                <w:sz w:val="18"/>
                <w:szCs w:val="18"/>
                <w:color w:val="auto"/>
              </w:rPr>
              <w:t>Nonvested at September 30, 2022</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2,918,061</w:t>
            </w:r>
          </w:p>
        </w:tc>
        <w:tc>
          <w:tcPr>
            <w:tcW w:w="2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13.63</w:t>
            </w:r>
          </w:p>
        </w:tc>
        <w:tc>
          <w:tcPr>
            <w:tcW w:w="1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9.16</w:t>
            </w:r>
          </w:p>
        </w:tc>
        <w:tc>
          <w:tcPr>
            <w:tcW w:w="820" w:type="dxa"/>
            <w:vAlign w:val="bottom"/>
            <w:gridSpan w:val="2"/>
          </w:tcPr>
          <w:p>
            <w:pPr>
              <w:jc w:val="right"/>
              <w:ind w:right="422"/>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-496570</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340" w:firstLine="1018"/>
        <w:spacing w:after="0" w:line="277" w:lineRule="auto"/>
        <w:rPr>
          <w:sz w:val="20"/>
          <w:szCs w:val="20"/>
          <w:color w:val="auto"/>
        </w:rPr>
      </w:pPr>
      <w:r>
        <w:rPr>
          <w:rFonts w:ascii="Arial" w:cs="Arial" w:eastAsia="Arial" w:hAnsi="Arial"/>
          <w:sz w:val="18"/>
          <w:szCs w:val="18"/>
          <w:color w:val="auto"/>
        </w:rPr>
        <w:t>As of September 30, 2022, there was $25.6 million of unrecognized equity-based compensation expense related to stock options which is expected to be recognized over a weighted-average period of approximately 2.7 years.</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Units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RSU activity during the periods indicated is as follows: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Number of Restricted Stock</w:t>
            </w: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5"/>
              </w:rPr>
              <w:t>Weighted Average Grant-Date</w:t>
            </w:r>
          </w:p>
        </w:tc>
        <w:tc>
          <w:tcPr>
            <w:tcW w:w="100" w:type="dxa"/>
            <w:vAlign w:val="bottom"/>
          </w:tcPr>
          <w:p>
            <w:pPr>
              <w:spacing w:after="0"/>
              <w:rPr>
                <w:sz w:val="14"/>
                <w:szCs w:val="14"/>
                <w:color w:val="auto"/>
              </w:rPr>
            </w:pPr>
          </w:p>
        </w:tc>
      </w:tr>
      <w:tr>
        <w:trPr>
          <w:trHeight w:val="185"/>
        </w:trPr>
        <w:tc>
          <w:tcPr>
            <w:tcW w:w="5320" w:type="dxa"/>
            <w:vAlign w:val="bottom"/>
          </w:tcPr>
          <w:p>
            <w:pPr>
              <w:spacing w:after="0"/>
              <w:rPr>
                <w:sz w:val="16"/>
                <w:szCs w:val="16"/>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6"/>
                <w:szCs w:val="16"/>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596,500</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443,400</w:t>
            </w: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(267,650 )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(86,600 )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685,650</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80" w:firstLine="1018"/>
        <w:spacing w:after="0" w:line="261" w:lineRule="auto"/>
        <w:rPr>
          <w:sz w:val="20"/>
          <w:szCs w:val="20"/>
          <w:color w:val="auto"/>
        </w:rPr>
      </w:pPr>
      <w:r>
        <w:rPr>
          <w:rFonts w:ascii="Arial" w:cs="Arial" w:eastAsia="Arial" w:hAnsi="Arial"/>
          <w:sz w:val="18"/>
          <w:szCs w:val="18"/>
          <w:color w:val="auto"/>
        </w:rPr>
        <w:t>As of September 30, 2022, there was $9.7 million of unrecognized equity-based compensation expense related to RSUs which is expected to be recognized over a weighted-average period of approximately 2.5 years.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RSA activity during the periods indicated is as follows: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Number of Restricted Stock</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Weighted Average Grant-Date</w:t>
            </w:r>
          </w:p>
        </w:tc>
        <w:tc>
          <w:tcPr>
            <w:tcW w:w="100" w:type="dxa"/>
            <w:vAlign w:val="bottom"/>
          </w:tcPr>
          <w:p>
            <w:pPr>
              <w:spacing w:after="0"/>
              <w:rPr>
                <w:sz w:val="14"/>
                <w:szCs w:val="14"/>
                <w:color w:val="auto"/>
              </w:rPr>
            </w:pPr>
          </w:p>
        </w:tc>
      </w:tr>
      <w:tr>
        <w:trPr>
          <w:trHeight w:val="171"/>
        </w:trPr>
        <w:tc>
          <w:tcPr>
            <w:tcW w:w="5300" w:type="dxa"/>
            <w:vAlign w:val="bottom"/>
          </w:tcPr>
          <w:p>
            <w:pPr>
              <w:spacing w:after="0"/>
              <w:rPr>
                <w:sz w:val="14"/>
                <w:szCs w:val="14"/>
                <w:color w:val="auto"/>
              </w:rPr>
            </w:pPr>
          </w:p>
        </w:tc>
        <w:tc>
          <w:tcPr>
            <w:tcW w:w="22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4"/>
                <w:szCs w:val="14"/>
                <w:color w:val="auto"/>
              </w:rPr>
            </w:pPr>
          </w:p>
        </w:tc>
        <w:tc>
          <w:tcPr>
            <w:tcW w:w="17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4"/>
                <w:szCs w:val="14"/>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113,173</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Vested</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(33,237 )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2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(4,548 )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18"/>
                <w:szCs w:val="18"/>
                <w:color w:val="auto"/>
              </w:rPr>
            </w:pPr>
          </w:p>
        </w:tc>
      </w:tr>
      <w:tr>
        <w:trPr>
          <w:trHeight w:val="209"/>
        </w:trPr>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2022</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75,388</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FF0FC"/>
            </w:tcBorders>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right="80" w:firstLine="1018"/>
        <w:spacing w:after="0" w:line="256" w:lineRule="auto"/>
        <w:rPr>
          <w:sz w:val="20"/>
          <w:szCs w:val="20"/>
          <w:color w:val="auto"/>
        </w:rPr>
      </w:pPr>
      <w:r>
        <w:rPr>
          <w:rFonts w:ascii="Arial" w:cs="Arial" w:eastAsia="Arial" w:hAnsi="Arial"/>
          <w:sz w:val="18"/>
          <w:szCs w:val="18"/>
          <w:color w:val="auto"/>
        </w:rPr>
        <w:t>As of September 30, 2022, there was $0.2 million of unrecognized equity-based compensation expense related to RSAs which is expected to be recognized over a weighted-average period of approximately 1.2 years. The total fair value of the RSAs that vested in 2022 was approximately $0.5 million.</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ind w:right="20" w:firstLine="1018"/>
        <w:spacing w:after="0" w:line="263" w:lineRule="auto"/>
        <w:rPr>
          <w:sz w:val="20"/>
          <w:szCs w:val="20"/>
          <w:color w:val="auto"/>
        </w:rPr>
      </w:pPr>
      <w:r>
        <w:rPr>
          <w:rFonts w:ascii="Arial" w:cs="Arial" w:eastAsia="Arial" w:hAnsi="Arial"/>
          <w:sz w:val="17"/>
          <w:szCs w:val="17"/>
          <w:color w:val="auto"/>
        </w:rPr>
        <w:t>The Company recognized $0.1 million of stock-based compensation expense related to the 2021 Employee Stock Purchase Plan (the “ESPP”) during the nine months ended September 30, 2022. There was no stock-based compensation expense related to the ESPP recognized during the nine months ended September 30, 2021. As of September 30, 2022, contributions withheld from employees were $0.2 million and recorded as a component of accrued expenses in the condensed consolidated balance sheet. As of September 30, 2022, total unrecognized compensation costs related to the ESPP were de minimis and will be amortized over a weighted average vesting term of 0.2 years.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225" w:lineRule="exact"/>
        <w:rPr>
          <w:sz w:val="20"/>
          <w:szCs w:val="20"/>
          <w:color w:val="auto"/>
        </w:rPr>
      </w:pPr>
    </w:p>
    <w:p>
      <w:pPr>
        <w:ind w:right="380" w:firstLine="1018"/>
        <w:spacing w:after="0" w:line="248" w:lineRule="auto"/>
        <w:rPr>
          <w:sz w:val="20"/>
          <w:szCs w:val="20"/>
          <w:color w:val="auto"/>
        </w:rPr>
      </w:pPr>
      <w:r>
        <w:rPr>
          <w:rFonts w:ascii="Arial" w:cs="Arial" w:eastAsia="Arial" w:hAnsi="Arial"/>
          <w:sz w:val="18"/>
          <w:szCs w:val="18"/>
          <w:color w:val="auto"/>
        </w:rPr>
        <w:t>The following table summarizes the components of equity-based compensation expense resulting from the grant of stock options, RSUs, RSAs, the ESPP, and a secondary sales transaction entered into in February 2021, recorded in the Company’s condensed consolidated statement of operations and comprehensive loss (in thousands):</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169"/>
        </w:trPr>
        <w:tc>
          <w:tcPr>
            <w:tcW w:w="37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4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1,700</w:t>
            </w:r>
          </w:p>
        </w:tc>
        <w:tc>
          <w:tcPr>
            <w:tcW w:w="1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2,702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12,061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Pr>
          <w:p>
            <w:pPr>
              <w:spacing w:after="0"/>
              <w:rPr>
                <w:sz w:val="18"/>
                <w:szCs w:val="18"/>
                <w:color w:val="auto"/>
              </w:rPr>
            </w:pPr>
          </w:p>
        </w:tc>
      </w:tr>
      <w:tr>
        <w:trPr>
          <w:trHeight w:val="250"/>
        </w:trPr>
        <w:tc>
          <w:tcPr>
            <w:tcW w:w="37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equity-based compensation</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4,402</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it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100" w:firstLine="1018"/>
        <w:spacing w:after="0" w:line="245" w:lineRule="auto"/>
        <w:rPr>
          <w:sz w:val="20"/>
          <w:szCs w:val="20"/>
          <w:color w:val="auto"/>
        </w:rPr>
      </w:pPr>
      <w:r>
        <w:rPr>
          <w:rFonts w:ascii="Arial" w:cs="Arial" w:eastAsia="Arial" w:hAnsi="Arial"/>
          <w:sz w:val="18"/>
          <w:szCs w:val="18"/>
          <w:color w:val="auto"/>
        </w:rPr>
        <w:t>The Company is party to a TRA with certain of the Continuing LLC Owners (Note 2). As of September 30, 2022,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$20.8 million at September 30, 2022.</w:t>
      </w:r>
    </w:p>
    <w:p>
      <w:pPr>
        <w:spacing w:after="0" w:line="199" w:lineRule="exact"/>
        <w:rPr>
          <w:sz w:val="20"/>
          <w:szCs w:val="20"/>
          <w:color w:val="auto"/>
        </w:rPr>
      </w:pPr>
    </w:p>
    <w:p>
      <w:pPr>
        <w:ind w:firstLine="1018"/>
        <w:spacing w:after="0" w:line="294"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ind w:right="40" w:firstLine="1018"/>
        <w:spacing w:after="0" w:line="261" w:lineRule="auto"/>
        <w:rPr>
          <w:sz w:val="20"/>
          <w:szCs w:val="20"/>
          <w:color w:val="auto"/>
        </w:rPr>
      </w:pPr>
      <w:r>
        <w:rPr>
          <w:rFonts w:ascii="Arial" w:cs="Arial" w:eastAsia="Arial" w:hAnsi="Arial"/>
          <w:sz w:val="17"/>
          <w:szCs w:val="17"/>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The remaining $15.0 million of Loans (“Tranche 2”) is uncommitted and is subject to certain conditions and approval by the Lender. The purpose of the Loans is for general corporate purposes. In exchange for access to this facility, the Company agreed to issue warrants exercisable into 76,336 shares of the Company's Class A common stock, as may be adjusted for certain anti-dilution adjustments, dividends, stock splits, and reverse stock splits, at an exercise price per share equal to $11.79 (Note 9).</w:t>
      </w:r>
    </w:p>
    <w:p>
      <w:pPr>
        <w:spacing w:after="0" w:line="172" w:lineRule="exact"/>
        <w:rPr>
          <w:sz w:val="20"/>
          <w:szCs w:val="20"/>
          <w:color w:val="auto"/>
        </w:rPr>
      </w:pPr>
    </w:p>
    <w:p>
      <w:pPr>
        <w:ind w:right="20" w:firstLine="1018"/>
        <w:spacing w:after="0" w:line="246" w:lineRule="auto"/>
        <w:rPr>
          <w:sz w:val="20"/>
          <w:szCs w:val="20"/>
          <w:color w:val="auto"/>
        </w:rPr>
      </w:pPr>
      <w:r>
        <w:rPr>
          <w:rFonts w:ascii="Arial" w:cs="Arial" w:eastAsia="Arial" w:hAnsi="Arial"/>
          <w:sz w:val="18"/>
          <w:szCs w:val="18"/>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September 30,</w:t>
      </w:r>
    </w:p>
    <w:p>
      <w:pPr>
        <w:spacing w:after="0" w:line="1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2022, the effective interest rate on the Loans was 14.09% and there were no events of default during the nine months ended September 30, 2022.</w:t>
      </w:r>
    </w:p>
    <w:p>
      <w:pPr>
        <w:spacing w:after="0" w:line="237" w:lineRule="exact"/>
        <w:rPr>
          <w:sz w:val="20"/>
          <w:szCs w:val="20"/>
          <w:color w:val="auto"/>
        </w:rPr>
      </w:pPr>
    </w:p>
    <w:p>
      <w:pPr>
        <w:ind w:right="60" w:firstLine="1018"/>
        <w:spacing w:after="0" w:line="291" w:lineRule="auto"/>
        <w:rPr>
          <w:sz w:val="20"/>
          <w:szCs w:val="20"/>
          <w:color w:val="auto"/>
        </w:rPr>
      </w:pPr>
      <w:r>
        <w:rPr>
          <w:rFonts w:ascii="Arial" w:cs="Arial" w:eastAsia="Arial" w:hAnsi="Arial"/>
          <w:sz w:val="17"/>
          <w:szCs w:val="17"/>
          <w:color w:val="auto"/>
        </w:rPr>
        <w:t>The Loans contains a contingent interest feature in the event of default that is not clearly and closely related to the underlying note and meets the definition of a derivative. The Company concluded that the fair value of this derivative was insignificant at September 30, 2022.</w:t>
      </w:r>
    </w:p>
    <w:p>
      <w:pPr>
        <w:spacing w:after="0" w:line="147"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6"/>
          <w:szCs w:val="16"/>
          <w:color w:val="auto"/>
        </w:rPr>
        <w:t>Pursuant to the Loan Agreement, beginning on the first anniversary of the closing, the Company is subject to a financial covenant that requires the Company to have at least two drug products utilizing its oral delivery technology in clinical development at all times. The financial covenant does not apply if the Company has a market capitalization above $650.0 million. The Loan Agreement also contains various covenants and restrictive provisions that, among other things, limit the Company’s ability to (i) incur additional debt, guarantees or liens; (ii) pay any dividends; (iii) enter into certain change of control transactions; (iv) sell, transfer, lease, license, or otherwise dispose of certain assets; (v) make certain investments or loans; and</w:t>
      </w:r>
    </w:p>
    <w:p>
      <w:pPr>
        <w:spacing w:after="0" w:line="1" w:lineRule="exact"/>
        <w:rPr>
          <w:sz w:val="20"/>
          <w:szCs w:val="20"/>
          <w:color w:val="auto"/>
        </w:rPr>
      </w:pPr>
    </w:p>
    <w:p>
      <w:pPr>
        <w:ind w:right="400" w:firstLine="8"/>
        <w:spacing w:after="0" w:line="243"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transactions with related persons. As of September 30, 2022, the Company was in compliance with all applicable debt covenants under the Loan Agreement.</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September 30, 2022, future principal payments for the Company’s debt are as follows (in thousands):</w:t>
      </w: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2022 (remaining three months)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2026</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FF0FC"/>
            </w:tcBorders>
          </w:tcPr>
          <w:p>
            <w:pPr>
              <w:spacing w:after="0"/>
              <w:rPr>
                <w:sz w:val="18"/>
                <w:szCs w:val="18"/>
                <w:color w:val="auto"/>
              </w:rPr>
            </w:pPr>
          </w:p>
        </w:tc>
      </w:tr>
      <w:tr>
        <w:trPr>
          <w:trHeight w:val="210"/>
        </w:trPr>
        <w:tc>
          <w:tcPr>
            <w:tcW w:w="7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principal payments</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Less: amount representing debt discount</w:t>
            </w:r>
          </w:p>
        </w:tc>
        <w:tc>
          <w:tcPr>
            <w:tcW w:w="6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(909 )</w:t>
            </w:r>
          </w:p>
        </w:tc>
      </w:tr>
      <w:tr>
        <w:trPr>
          <w:trHeight w:val="249"/>
        </w:trPr>
        <w:tc>
          <w:tcPr>
            <w:tcW w:w="7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long-term debt</w:t>
            </w: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-454025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40" w:firstLine="1018"/>
        <w:spacing w:after="0" w:line="246" w:lineRule="auto"/>
        <w:rPr>
          <w:sz w:val="20"/>
          <w:szCs w:val="20"/>
          <w:color w:val="auto"/>
        </w:rPr>
      </w:pPr>
      <w:r>
        <w:rPr>
          <w:rFonts w:ascii="Arial" w:cs="Arial" w:eastAsia="Arial" w:hAnsi="Arial"/>
          <w:sz w:val="18"/>
          <w:szCs w:val="18"/>
          <w:color w:val="auto"/>
        </w:rPr>
        <w:t>The fair value of the warrants to purchase the Company's Class A common stock issued in connection with the Loan Agreement were estimated on the date of issuance using the Black-Scholes valuation model and recorded to additional paid-in capital. The fair value of the warrants on the date of issuance as well as the debt issuance costs incurred in connection with the entry into the Loan Agreement are presented as a direct deduction from the carrying amount of the term loan on the condensed consolidated balance sheet and are being amortized utilizing the effective interest method over the term of the loan. The Company recorded interest expense for the amortization of the fair value of the warrants and debt issuance costs that were de minimis for the three and nine months ended September 30,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right="20" w:firstLine="1018"/>
        <w:spacing w:after="0" w:line="261" w:lineRule="auto"/>
        <w:rPr>
          <w:sz w:val="20"/>
          <w:szCs w:val="20"/>
          <w:color w:val="auto"/>
        </w:rPr>
      </w:pPr>
      <w:r>
        <w:rPr>
          <w:rFonts w:ascii="Arial" w:cs="Arial" w:eastAsia="Arial" w:hAnsi="Arial"/>
          <w:sz w:val="17"/>
          <w:szCs w:val="17"/>
          <w:color w:val="auto"/>
        </w:rPr>
        <w:t>The Company is the managing member of Rani LLC and, as a result, consolidates the financial results of Rani LLC and its taxable subsidiary RMS in the condensed consolidated financial statements.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 The Company's tax provision also includes the activity of RMS, which is taxed as a corporation for United States federal and state income tax purposes.</w:t>
      </w:r>
    </w:p>
    <w:p>
      <w:pPr>
        <w:spacing w:after="0" w:line="172" w:lineRule="exact"/>
        <w:rPr>
          <w:sz w:val="20"/>
          <w:szCs w:val="20"/>
          <w:color w:val="auto"/>
        </w:rPr>
      </w:pPr>
    </w:p>
    <w:p>
      <w:pPr>
        <w:ind w:right="60" w:firstLine="1018"/>
        <w:spacing w:after="0" w:line="249" w:lineRule="auto"/>
        <w:rPr>
          <w:sz w:val="20"/>
          <w:szCs w:val="20"/>
          <w:color w:val="auto"/>
        </w:rPr>
      </w:pPr>
      <w:r>
        <w:rPr>
          <w:rFonts w:ascii="Arial" w:cs="Arial" w:eastAsia="Arial" w:hAnsi="Arial"/>
          <w:sz w:val="18"/>
          <w:szCs w:val="18"/>
          <w:color w:val="auto"/>
        </w:rPr>
        <w:t>The Company’s effective income tax rate was (0.24)% and (0.21)% for the nine months ended September 30, 2022 and 2021, respectively. As a result of the exchanges for the nine months ended September 30, 2022 (Note 10), the Company recorded a $18.0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p>
    <w:p>
      <w:pPr>
        <w:spacing w:after="0" w:line="182"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There were no material changes to uncertain tax positions for the nine months ended September 30, 2022 and 2021, and the Company does not anticipate material changes within the next 12 months.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Net Loss Per Share</w:t>
      </w:r>
    </w:p>
    <w:p>
      <w:pPr>
        <w:spacing w:after="0" w:line="216" w:lineRule="exact"/>
        <w:rPr>
          <w:sz w:val="20"/>
          <w:szCs w:val="20"/>
          <w:color w:val="auto"/>
        </w:rPr>
      </w:pPr>
    </w:p>
    <w:p>
      <w:pPr>
        <w:ind w:right="460" w:firstLine="101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Class A common share attributable to Rani Holdings (in thousands, except per share data):</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line="168" w:lineRule="exact"/>
              <w:rPr>
                <w:sz w:val="20"/>
                <w:szCs w:val="20"/>
                <w:color w:val="auto"/>
              </w:rPr>
            </w:pPr>
            <w:r>
              <w:rPr>
                <w:rFonts w:ascii="Arial" w:cs="Arial" w:eastAsia="Arial" w:hAnsi="Arial"/>
                <w:sz w:val="18"/>
                <w:szCs w:val="18"/>
                <w:color w:val="auto"/>
              </w:rPr>
              <w:t>Net loss per Class A common share attributable to Rani</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(7,955 ) $</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(3,142 )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(21,802 ) $</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(3,142 )</w:t>
            </w:r>
          </w:p>
        </w:tc>
        <w:tc>
          <w:tcPr>
            <w:tcW w:w="0" w:type="dxa"/>
            <w:vAlign w:val="bottom"/>
          </w:tcPr>
          <w:p>
            <w:pPr>
              <w:spacing w:after="0"/>
              <w:rPr>
                <w:sz w:val="1"/>
                <w:szCs w:val="1"/>
                <w:color w:val="auto"/>
              </w:rPr>
            </w:pPr>
          </w:p>
        </w:tc>
      </w:tr>
      <w:tr>
        <w:trPr>
          <w:trHeight w:val="190"/>
        </w:trPr>
        <w:tc>
          <w:tcPr>
            <w:tcW w:w="4660" w:type="dxa"/>
            <w:vAlign w:val="bottom"/>
          </w:tcPr>
          <w:p>
            <w:pPr>
              <w:spacing w:after="0" w:line="190" w:lineRule="exact"/>
              <w:rPr>
                <w:sz w:val="20"/>
                <w:szCs w:val="20"/>
                <w:color w:val="auto"/>
              </w:rPr>
            </w:pPr>
            <w:r>
              <w:rPr>
                <w:rFonts w:ascii="Arial" w:cs="Arial" w:eastAsia="Arial" w:hAnsi="Arial"/>
                <w:sz w:val="18"/>
                <w:szCs w:val="18"/>
                <w:color w:val="auto"/>
              </w:rPr>
              <w:t>Therapeutics Holdings, Inc.</w:t>
            </w:r>
          </w:p>
        </w:tc>
        <w:tc>
          <w:tcPr>
            <w:tcW w:w="24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line="175" w:lineRule="exact"/>
              <w:rPr>
                <w:sz w:val="20"/>
                <w:szCs w:val="20"/>
                <w:color w:val="auto"/>
              </w:rPr>
            </w:pPr>
            <w:r>
              <w:rPr>
                <w:rFonts w:ascii="Arial" w:cs="Arial" w:eastAsia="Arial" w:hAnsi="Arial"/>
                <w:sz w:val="18"/>
                <w:szCs w:val="18"/>
                <w:color w:val="auto"/>
                <w:w w:val="93"/>
              </w:rPr>
              <w:t>Weighted average Class A common share outstanding—basic</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19,437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23,449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19,437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Net loss per Class A common share attributable to Rani</w:t>
            </w:r>
          </w:p>
        </w:tc>
        <w:tc>
          <w:tcPr>
            <w:tcW w:w="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(0.33 ) $</w:t>
            </w:r>
          </w:p>
        </w:tc>
        <w:tc>
          <w:tcPr>
            <w:tcW w:w="10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(0.16 )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3"/>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(0.93 ) $</w:t>
            </w:r>
          </w:p>
        </w:tc>
        <w:tc>
          <w:tcPr>
            <w:tcW w:w="8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line="190" w:lineRule="exact"/>
              <w:rPr>
                <w:sz w:val="20"/>
                <w:szCs w:val="20"/>
                <w:color w:val="auto"/>
              </w:rPr>
            </w:pPr>
            <w:r>
              <w:rPr>
                <w:rFonts w:ascii="Arial" w:cs="Arial" w:eastAsia="Arial" w:hAnsi="Arial"/>
                <w:sz w:val="18"/>
                <w:szCs w:val="18"/>
                <w:color w:val="auto"/>
              </w:rPr>
              <w:t>Therapeutics Holdings, Inc.—basic and diluted</w:t>
            </w:r>
          </w:p>
        </w:tc>
        <w:tc>
          <w:tcPr>
            <w:tcW w:w="240" w:type="dxa"/>
            <w:vAlign w:val="bottom"/>
            <w:vMerge w:val="continue"/>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60" w:type="dxa"/>
            <w:vAlign w:val="bottom"/>
            <w:gridSpan w:val="3"/>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-916305</wp:posOffset>
            </wp:positionV>
            <wp:extent cx="68580" cy="265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-916305</wp:posOffset>
            </wp:positionV>
            <wp:extent cx="60325" cy="265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59690" cy="265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-916305</wp:posOffset>
            </wp:positionV>
            <wp:extent cx="60325" cy="265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Class A common share attributable to Rani Holdings:</w:t>
      </w:r>
    </w:p>
    <w:p>
      <w:pPr>
        <w:spacing w:after="0" w:line="148"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21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As of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Paired Interests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24,640,196</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29,290,391</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Stock options</w:t>
            </w:r>
          </w:p>
        </w:tc>
        <w:tc>
          <w:tcPr>
            <w:tcW w:w="1440" w:type="dxa"/>
            <w:vAlign w:val="bottom"/>
          </w:tcPr>
          <w:p>
            <w:pPr>
              <w:jc w:val="right"/>
              <w:spacing w:after="0"/>
              <w:rPr>
                <w:sz w:val="20"/>
                <w:szCs w:val="20"/>
                <w:color w:val="auto"/>
              </w:rPr>
            </w:pPr>
            <w:r>
              <w:rPr>
                <w:rFonts w:ascii="Arial" w:cs="Arial" w:eastAsia="Arial" w:hAnsi="Arial"/>
                <w:sz w:val="18"/>
                <w:szCs w:val="18"/>
                <w:color w:val="auto"/>
              </w:rPr>
              <w:t>3,769,969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2,119,524</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Non-corresponding Class A Units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1,387,471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1,545,811</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685,650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597,500</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76,336</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75,388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119,915</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issuable pursuant to the ESPP</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30,558</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30,665,568</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33,673,141</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-170815</wp:posOffset>
            </wp:positionV>
            <wp:extent cx="6032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firstLine="1018"/>
        <w:spacing w:after="0" w:line="249" w:lineRule="auto"/>
        <w:rPr>
          <w:sz w:val="20"/>
          <w:szCs w:val="20"/>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nine months ended September 30, 2022. Therefore, they are not included in the computation of net loss per Class A common share attributable to Rani Holdings.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9" w:lineRule="exact"/>
        <w:rPr>
          <w:sz w:val="20"/>
          <w:szCs w:val="20"/>
          <w:color w:val="auto"/>
        </w:rPr>
      </w:pPr>
    </w:p>
    <w:p>
      <w:pPr>
        <w:ind w:right="60" w:firstLine="1018"/>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on Form 10-Q and the audited consolidated financial statements and notes thereto included in our Annual Report on Form 10-K for the year ended December 31, 2021,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our Annual Report on Form 10-K for the year ended December 31, 2021. Please also see the section titled “Forward Looking Statements.”</w:t>
      </w:r>
    </w:p>
    <w:p>
      <w:pPr>
        <w:spacing w:after="0" w:line="175" w:lineRule="exact"/>
        <w:rPr>
          <w:sz w:val="20"/>
          <w:szCs w:val="20"/>
          <w:color w:val="auto"/>
        </w:rPr>
      </w:pPr>
    </w:p>
    <w:p>
      <w:pPr>
        <w:ind w:right="40" w:firstLine="1018"/>
        <w:spacing w:after="0" w:line="268" w:lineRule="auto"/>
        <w:rPr>
          <w:sz w:val="20"/>
          <w:szCs w:val="20"/>
          <w:color w:val="auto"/>
        </w:rPr>
      </w:pPr>
      <w:r>
        <w:rPr>
          <w:rFonts w:ascii="Arial" w:cs="Arial" w:eastAsia="Arial" w:hAnsi="Arial"/>
          <w:sz w:val="17"/>
          <w:szCs w:val="17"/>
          <w:i w:val="1"/>
          <w:iCs w:val="1"/>
          <w:color w:val="auto"/>
        </w:rPr>
        <w:t>The following discussion contains references to calendar year 2021 and the nine months ended September 30, 2022 and 2021, respectively, which represents the condensed consolidated financial results of Rani Therapeutics Holdings, Inc. (the "Company") and its subsidiaries for the year ended December 31, 2021 and the nine months ended September 30, 2022 and 2021, respectively. Unless we state otherwise or the context otherwise requires, the terms “we,” “us,” “our,” and “Rani” and similar references refers to the Company and its consolidated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20" w:firstLine="1018"/>
        <w:spacing w:after="0" w:line="248"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95" w:lineRule="exact"/>
        <w:rPr>
          <w:sz w:val="20"/>
          <w:szCs w:val="20"/>
          <w:color w:val="auto"/>
        </w:rPr>
      </w:pPr>
    </w:p>
    <w:p>
      <w:pPr>
        <w:ind w:right="80" w:firstLine="1018"/>
        <w:spacing w:after="0" w:line="263" w:lineRule="auto"/>
        <w:rPr>
          <w:sz w:val="20"/>
          <w:szCs w:val="20"/>
          <w:color w:val="auto"/>
        </w:rPr>
      </w:pPr>
      <w:r>
        <w:rPr>
          <w:rFonts w:ascii="Arial" w:cs="Arial" w:eastAsia="Arial" w:hAnsi="Arial"/>
          <w:sz w:val="17"/>
          <w:szCs w:val="17"/>
          <w:color w:val="auto"/>
        </w:rPr>
        <w:t>We are developing and clinically testing a drug-agnostic oral delivery platform, the RaniPill capsule, which is designed to deliver a wide variety of drugs,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w:t>
      </w:r>
    </w:p>
    <w:p>
      <w:pPr>
        <w:spacing w:after="0" w:line="171" w:lineRule="exact"/>
        <w:rPr>
          <w:sz w:val="20"/>
          <w:szCs w:val="20"/>
          <w:color w:val="auto"/>
        </w:rPr>
      </w:pPr>
    </w:p>
    <w:p>
      <w:pPr>
        <w:ind w:right="160" w:firstLine="1018"/>
        <w:spacing w:after="0" w:line="249"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Rani LLC preferred units, the issuance of convertible promissory notes, long-term debt, and contract revenue generated from our evaluation agreements.</w:t>
      </w:r>
    </w:p>
    <w:p>
      <w:pPr>
        <w:spacing w:after="0" w:line="181" w:lineRule="exact"/>
        <w:rPr>
          <w:sz w:val="20"/>
          <w:szCs w:val="20"/>
          <w:color w:val="auto"/>
        </w:rPr>
      </w:pPr>
    </w:p>
    <w:p>
      <w:pPr>
        <w:ind w:right="120" w:firstLine="1018"/>
        <w:spacing w:after="0" w:line="283"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ind w:firstLine="1018"/>
        <w:spacing w:after="0" w:line="257" w:lineRule="auto"/>
        <w:rPr>
          <w:sz w:val="20"/>
          <w:szCs w:val="20"/>
          <w:color w:val="auto"/>
        </w:rPr>
      </w:pPr>
      <w:r>
        <w:rPr>
          <w:rFonts w:ascii="Arial" w:cs="Arial" w:eastAsia="Arial" w:hAnsi="Arial"/>
          <w:sz w:val="17"/>
          <w:szCs w:val="17"/>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w:t>
      </w:r>
    </w:p>
    <w:p>
      <w:pPr>
        <w:spacing w:after="0" w:line="212"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We have begun preclinical development with RT-111, a RaniPill GO capsule containing an ustekinumab biosimilar. The RaniPill GO is the original RaniPill capsule, which has been developed to deliver payloads up to 3mg with high bioavailability.</w:t>
      </w:r>
    </w:p>
    <w:p>
      <w:pPr>
        <w:spacing w:after="0" w:line="184" w:lineRule="exact"/>
        <w:rPr>
          <w:sz w:val="20"/>
          <w:szCs w:val="20"/>
          <w:color w:val="auto"/>
        </w:rPr>
      </w:pPr>
    </w:p>
    <w:p>
      <w:pPr>
        <w:ind w:right="60" w:firstLine="1018"/>
        <w:spacing w:after="0" w:line="249" w:lineRule="auto"/>
        <w:rPr>
          <w:sz w:val="20"/>
          <w:szCs w:val="20"/>
          <w:color w:val="auto"/>
        </w:rPr>
      </w:pPr>
      <w:r>
        <w:rPr>
          <w:rFonts w:ascii="Arial" w:cs="Arial" w:eastAsia="Arial" w:hAnsi="Arial"/>
          <w:sz w:val="18"/>
          <w:szCs w:val="18"/>
          <w:color w:val="auto"/>
        </w:rPr>
        <w:t>In August 2022, we announced positive topline results from Part 1 of the Phase 1 study of RT-102, which met all of its endpoints while being generally well-tolerated. In the study, RT-102 orally delivered 20µg and 80µg of our parathyroid hormone (“PTH”) with 300-400% greater bioavailability than subcutaneous Forteo® (teriparatide) 20µg. We anticipate announcing topline data from Part 2 of the Phase 1 study of RT-102, which will be the first repeat-dose data of the RaniPill capsule in humans, in the fourth quarter of 2022.</w:t>
      </w:r>
    </w:p>
    <w:p>
      <w:pPr>
        <w:spacing w:after="0" w:line="181" w:lineRule="exact"/>
        <w:rPr>
          <w:sz w:val="20"/>
          <w:szCs w:val="20"/>
          <w:color w:val="auto"/>
        </w:rPr>
      </w:pPr>
    </w:p>
    <w:p>
      <w:pPr>
        <w:jc w:val="both"/>
        <w:ind w:firstLine="1018"/>
        <w:spacing w:after="0" w:line="256" w:lineRule="auto"/>
        <w:rPr>
          <w:sz w:val="20"/>
          <w:szCs w:val="20"/>
          <w:color w:val="auto"/>
        </w:rPr>
      </w:pPr>
      <w:r>
        <w:rPr>
          <w:rFonts w:ascii="Arial" w:cs="Arial" w:eastAsia="Arial" w:hAnsi="Arial"/>
          <w:sz w:val="18"/>
          <w:szCs w:val="18"/>
          <w:color w:val="auto"/>
        </w:rPr>
        <w:t>We are continuing development of the RaniPill HC, a high-capacity RaniPill capsule capable of delivering drug payloads up to 20mg, 500%-plus higher than the payload capacity of the RaniPill GO. We intend to conduct in vivo studies with a fully-autonomous RaniPill HC in the fourth quarter of 2022.</w:t>
      </w:r>
    </w:p>
    <w:p>
      <w:pPr>
        <w:spacing w:after="0" w:line="175"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We will not be initiating a separate repeat-dose platform study in 2022. We incorporated repeat dosing into the design of the Phase 1 study of RT-102 and expect to obtain longer term repeat-dose data in a Phase 2 study of RT-102 planned for 2023.</w:t>
      </w:r>
    </w:p>
    <w:p>
      <w:pPr>
        <w:spacing w:after="0" w:line="184" w:lineRule="exact"/>
        <w:rPr>
          <w:sz w:val="20"/>
          <w:szCs w:val="20"/>
          <w:color w:val="auto"/>
        </w:rPr>
      </w:pPr>
    </w:p>
    <w:p>
      <w:pPr>
        <w:ind w:right="60" w:firstLine="1018"/>
        <w:spacing w:after="0" w:line="324" w:lineRule="auto"/>
        <w:rPr>
          <w:sz w:val="20"/>
          <w:szCs w:val="20"/>
          <w:color w:val="auto"/>
        </w:rPr>
      </w:pPr>
      <w:r>
        <w:rPr>
          <w:rFonts w:ascii="Arial" w:cs="Arial" w:eastAsia="Arial" w:hAnsi="Arial"/>
          <w:sz w:val="16"/>
          <w:szCs w:val="16"/>
          <w:color w:val="auto"/>
        </w:rPr>
        <w:t>Following a strategic priority review, we decided not to continue active development of RT-109, a RaniPill capsule containing human growth hormone. We remain open to partnering opportunities with respect to RT-109, but intend to focus internal efforts on our other pipeline programs.</w:t>
      </w:r>
    </w:p>
    <w:p>
      <w:pPr>
        <w:spacing w:after="0" w:line="124" w:lineRule="exact"/>
        <w:rPr>
          <w:sz w:val="20"/>
          <w:szCs w:val="20"/>
          <w:color w:val="auto"/>
        </w:rPr>
      </w:pPr>
    </w:p>
    <w:p>
      <w:pPr>
        <w:ind w:right="20" w:firstLine="1018"/>
        <w:spacing w:after="0" w:line="256" w:lineRule="auto"/>
        <w:rPr>
          <w:sz w:val="20"/>
          <w:szCs w:val="20"/>
          <w:color w:val="auto"/>
        </w:rPr>
      </w:pPr>
      <w:r>
        <w:rPr>
          <w:rFonts w:ascii="Arial" w:cs="Arial" w:eastAsia="Arial" w:hAnsi="Arial"/>
          <w:sz w:val="18"/>
          <w:szCs w:val="18"/>
          <w:color w:val="auto"/>
        </w:rPr>
        <w:t>We expect to submit an Investigational New Drug (IND) application for RT-102, followed by Phase 2 initiation in the second half of 2023. We also expect to initiate three additional Phase 1 studies in 2023 with pipeline molecules – RT-105, RT-110 and RT-111. RT-105 is the RaniPill containing an adalimumab biosimilar. RT-110 is the RaniPill containing PTH for hypo-parathyroidism.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12" w:lineRule="exact"/>
        <w:rPr>
          <w:sz w:val="20"/>
          <w:szCs w:val="20"/>
          <w:color w:val="auto"/>
        </w:rPr>
      </w:pPr>
    </w:p>
    <w:p>
      <w:pPr>
        <w:ind w:right="120" w:firstLine="1018"/>
        <w:spacing w:after="0" w:line="244" w:lineRule="auto"/>
        <w:rPr>
          <w:sz w:val="20"/>
          <w:szCs w:val="20"/>
          <w:color w:val="auto"/>
        </w:rPr>
      </w:pPr>
      <w:r>
        <w:rPr>
          <w:rFonts w:ascii="Arial" w:cs="Arial" w:eastAsia="Arial" w:hAnsi="Arial"/>
          <w:sz w:val="18"/>
          <w:szCs w:val="18"/>
          <w:color w:val="auto"/>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The remaining $15.0 million of Loans is uncommitted and is subject to certain conditions and approval by the Lender. The purpose of the Loans is for general corporate purposes. The Loan Agreement also contains various covenants and restrictive provisions. As of September 30, 2022, we were in compliance with all applicable debt covenants under the Loan Agreement and had cash, cash equivalents, restricted cash and marketable securities totaling $98.7 million.</w:t>
      </w:r>
    </w:p>
    <w:p>
      <w:pPr>
        <w:spacing w:after="0" w:line="201" w:lineRule="exact"/>
        <w:rPr>
          <w:sz w:val="20"/>
          <w:szCs w:val="20"/>
          <w:color w:val="auto"/>
        </w:rPr>
      </w:pPr>
    </w:p>
    <w:p>
      <w:pPr>
        <w:ind w:right="160" w:firstLine="1018"/>
        <w:spacing w:after="0" w:line="268" w:lineRule="auto"/>
        <w:rPr>
          <w:sz w:val="20"/>
          <w:szCs w:val="20"/>
          <w:color w:val="auto"/>
        </w:rPr>
      </w:pPr>
      <w:r>
        <w:rPr>
          <w:rFonts w:ascii="Arial" w:cs="Arial" w:eastAsia="Arial" w:hAnsi="Arial"/>
          <w:sz w:val="17"/>
          <w:szCs w:val="17"/>
          <w:color w:val="auto"/>
        </w:rPr>
        <w:t>In August 2022, we entered into a Controlled EquitySM Sales Agreement (the “Sales Agreement”) with Cantor Fitzgerald &amp; Co. and H.C. Wainwright &amp; Co., LLC (collectively, the “Agents”), pursuant to which we may offer and sell from time to time through the Agents up to $150 million of shares of our Class A common stock, in such share amounts as we may specify by notice to the Agents, in accordance with the terms and conditions set forth in the Sales Agreement. As of September 30, 2022, we had not delivered any placement notices to either of the Agents.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COVID-19 Business Impact</w:t>
      </w:r>
    </w:p>
    <w:p>
      <w:pPr>
        <w:spacing w:after="0" w:line="225"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7"/>
          <w:szCs w:val="17"/>
          <w:color w:val="auto"/>
        </w:rPr>
        <w:t>In March 2020, the World Health Organization declared the COVID-19 outbreak a pandemic. We believe that, as a result of the COVID-19 pandemic, we have experienced delays due to the unavailability of vendors or delays in their availability with respect to research and development activities due to high demand or disruption to their business, delays in certain shipments of materials for our manufacturing, increases in prices charged by third parties for goods and services due to additional processes or costs resulting from COVID-19 procedures, disruption to travel which affects our ability to establish and maintain business relationships, and disruption to employee work schedules. While we have not experienced material impacts through September 30, 2022, the extent to which the COVID-19 pandemic will further directly or indirectly impact our results of operation and financial condition has been and will continue to be driven by many factors, most of which are beyond our control and ability to forecast. Because of these uncertainties, we cannot estimate how long or to what extent COVID-19 will impact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16"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7"/>
          <w:szCs w:val="17"/>
          <w:color w:val="auto"/>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and its subsidiary, conducts all of Rani LLC’s business and the financial results of Rani LLC and its consolidated subsidiary are included in the condensed consolidated financial statements of the Company.</w:t>
      </w:r>
    </w:p>
    <w:p>
      <w:pPr>
        <w:spacing w:after="0" w:line="173" w:lineRule="exact"/>
        <w:rPr>
          <w:sz w:val="20"/>
          <w:szCs w:val="20"/>
          <w:color w:val="auto"/>
        </w:rPr>
      </w:pPr>
    </w:p>
    <w:p>
      <w:pPr>
        <w:ind w:firstLine="1018"/>
        <w:spacing w:after="0" w:line="273" w:lineRule="auto"/>
        <w:rPr>
          <w:sz w:val="20"/>
          <w:szCs w:val="20"/>
          <w:color w:val="auto"/>
        </w:rPr>
      </w:pPr>
      <w:r>
        <w:rPr>
          <w:rFonts w:ascii="Arial" w:cs="Arial" w:eastAsia="Arial" w:hAnsi="Arial"/>
          <w:sz w:val="16"/>
          <w:szCs w:val="16"/>
          <w:color w:val="auto"/>
        </w:rPr>
        <w:t>Rani LLC has been, and after the IPO continues to be, treated as a pass-through entity for U.S. federal and state income tax purposes and accordingly has not been subject to U.S. federal or state income tax. The wholly owned subsidiary of Rani LLC, Rani Management Services, Inc. (“RMS”), which was incorporated in 2019, is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12" w:lineRule="exact"/>
        <w:rPr>
          <w:sz w:val="20"/>
          <w:szCs w:val="20"/>
          <w:color w:val="auto"/>
        </w:rPr>
      </w:pPr>
    </w:p>
    <w:p>
      <w:pPr>
        <w:ind w:right="60" w:firstLine="1018"/>
        <w:spacing w:after="0" w:line="24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to date has been derived from evaluation agreements, which has been recorded as contract revenue. As of September 30, 2022, we had no active evaluation agreements, and therefore we expect that our revenue for the next several years will be derived from any new agreements that may be executed in the future.</w:t>
      </w:r>
    </w:p>
    <w:p>
      <w:pPr>
        <w:spacing w:after="0" w:line="181" w:lineRule="exact"/>
        <w:rPr>
          <w:sz w:val="20"/>
          <w:szCs w:val="20"/>
          <w:color w:val="auto"/>
        </w:rPr>
      </w:pPr>
    </w:p>
    <w:p>
      <w:pPr>
        <w:ind w:right="140" w:firstLine="1018"/>
        <w:spacing w:after="0" w:line="249" w:lineRule="auto"/>
        <w:rPr>
          <w:sz w:val="20"/>
          <w:szCs w:val="20"/>
          <w:color w:val="auto"/>
        </w:rPr>
      </w:pPr>
      <w:r>
        <w:rPr>
          <w:rFonts w:ascii="Arial" w:cs="Arial" w:eastAsia="Arial" w:hAnsi="Arial"/>
          <w:sz w:val="18"/>
          <w:szCs w:val="18"/>
          <w:color w:val="auto"/>
        </w:rPr>
        <w:t>Our ability to generate commercial product revenue and to become profitable will depend upon our ability to successfully develop, obtain regulatory approval for and commercialize the RaniPill capsule and RaniPill HC. Because of the numerous risks and uncertainties associated with product development, regulatory approval and commercialization, we are unable to predict the amount, timing or whether we will be able to generate any commercial product revenue.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and general and administrative activities.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develop the RaniPill capsule and RaniPill HC. These expenses include:</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External expenses, consisting of:</w:t>
      </w:r>
    </w:p>
    <w:p>
      <w:pPr>
        <w:spacing w:after="0" w:line="104" w:lineRule="exact"/>
        <w:rPr>
          <w:sz w:val="20"/>
          <w:szCs w:val="20"/>
          <w:color w:val="auto"/>
        </w:rPr>
      </w:pPr>
    </w:p>
    <w:p>
      <w:pPr>
        <w:ind w:left="1660" w:hanging="514"/>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associated with contract research organizations ("CROs"), for managing and conducting clinical trials;</w:t>
      </w:r>
    </w:p>
    <w:p>
      <w:pPr>
        <w:spacing w:after="0" w:line="117" w:lineRule="exact"/>
        <w:rPr>
          <w:rFonts w:ascii="Arial" w:cs="Arial" w:eastAsia="Arial" w:hAnsi="Arial"/>
          <w:sz w:val="18"/>
          <w:szCs w:val="18"/>
          <w:color w:val="auto"/>
        </w:rPr>
      </w:pPr>
    </w:p>
    <w:p>
      <w:pPr>
        <w:ind w:left="1660" w:right="60" w:hanging="514"/>
        <w:spacing w:after="0" w:line="261"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RaniPill HC and other materials;</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103" w:lineRule="exact"/>
        <w:rPr>
          <w:rFonts w:ascii="Arial" w:cs="Arial" w:eastAsia="Arial" w:hAnsi="Arial"/>
          <w:sz w:val="18"/>
          <w:szCs w:val="18"/>
          <w:color w:val="auto"/>
        </w:rPr>
      </w:pPr>
    </w:p>
    <w:p>
      <w:pPr>
        <w:ind w:left="1660" w:hanging="514"/>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services.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Internal expenses, consisting of:</w:t>
      </w:r>
    </w:p>
    <w:p>
      <w:pPr>
        <w:spacing w:after="0" w:line="104" w:lineRule="exact"/>
        <w:rPr>
          <w:sz w:val="20"/>
          <w:szCs w:val="20"/>
          <w:color w:val="auto"/>
        </w:rPr>
      </w:pPr>
    </w:p>
    <w:p>
      <w:pPr>
        <w:ind w:left="1660" w:right="940" w:hanging="514"/>
        <w:spacing w:after="0" w:line="261" w:lineRule="auto"/>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including salaries, bonuses, equity-based compensation and benefits for personnel engaged in the research and development functions;</w:t>
      </w:r>
    </w:p>
    <w:p>
      <w:pPr>
        <w:spacing w:after="0" w:line="76" w:lineRule="exact"/>
        <w:rPr>
          <w:rFonts w:ascii="Arial" w:cs="Arial" w:eastAsia="Arial" w:hAnsi="Arial"/>
          <w:sz w:val="18"/>
          <w:szCs w:val="18"/>
          <w:color w:val="auto"/>
        </w:rPr>
      </w:pPr>
    </w:p>
    <w:p>
      <w:pPr>
        <w:ind w:left="1660" w:right="480" w:hanging="514"/>
        <w:spacing w:after="0" w:line="261" w:lineRule="auto"/>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62" w:lineRule="exact"/>
        <w:rPr>
          <w:rFonts w:ascii="Arial" w:cs="Arial" w:eastAsia="Arial" w:hAnsi="Arial"/>
          <w:sz w:val="18"/>
          <w:szCs w:val="18"/>
          <w:color w:val="auto"/>
        </w:rPr>
      </w:pPr>
    </w:p>
    <w:p>
      <w:pPr>
        <w:ind w:left="1660" w:hanging="514"/>
        <w:spacing w:after="0"/>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right="40" w:firstLine="1018"/>
        <w:spacing w:after="0" w:line="261"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72" w:lineRule="exact"/>
        <w:rPr>
          <w:sz w:val="20"/>
          <w:szCs w:val="20"/>
          <w:color w:val="auto"/>
        </w:rPr>
      </w:pPr>
    </w:p>
    <w:p>
      <w:pPr>
        <w:ind w:right="80" w:firstLine="1018"/>
        <w:spacing w:after="0" w:line="294" w:lineRule="auto"/>
        <w:rPr>
          <w:sz w:val="20"/>
          <w:szCs w:val="20"/>
          <w:color w:val="auto"/>
        </w:rPr>
      </w:pPr>
      <w:r>
        <w:rPr>
          <w:rFonts w:ascii="Arial" w:cs="Arial" w:eastAsia="Arial" w:hAnsi="Arial"/>
          <w:sz w:val="16"/>
          <w:szCs w:val="16"/>
          <w:color w:val="auto"/>
        </w:rPr>
        <w:t>Costs of property and equipment related to scaling-up our manufacturing capacity for clinical trials and to support commercialization are capitalized as property and equipment unless the related asset does not have an alternative future use. The historical focus of our research and development has been on the RaniPill delivery platform and not tracked costs on a project-by-project basis associated with different drug compounds.</w:t>
      </w:r>
    </w:p>
    <w:p>
      <w:pPr>
        <w:spacing w:after="0" w:line="161" w:lineRule="exact"/>
        <w:rPr>
          <w:sz w:val="20"/>
          <w:szCs w:val="20"/>
          <w:color w:val="auto"/>
        </w:rPr>
      </w:pPr>
    </w:p>
    <w:p>
      <w:pPr>
        <w:ind w:right="20" w:firstLine="1018"/>
        <w:spacing w:after="0" w:line="259"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the RaniPill capsule and RaniPill HC. We expect our research and development expenses to increase significantly in the foreseeable future as we continue to invest in activities related to testing and developing the RaniPill capsule and RaniPill HC, as our product candidates advance into later stages of development, as we begin to conduct larger clinical trials, as we seek regulatory approvals for the RaniPill capsule and RaniPill HC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capsule and RaniPill HC is highly uncertain, and we may never succeed in achieving regulatory approval for the RaniPill capsule and RaniPill HC.</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20" w:firstLine="1018"/>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right="20" w:firstLine="1018"/>
        <w:spacing w:after="0" w:line="290" w:lineRule="auto"/>
        <w:rPr>
          <w:sz w:val="20"/>
          <w:szCs w:val="20"/>
          <w:color w:val="auto"/>
        </w:rPr>
      </w:pPr>
      <w:r>
        <w:rPr>
          <w:rFonts w:ascii="Arial" w:cs="Arial" w:eastAsia="Arial" w:hAnsi="Arial"/>
          <w:sz w:val="16"/>
          <w:szCs w:val="16"/>
          <w:color w:val="auto"/>
        </w:rPr>
        <w:t>We anticipate that our general and administrative expenses will increase significantly in the foreseeable future as additional administrative personnel and services are required to manage and support the development of the RaniPill capsule and RaniPill HC.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ind w:right="480" w:firstLine="1018"/>
        <w:spacing w:after="0" w:line="261" w:lineRule="auto"/>
        <w:rPr>
          <w:sz w:val="20"/>
          <w:szCs w:val="20"/>
          <w:color w:val="auto"/>
        </w:rPr>
      </w:pPr>
      <w:r>
        <w:rPr>
          <w:rFonts w:ascii="Arial" w:cs="Arial" w:eastAsia="Arial" w:hAnsi="Arial"/>
          <w:sz w:val="18"/>
          <w:szCs w:val="18"/>
          <w:color w:val="auto"/>
        </w:rPr>
        <w:t>Other income (expense), net primarily consists of interest income earned on our cash equivalents and marketable securities and interest expense from our long-term debt and amortization of debt discount and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12"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71" w:lineRule="exact"/>
        <w:rPr>
          <w:sz w:val="20"/>
          <w:szCs w:val="20"/>
          <w:color w:val="auto"/>
        </w:rPr>
      </w:pPr>
    </w:p>
    <w:p>
      <w:pPr>
        <w:ind w:right="100" w:firstLine="1018"/>
        <w:spacing w:after="0" w:line="246" w:lineRule="auto"/>
        <w:rPr>
          <w:sz w:val="20"/>
          <w:szCs w:val="20"/>
          <w:color w:val="auto"/>
        </w:rPr>
      </w:pPr>
      <w:r>
        <w:rPr>
          <w:rFonts w:ascii="Arial" w:cs="Arial" w:eastAsia="Arial" w:hAnsi="Arial"/>
          <w:sz w:val="18"/>
          <w:szCs w:val="18"/>
          <w:color w:val="auto"/>
        </w:rPr>
        <w:t>In August 2021, based on the Organizational Transactions, the Company became the sole managing member of Rani LLC. As of September 30, 2022, the Company held approximately 49% of the Class A Units of Rani LLC, and approximately 51% of the outstanding Class A Units of Rani LLC are held by the Continuing LLC Owners. Therefore, we report NCI based on the Class A Units of Rani LLC held by the Continuing LLC Owners on our condensed consolidated balance sheet as of September 30, 2022.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85" w:lineRule="exact"/>
        <w:rPr>
          <w:sz w:val="20"/>
          <w:szCs w:val="20"/>
          <w:color w:val="auto"/>
        </w:rPr>
      </w:pPr>
    </w:p>
    <w:p>
      <w:pPr>
        <w:ind w:right="240" w:firstLine="1018"/>
        <w:spacing w:after="0" w:line="268"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September 30, 2022, there were 4,650,195 exchanges of Paired Interests and 158,051 exchanges of non-corresponding Class A Units of Rani LLC for an equal number of shares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340" w:firstLine="1018"/>
        <w:spacing w:after="0" w:line="245" w:lineRule="auto"/>
        <w:rPr>
          <w:sz w:val="20"/>
          <w:szCs w:val="20"/>
          <w:color w:val="auto"/>
        </w:rPr>
      </w:pPr>
      <w:r>
        <w:rPr>
          <w:rFonts w:ascii="Arial" w:cs="Arial" w:eastAsia="Arial" w:hAnsi="Arial"/>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86" w:lineRule="exact"/>
        <w:rPr>
          <w:sz w:val="20"/>
          <w:szCs w:val="20"/>
          <w:color w:val="auto"/>
        </w:rPr>
      </w:pPr>
    </w:p>
    <w:p>
      <w:pPr>
        <w:ind w:right="120" w:firstLine="1018"/>
        <w:spacing w:after="0" w:line="24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InCube Labs, 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12" w:lineRule="exact"/>
        <w:rPr>
          <w:sz w:val="20"/>
          <w:szCs w:val="20"/>
          <w:color w:val="auto"/>
        </w:rPr>
      </w:pPr>
    </w:p>
    <w:p>
      <w:pPr>
        <w:ind w:firstLine="1018"/>
        <w:spacing w:after="0" w:line="258" w:lineRule="auto"/>
        <w:rPr>
          <w:sz w:val="20"/>
          <w:szCs w:val="20"/>
          <w:color w:val="auto"/>
        </w:rPr>
      </w:pPr>
      <w:r>
        <w:rPr>
          <w:rFonts w:ascii="Arial" w:cs="Arial" w:eastAsia="Arial" w:hAnsi="Arial"/>
          <w:sz w:val="17"/>
          <w:szCs w:val="17"/>
          <w:color w:val="auto"/>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right="580"/>
        <w:spacing w:after="0" w:line="277" w:lineRule="auto"/>
        <w:rPr>
          <w:sz w:val="20"/>
          <w:szCs w:val="20"/>
          <w:color w:val="auto"/>
        </w:rPr>
      </w:pPr>
      <w:r>
        <w:rPr>
          <w:rFonts w:ascii="Arial" w:cs="Arial" w:eastAsia="Arial" w:hAnsi="Arial"/>
          <w:sz w:val="18"/>
          <w:szCs w:val="18"/>
          <w:color w:val="auto"/>
        </w:rPr>
        <w:t>or charged on a monthly basis by ICL or Rani LLC, respectively. In July 2022, the Occupancy Services in Milpitas, California were extended for an additional one year lease term through February 2024.</w:t>
      </w:r>
    </w:p>
    <w:p>
      <w:pPr>
        <w:spacing w:after="0" w:line="157" w:lineRule="exact"/>
        <w:rPr>
          <w:sz w:val="20"/>
          <w:szCs w:val="20"/>
          <w:color w:val="auto"/>
        </w:rPr>
      </w:pPr>
    </w:p>
    <w:p>
      <w:pPr>
        <w:ind w:right="80" w:firstLine="1018"/>
        <w:spacing w:after="0" w:line="259" w:lineRule="auto"/>
        <w:rPr>
          <w:sz w:val="20"/>
          <w:szCs w:val="20"/>
          <w:color w:val="auto"/>
        </w:rPr>
      </w:pPr>
      <w:r>
        <w:rPr>
          <w:rFonts w:ascii="Arial" w:cs="Arial" w:eastAsia="Arial" w:hAnsi="Arial"/>
          <w:sz w:val="17"/>
          <w:szCs w:val="17"/>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5" w:lineRule="exact"/>
        <w:rPr>
          <w:sz w:val="20"/>
          <w:szCs w:val="20"/>
          <w:color w:val="auto"/>
        </w:rPr>
      </w:pPr>
    </w:p>
    <w:p>
      <w:pPr>
        <w:ind w:right="380" w:firstLine="1018"/>
        <w:spacing w:after="0" w:line="308" w:lineRule="auto"/>
        <w:rPr>
          <w:sz w:val="20"/>
          <w:szCs w:val="20"/>
          <w:color w:val="auto"/>
        </w:rPr>
      </w:pPr>
      <w:r>
        <w:rPr>
          <w:rFonts w:ascii="Arial" w:cs="Arial" w:eastAsia="Arial" w:hAnsi="Arial"/>
          <w:sz w:val="17"/>
          <w:szCs w:val="17"/>
          <w:color w:val="auto"/>
        </w:rPr>
        <w:t>The table below details the amounts charged by ICL for services and rent, net of the amount charged to ICL under the RMS-ICL Service Agreement, which is included in the condensed consolidated statements of operations and comprehensive loss (in thousands):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50"/>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80" w:firstLine="1018"/>
        <w:spacing w:after="0" w:line="249" w:lineRule="auto"/>
        <w:rPr>
          <w:sz w:val="20"/>
          <w:szCs w:val="20"/>
          <w:color w:val="auto"/>
        </w:rPr>
      </w:pPr>
      <w:r>
        <w:rPr>
          <w:rFonts w:ascii="Arial" w:cs="Arial" w:eastAsia="Arial" w:hAnsi="Arial"/>
          <w:sz w:val="18"/>
          <w:szCs w:val="18"/>
          <w:color w:val="auto"/>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94" w:lineRule="exact"/>
        <w:rPr>
          <w:sz w:val="20"/>
          <w:szCs w:val="20"/>
          <w:color w:val="auto"/>
        </w:rPr>
      </w:pPr>
    </w:p>
    <w:p>
      <w:pPr>
        <w:ind w:right="260" w:firstLine="1018"/>
        <w:spacing w:after="0" w:line="261" w:lineRule="auto"/>
        <w:rPr>
          <w:sz w:val="20"/>
          <w:szCs w:val="20"/>
          <w:color w:val="auto"/>
        </w:rPr>
      </w:pPr>
      <w:r>
        <w:rPr>
          <w:rFonts w:ascii="Arial" w:cs="Arial" w:eastAsia="Arial" w:hAnsi="Arial"/>
          <w:sz w:val="18"/>
          <w:szCs w:val="18"/>
          <w:color w:val="auto"/>
        </w:rPr>
        <w:t>As of September 30, 2022, all of our facilities are owned or leased by an entity affiliated with our Chairman. Rani LLC pays for the use of these facilities through our services agreements with ICL.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12" w:lineRule="exact"/>
        <w:rPr>
          <w:sz w:val="20"/>
          <w:szCs w:val="20"/>
          <w:color w:val="auto"/>
        </w:rPr>
      </w:pPr>
    </w:p>
    <w:p>
      <w:pPr>
        <w:ind w:right="40" w:firstLine="1018"/>
        <w:spacing w:after="0" w:line="257"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12" w:lineRule="exact"/>
        <w:rPr>
          <w:sz w:val="20"/>
          <w:szCs w:val="20"/>
          <w:color w:val="auto"/>
        </w:rPr>
      </w:pPr>
    </w:p>
    <w:p>
      <w:pPr>
        <w:ind w:right="20" w:firstLine="1018"/>
        <w:spacing w:after="0" w:line="249" w:lineRule="auto"/>
        <w:rPr>
          <w:sz w:val="20"/>
          <w:szCs w:val="20"/>
          <w:color w:val="auto"/>
        </w:rPr>
      </w:pPr>
      <w:r>
        <w:rPr>
          <w:rFonts w:ascii="Arial" w:cs="Arial" w:eastAsia="Arial" w:hAnsi="Arial"/>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ind w:right="320"/>
        <w:spacing w:after="0" w:line="277" w:lineRule="auto"/>
        <w:rPr>
          <w:sz w:val="20"/>
          <w:szCs w:val="20"/>
          <w:color w:val="auto"/>
        </w:rPr>
      </w:pPr>
      <w:r>
        <w:rPr>
          <w:rFonts w:ascii="Arial" w:cs="Arial" w:eastAsia="Arial" w:hAnsi="Arial"/>
          <w:sz w:val="18"/>
          <w:szCs w:val="18"/>
          <w:color w:val="auto"/>
        </w:rPr>
        <w:t>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12" w:lineRule="exact"/>
        <w:rPr>
          <w:sz w:val="20"/>
          <w:szCs w:val="20"/>
          <w:color w:val="auto"/>
        </w:rPr>
      </w:pPr>
    </w:p>
    <w:p>
      <w:pPr>
        <w:ind w:right="80" w:firstLine="1018"/>
        <w:spacing w:after="0" w:line="246" w:lineRule="auto"/>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12" w:lineRule="exact"/>
        <w:rPr>
          <w:sz w:val="20"/>
          <w:szCs w:val="20"/>
          <w:color w:val="auto"/>
        </w:rPr>
      </w:pPr>
    </w:p>
    <w:p>
      <w:pPr>
        <w:ind w:right="60" w:firstLine="1018"/>
        <w:spacing w:after="0" w:line="303" w:lineRule="auto"/>
        <w:rPr>
          <w:sz w:val="20"/>
          <w:szCs w:val="20"/>
          <w:color w:val="auto"/>
        </w:rPr>
      </w:pPr>
      <w:r>
        <w:rPr>
          <w:rFonts w:ascii="Arial" w:cs="Arial" w:eastAsia="Arial" w:hAnsi="Arial"/>
          <w:sz w:val="16"/>
          <w:szCs w:val="16"/>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nine months ended September 30, 2022, these parties to the TRA exchanged 2,317,184 Paired Interests that resulted in tax benefits subject to the TRA.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40" w:firstLine="1018"/>
        <w:spacing w:after="0" w:line="245" w:lineRule="auto"/>
        <w:rPr>
          <w:sz w:val="20"/>
          <w:szCs w:val="20"/>
          <w:color w:val="auto"/>
        </w:rPr>
      </w:pPr>
      <w:r>
        <w:rPr>
          <w:rFonts w:ascii="Arial" w:cs="Arial" w:eastAsia="Arial" w:hAnsi="Arial"/>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12" w:lineRule="exact"/>
        <w:rPr>
          <w:sz w:val="20"/>
          <w:szCs w:val="20"/>
          <w:color w:val="auto"/>
        </w:rPr>
      </w:pPr>
    </w:p>
    <w:p>
      <w:pPr>
        <w:ind w:right="80" w:firstLine="1018"/>
        <w:spacing w:after="0" w:line="246" w:lineRule="auto"/>
        <w:rPr>
          <w:sz w:val="20"/>
          <w:szCs w:val="20"/>
          <w:color w:val="auto"/>
        </w:rPr>
      </w:pPr>
      <w:r>
        <w:rPr>
          <w:rFonts w:ascii="Arial" w:cs="Arial" w:eastAsia="Arial" w:hAnsi="Arial"/>
          <w:sz w:val="18"/>
          <w:szCs w:val="18"/>
          <w:color w:val="auto"/>
        </w:rPr>
        <w:t>We operate our business through Rani LLC and its subsidiary.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pacing w:after="0" w:line="185" w:lineRule="exact"/>
        <w:rPr>
          <w:sz w:val="20"/>
          <w:szCs w:val="20"/>
          <w:color w:val="auto"/>
        </w:rPr>
      </w:pPr>
    </w:p>
    <w:p>
      <w:pPr>
        <w:ind w:right="240" w:firstLine="1018"/>
        <w:spacing w:after="0" w:line="277" w:lineRule="auto"/>
        <w:rPr>
          <w:sz w:val="20"/>
          <w:szCs w:val="20"/>
          <w:color w:val="auto"/>
        </w:rPr>
      </w:pPr>
      <w:r>
        <w:rPr>
          <w:rFonts w:ascii="Arial" w:cs="Arial" w:eastAsia="Arial" w:hAnsi="Arial"/>
          <w:sz w:val="18"/>
          <w:szCs w:val="18"/>
          <w:color w:val="auto"/>
        </w:rPr>
        <w:t>During the nine months ended September 30, 2022, these parties to the Rani LLC Agreement exchanged 2,317,184 Paired Interests for the Company's Class A common stock.</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1018"/>
        <w:spacing w:after="0" w:line="249"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right"/>
              <w:ind w:right="770"/>
              <w:spacing w:after="0"/>
              <w:rPr>
                <w:sz w:val="20"/>
                <w:szCs w:val="20"/>
                <w:color w:val="auto"/>
              </w:rPr>
            </w:pPr>
            <w:r>
              <w:rPr>
                <w:rFonts w:ascii="Arial" w:cs="Arial" w:eastAsia="Arial" w:hAnsi="Arial"/>
                <w:sz w:val="14"/>
                <w:szCs w:val="14"/>
                <w:b w:val="1"/>
                <w:bCs w:val="1"/>
                <w:color w:val="auto"/>
              </w:rPr>
              <w:t>Three Months Ended September 30,</w:t>
            </w:r>
          </w:p>
        </w:tc>
      </w:tr>
      <w:tr>
        <w:trPr>
          <w:trHeight w:val="169"/>
        </w:trPr>
        <w:tc>
          <w:tcPr>
            <w:tcW w:w="5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Change</w:t>
            </w: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11,959</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(23.9 ) %</w:t>
            </w:r>
          </w:p>
        </w:tc>
      </w:tr>
      <w:tr>
        <w:trPr>
          <w:trHeight w:val="216"/>
        </w:trPr>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(54.2 )</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6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(41.2 ) %</w:t>
            </w:r>
          </w:p>
        </w:tc>
      </w:tr>
      <w:tr>
        <w:trPr>
          <w:trHeight w:val="209"/>
        </w:trPr>
        <w:tc>
          <w:tcPr>
            <w:tcW w:w="56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(41.2 )</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and other,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(700 )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and other, net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(352 )</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(110 )</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Change in estimated fair value of preferred unit warrant</w:t>
            </w:r>
          </w:p>
        </w:tc>
        <w:tc>
          <w:tcPr>
            <w:tcW w:w="2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(85 )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6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(28,663</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(43.1 )</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(37 )</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(389.2 )</w:t>
            </w:r>
          </w:p>
        </w:tc>
        <w:tc>
          <w:tcPr>
            <w:tcW w:w="180" w:type="dxa"/>
            <w:vAlign w:val="bottom"/>
          </w:tcPr>
          <w:p>
            <w:pPr>
              <w:spacing w:after="0"/>
              <w:rPr>
                <w:sz w:val="18"/>
                <w:szCs w:val="18"/>
                <w:color w:val="auto"/>
              </w:rPr>
            </w:pP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(28,700</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(43.5 ) %</w:t>
            </w:r>
          </w:p>
        </w:tc>
      </w:tr>
      <w:tr>
        <w:trPr>
          <w:trHeight w:val="216"/>
        </w:trPr>
        <w:tc>
          <w:tcPr>
            <w:tcW w:w="5600" w:type="dxa"/>
            <w:vAlign w:val="bottom"/>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(8,253 )</w:t>
            </w:r>
          </w:p>
        </w:tc>
        <w:tc>
          <w:tcPr>
            <w:tcW w:w="2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(25,558 )</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(67.7 )</w:t>
            </w:r>
          </w:p>
        </w:tc>
        <w:tc>
          <w:tcPr>
            <w:tcW w:w="180" w:type="dxa"/>
            <w:vAlign w:val="bottom"/>
          </w:tcPr>
          <w:p>
            <w:pPr>
              <w:spacing w:after="0"/>
              <w:rPr>
                <w:sz w:val="18"/>
                <w:szCs w:val="18"/>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-1713865</wp:posOffset>
            </wp:positionV>
            <wp:extent cx="6858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-1713865</wp:posOffset>
            </wp:positionV>
            <wp:extent cx="5969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No comparable result in the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9,103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40" w:firstLine="1018"/>
        <w:spacing w:after="0" w:line="268" w:lineRule="auto"/>
        <w:rPr>
          <w:sz w:val="20"/>
          <w:szCs w:val="20"/>
          <w:color w:val="auto"/>
        </w:rPr>
      </w:pPr>
      <w:r>
        <w:rPr>
          <w:rFonts w:ascii="Arial" w:cs="Arial" w:eastAsia="Arial" w:hAnsi="Arial"/>
          <w:sz w:val="17"/>
          <w:szCs w:val="17"/>
          <w:color w:val="auto"/>
        </w:rPr>
        <w:t>Research and development expenses were $9.1 million for the three months ended September 30, 2022, compared to $12.0 million for the three months ended September 30, 2021. The difference was primarily attributed to a decrease of $4.9 million in equity-based compensation due to our non-recurring IPO and Organizational Transactions in the three months ended September 30, 2021, partially offset by an increase of $1.7 million in salaries and related benefit costs due to higher headcount, and an increase in facilities, materials and supplies expenses of $0.5 million.</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1018"/>
        <w:spacing w:after="0" w:line="268" w:lineRule="auto"/>
        <w:rPr>
          <w:sz w:val="20"/>
          <w:szCs w:val="20"/>
          <w:color w:val="auto"/>
        </w:rPr>
      </w:pPr>
      <w:r>
        <w:rPr>
          <w:rFonts w:ascii="Arial" w:cs="Arial" w:eastAsia="Arial" w:hAnsi="Arial"/>
          <w:sz w:val="17"/>
          <w:szCs w:val="17"/>
          <w:color w:val="auto"/>
        </w:rPr>
        <w:t>General and administrative expenses were $7.2 million for the three months ended September 30, 2022, compared to $15.8 million for the three months ended September 30, 2021. The difference was primarily attributed to a decrease of $9.4 million in equity-based compensation due to our non-recurring IPO and Organizational Transactions in the three months ended September 30, 2021, partially offset by an increase of $0.4 million in salaries and related benefit costs due to higher headcount, and an increase of $0.4 million in third-party services and other costs.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00" w:firstLine="1018"/>
        <w:spacing w:after="0" w:line="268" w:lineRule="auto"/>
        <w:rPr>
          <w:sz w:val="20"/>
          <w:szCs w:val="20"/>
          <w:color w:val="auto"/>
        </w:rPr>
      </w:pPr>
      <w:r>
        <w:rPr>
          <w:rFonts w:ascii="Arial" w:cs="Arial" w:eastAsia="Arial" w:hAnsi="Arial"/>
          <w:sz w:val="17"/>
          <w:szCs w:val="17"/>
          <w:color w:val="auto"/>
        </w:rPr>
        <w:t>Other income, net, was $0.1 million for the three months ended September 30, 2022, compared to other expense, net, of $0.9 million for the three months ended September 30, 2021. The difference was primarily attributed to an increase in interest income of $0.4 million from our investment in marketable securities, a decrease of $0.7 million from loss on extinguishment of debt and a decrease of $0.1 million from change in estimated fair value of preferred unit warrants offset by an increase in interest expense of $0.2 million from our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4"/>
                <w:szCs w:val="14"/>
                <w:color w:val="auto"/>
              </w:rPr>
            </w:pP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c>
          <w:tcPr>
            <w:tcW w:w="180" w:type="dxa"/>
            <w:vAlign w:val="bottom"/>
          </w:tcPr>
          <w:p>
            <w:pPr>
              <w:spacing w:after="0"/>
              <w:rPr>
                <w:sz w:val="18"/>
                <w:szCs w:val="18"/>
                <w:color w:val="auto"/>
              </w:rPr>
            </w:pPr>
          </w:p>
        </w:tc>
      </w:tr>
      <w:tr>
        <w:trPr>
          <w:trHeight w:val="209"/>
        </w:trPr>
        <w:tc>
          <w:tcPr>
            <w:tcW w:w="56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560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(45,969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(38,237 </w:t>
            </w:r>
            <w:r>
              <w:rPr>
                <w:rFonts w:ascii="Arial" w:cs="Arial" w:eastAsia="Arial" w:hAnsi="Arial"/>
                <w:sz w:val="18"/>
                <w:szCs w:val="18"/>
                <w:color w:val="auto"/>
                <w:highlight w:val="white"/>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(700 )</w:t>
            </w: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Interest expense and other,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(352 )</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(467 )</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(24.6 )</w:t>
            </w: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estimated fair value of preferred unit warrant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(371 )</w:t>
            </w: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60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(45,891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(39,702 </w:t>
            </w:r>
            <w:r>
              <w:rPr>
                <w:rFonts w:ascii="Arial" w:cs="Arial" w:eastAsia="Arial" w:hAnsi="Arial"/>
                <w:sz w:val="18"/>
                <w:szCs w:val="18"/>
                <w:color w:val="auto"/>
                <w:highlight w:val="white"/>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(81 )</w:t>
            </w: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(46,002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(39,783 </w:t>
            </w:r>
            <w:r>
              <w:rPr>
                <w:rFonts w:ascii="Arial" w:cs="Arial" w:eastAsia="Arial" w:hAnsi="Arial"/>
                <w:sz w:val="18"/>
                <w:szCs w:val="18"/>
                <w:color w:val="auto"/>
                <w:highlight w:val="white"/>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(24,200 )</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(36,641 )</w:t>
            </w:r>
          </w:p>
        </w:tc>
        <w:tc>
          <w:tcPr>
            <w:tcW w:w="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(34.0 )</w:t>
            </w:r>
          </w:p>
        </w:tc>
        <w:tc>
          <w:tcPr>
            <w:tcW w:w="180" w:type="dxa"/>
            <w:vAlign w:val="bottom"/>
            <w:shd w:val="clear" w:color="auto" w:fill="CFF0FC"/>
          </w:tcPr>
          <w:p>
            <w:pPr>
              <w:spacing w:after="0"/>
              <w:rPr>
                <w:sz w:val="18"/>
                <w:szCs w:val="18"/>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(21,802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(3,142 </w:t>
            </w:r>
            <w:r>
              <w:rPr>
                <w:rFonts w:ascii="Arial" w:cs="Arial" w:eastAsia="Arial" w:hAnsi="Arial"/>
                <w:sz w:val="18"/>
                <w:szCs w:val="18"/>
                <w:color w:val="auto"/>
                <w:highlight w:val="white"/>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-170815</wp:posOffset>
            </wp:positionV>
            <wp:extent cx="60325"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No comparable result in the period</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12" w:lineRule="exact"/>
        <w:rPr>
          <w:sz w:val="20"/>
          <w:szCs w:val="20"/>
          <w:color w:val="auto"/>
        </w:rPr>
      </w:pPr>
    </w:p>
    <w:p>
      <w:pPr>
        <w:ind w:right="440" w:firstLine="1018"/>
        <w:spacing w:after="0" w:line="277" w:lineRule="auto"/>
        <w:rPr>
          <w:sz w:val="20"/>
          <w:szCs w:val="20"/>
          <w:color w:val="auto"/>
        </w:rPr>
      </w:pPr>
      <w:r>
        <w:rPr>
          <w:rFonts w:ascii="Arial" w:cs="Arial" w:eastAsia="Arial" w:hAnsi="Arial"/>
          <w:sz w:val="18"/>
          <w:szCs w:val="18"/>
          <w:color w:val="auto"/>
        </w:rPr>
        <w:t>For the nine months ended September 30, 2022, the Company had no contract revenue. For nine months ended September 30, 2021, the Company recognized contract revenue related to the Takeda agreement of $2.7 million.</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18,421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26,221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40" w:firstLine="1018"/>
        <w:spacing w:after="0" w:line="263" w:lineRule="auto"/>
        <w:rPr>
          <w:sz w:val="20"/>
          <w:szCs w:val="20"/>
          <w:color w:val="auto"/>
        </w:rPr>
      </w:pPr>
      <w:r>
        <w:rPr>
          <w:rFonts w:ascii="Arial" w:cs="Arial" w:eastAsia="Arial" w:hAnsi="Arial"/>
          <w:sz w:val="17"/>
          <w:szCs w:val="17"/>
          <w:color w:val="auto"/>
        </w:rPr>
        <w:t>Research and development expenses were $26.2 million for the nine months ended September 30, 2022, compared to $19.1 million for the nine months ended September 30, 2021. The difference was primarily attributed to a decrease of $2.3 million in equity-based compensation due to our non-recurring IPO and Organizational Transactions in the three months ended September 30, 2021, offset by an increase of $5.6 million in salaries and related benefit costs due to higher headcount, an increase in third-party services of $2.3 million associated with the Company's preclinical and clinical studies, and an increase in facilities, materials and supplies and other costs of $1.6 million.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1018"/>
        <w:spacing w:after="0" w:line="263" w:lineRule="auto"/>
        <w:rPr>
          <w:sz w:val="20"/>
          <w:szCs w:val="20"/>
          <w:color w:val="auto"/>
        </w:rPr>
      </w:pPr>
      <w:r>
        <w:rPr>
          <w:rFonts w:ascii="Arial" w:cs="Arial" w:eastAsia="Arial" w:hAnsi="Arial"/>
          <w:sz w:val="17"/>
          <w:szCs w:val="17"/>
          <w:color w:val="auto"/>
        </w:rPr>
        <w:t>General and administrative expenses were $19.7 million for the nine months ended September 30, 2022, compared to $21.9 million for the nine months ended September 30, 2021. The difference was primarily attributed to a decrease of $5.8 million in equity-based compensation and third-party services of $0.2 million due to our non-recurring IPO and Organizational Transactions in the three months ended September 30, 2021, partially offset by an increase of $2.0 million in salaries and related benefit costs due to higher headcount, an increase in facility costs of $1.3 million and an increase in other costs of $0.6 million due to increase in travel after pandemic-induced lockdowns lifted.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00" w:firstLine="1018"/>
        <w:spacing w:after="0" w:line="262" w:lineRule="auto"/>
        <w:rPr>
          <w:sz w:val="20"/>
          <w:szCs w:val="20"/>
          <w:color w:val="auto"/>
        </w:rPr>
      </w:pPr>
      <w:r>
        <w:rPr>
          <w:rFonts w:ascii="Arial" w:cs="Arial" w:eastAsia="Arial" w:hAnsi="Arial"/>
          <w:sz w:val="17"/>
          <w:szCs w:val="17"/>
          <w:color w:val="auto"/>
        </w:rPr>
        <w:t>Other income, net, was $0.1 million for the nine months ended September 30, 2022, compared to other expense, net, of $1.5 million for the nine months ended September 30, 2021. The difference was primarily attributed to an increase in interest income of $0.4 million from our investment in marketable securities, a decrease of $0.7 million from loss on extinguishment of debt and a decrease of $0.4 million from change in estimated fair value of preferred unit warrants, partially offset by an increase in interest expense of $0.2 million from our long-term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12" w:lineRule="exact"/>
        <w:rPr>
          <w:sz w:val="20"/>
          <w:szCs w:val="20"/>
          <w:color w:val="auto"/>
        </w:rPr>
      </w:pPr>
    </w:p>
    <w:p>
      <w:pPr>
        <w:ind w:right="60" w:firstLine="1018"/>
        <w:spacing w:after="0" w:line="261" w:lineRule="auto"/>
        <w:rPr>
          <w:sz w:val="20"/>
          <w:szCs w:val="20"/>
          <w:color w:val="auto"/>
        </w:rPr>
      </w:pPr>
      <w:r>
        <w:rPr>
          <w:rFonts w:ascii="Arial" w:cs="Arial" w:eastAsia="Arial" w:hAnsi="Arial"/>
          <w:sz w:val="17"/>
          <w:szCs w:val="17"/>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 In August 2021, we raised net proceeds of $73.6 million from the IPO.</w:t>
      </w:r>
    </w:p>
    <w:p>
      <w:pPr>
        <w:spacing w:after="0" w:line="176" w:lineRule="exact"/>
        <w:rPr>
          <w:sz w:val="20"/>
          <w:szCs w:val="20"/>
          <w:color w:val="auto"/>
        </w:rPr>
      </w:pPr>
    </w:p>
    <w:p>
      <w:pPr>
        <w:ind w:right="220" w:firstLine="1018"/>
        <w:spacing w:after="0" w:line="260" w:lineRule="auto"/>
        <w:rPr>
          <w:sz w:val="20"/>
          <w:szCs w:val="20"/>
          <w:color w:val="auto"/>
        </w:rPr>
      </w:pPr>
      <w:r>
        <w:rPr>
          <w:rFonts w:ascii="Arial" w:cs="Arial" w:eastAsia="Arial" w:hAnsi="Arial"/>
          <w:sz w:val="17"/>
          <w:szCs w:val="17"/>
          <w:color w:val="auto"/>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The remaining $15.0 million of Loans is uncommitted and is subject to certain conditions and approval by the Lender. The purpose of the Loans is for general corporate purposes. The Loan Agreement also contains various covenants and restrictive provisions. As of September 30, 2022, we were in compliance with all applicable debt covenants under the Loan Agreement and had cash, cash equivalents, restricted cash and marketable securities totaling $98.7 million.</w:t>
      </w:r>
    </w:p>
    <w:p>
      <w:pPr>
        <w:spacing w:after="0" w:line="187" w:lineRule="exact"/>
        <w:rPr>
          <w:sz w:val="20"/>
          <w:szCs w:val="20"/>
          <w:color w:val="auto"/>
        </w:rPr>
      </w:pPr>
    </w:p>
    <w:p>
      <w:pPr>
        <w:ind w:right="20" w:firstLine="1018"/>
        <w:spacing w:after="0" w:line="273" w:lineRule="auto"/>
        <w:rPr>
          <w:sz w:val="20"/>
          <w:szCs w:val="20"/>
          <w:color w:val="auto"/>
        </w:rPr>
      </w:pPr>
      <w:r>
        <w:rPr>
          <w:rFonts w:ascii="Arial" w:cs="Arial" w:eastAsia="Arial" w:hAnsi="Arial"/>
          <w:sz w:val="16"/>
          <w:szCs w:val="16"/>
          <w:color w:val="auto"/>
        </w:rPr>
        <w:t>In August 2022, we entered into the Sales Agreement with the Agents, pursuant to which we may offer and sell from time to time through the Agents up to $150 million of shares of our Class A common stock, in such share amounts as we may specify by notice to the Agents, in accordance with the terms and conditions set forth in the Sales Agreement. Upon delivery of a placement notice to one of the Agents and subject to the terms and conditions of the Sales Agreement, sales of the shares may be made by any method permitted by law deemed to be “at the market offerings” as defined in Rule 415(a)</w:t>
      </w:r>
    </w:p>
    <w:p>
      <w:pPr>
        <w:spacing w:after="0" w:line="2" w:lineRule="exact"/>
        <w:rPr>
          <w:sz w:val="20"/>
          <w:szCs w:val="20"/>
          <w:color w:val="auto"/>
        </w:rPr>
      </w:pPr>
    </w:p>
    <w:p>
      <w:pPr>
        <w:ind w:right="100" w:firstLine="8"/>
        <w:spacing w:after="0" w:line="278"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Securities Act, including sales made directly on the Nasdaq Stock Market or in negotiated transactions at market prices prevailing at the time of sale or at prices related to such prevailing market prices and/or any other method permitted by law. Under the Sales Agreement, we will set the parameters for the sale of the shares, including the number of shares to be issued, the time period during which sales are requested to be made, any limitation on the number of shares that may be sold in any one trading day and any minimum price below which sales may not be made. We are not obligated to sell any shares under the Sales Agreement. As of September 30, 2022, we had not delivered any placement notices to either of the Agents.</w:t>
      </w:r>
    </w:p>
    <w:p>
      <w:pPr>
        <w:spacing w:after="0" w:line="174" w:lineRule="exact"/>
        <w:rPr>
          <w:sz w:val="20"/>
          <w:szCs w:val="20"/>
          <w:color w:val="auto"/>
        </w:rPr>
      </w:pPr>
    </w:p>
    <w:p>
      <w:pPr>
        <w:ind w:right="20" w:firstLine="1018"/>
        <w:spacing w:after="0" w:line="277" w:lineRule="auto"/>
        <w:rPr>
          <w:sz w:val="20"/>
          <w:szCs w:val="20"/>
          <w:color w:val="auto"/>
        </w:rPr>
      </w:pPr>
      <w:r>
        <w:rPr>
          <w:rFonts w:ascii="Arial" w:cs="Arial" w:eastAsia="Arial" w:hAnsi="Arial"/>
          <w:sz w:val="16"/>
          <w:szCs w:val="16"/>
          <w:color w:val="auto"/>
        </w:rPr>
        <w:t>Since our inception, we have incurred significant losses and negative cash flows from operations. Our net losses were $46.0 million and $39.8 million for the nine months ended September 30, 2022 and 2021, respectively. As of September 30, 2022, we had an accumulated deficit of $30.2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which may include ATM Sales,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20"/>
        <w:spacing w:after="0" w:line="256" w:lineRule="auto"/>
        <w:rPr>
          <w:sz w:val="20"/>
          <w:szCs w:val="20"/>
          <w:color w:val="auto"/>
        </w:rPr>
      </w:pPr>
      <w:r>
        <w:rPr>
          <w:rFonts w:ascii="Arial" w:cs="Arial" w:eastAsia="Arial" w:hAnsi="Arial"/>
          <w:sz w:val="18"/>
          <w:szCs w:val="18"/>
          <w:color w:val="auto"/>
        </w:rPr>
        <w:t>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77" w:lineRule="auto"/>
        <w:rPr>
          <w:sz w:val="20"/>
          <w:szCs w:val="20"/>
          <w:color w:val="auto"/>
        </w:rPr>
      </w:pPr>
      <w:r>
        <w:rPr>
          <w:rFonts w:ascii="Arial" w:cs="Arial" w:eastAsia="Arial" w:hAnsi="Arial"/>
          <w:sz w:val="16"/>
          <w:szCs w:val="16"/>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164" w:lineRule="exact"/>
        <w:rPr>
          <w:sz w:val="20"/>
          <w:szCs w:val="20"/>
          <w:color w:val="auto"/>
        </w:rPr>
      </w:pPr>
    </w:p>
    <w:p>
      <w:pPr>
        <w:ind w:right="120" w:firstLine="1018"/>
        <w:spacing w:after="0" w:line="268" w:lineRule="auto"/>
        <w:rPr>
          <w:sz w:val="20"/>
          <w:szCs w:val="20"/>
          <w:color w:val="auto"/>
        </w:rPr>
      </w:pPr>
      <w:r>
        <w:rPr>
          <w:rFonts w:ascii="Arial" w:cs="Arial" w:eastAsia="Arial" w:hAnsi="Arial"/>
          <w:sz w:val="17"/>
          <w:szCs w:val="17"/>
          <w:color w:val="auto"/>
        </w:rPr>
        <w:t>As of September 30, 2022,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$20.8 million at September 30, 2022.</w:t>
      </w:r>
    </w:p>
    <w:p>
      <w:pPr>
        <w:spacing w:after="0" w:line="166" w:lineRule="exact"/>
        <w:rPr>
          <w:sz w:val="20"/>
          <w:szCs w:val="20"/>
          <w:color w:val="auto"/>
        </w:rPr>
      </w:pPr>
    </w:p>
    <w:p>
      <w:pPr>
        <w:ind w:firstLine="1018"/>
        <w:spacing w:after="0" w:line="303"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firstLine="1018"/>
        <w:spacing w:after="0" w:line="279" w:lineRule="auto"/>
        <w:rPr>
          <w:sz w:val="20"/>
          <w:szCs w:val="20"/>
          <w:color w:val="auto"/>
        </w:rPr>
      </w:pPr>
      <w:r>
        <w:rPr>
          <w:rFonts w:ascii="Arial" w:cs="Arial" w:eastAsia="Arial" w:hAnsi="Arial"/>
          <w:sz w:val="16"/>
          <w:szCs w:val="16"/>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RaniPill HC and because the extent to which we may enter into strategic collaborations or other arrangements with third parties for development of the RaniPill capsule and RaniPill HC is unknown, we are unable to estimate the timing and amounts of increased capital outlays and operating expenses associated with completing the research and development of our product candidates.</w:t>
      </w:r>
    </w:p>
    <w:p>
      <w:pPr>
        <w:spacing w:after="0" w:line="161" w:lineRule="exact"/>
        <w:rPr>
          <w:sz w:val="20"/>
          <w:szCs w:val="20"/>
          <w:color w:val="auto"/>
        </w:rPr>
      </w:pPr>
    </w:p>
    <w:p>
      <w:pPr>
        <w:ind w:firstLine="1018"/>
        <w:spacing w:after="0" w:line="28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and RaniPill HC. In addition, we expect to incur additional costs operating as a public company.</w:t>
      </w:r>
    </w:p>
    <w:p>
      <w:pPr>
        <w:spacing w:after="0" w:line="156" w:lineRule="exact"/>
        <w:rPr>
          <w:sz w:val="20"/>
          <w:szCs w:val="20"/>
          <w:color w:val="auto"/>
        </w:rPr>
      </w:pPr>
    </w:p>
    <w:p>
      <w:pPr>
        <w:ind w:right="160" w:firstLine="1018"/>
        <w:spacing w:after="0" w:line="249" w:lineRule="auto"/>
        <w:rPr>
          <w:sz w:val="20"/>
          <w:szCs w:val="20"/>
          <w:color w:val="auto"/>
        </w:rPr>
      </w:pPr>
      <w:r>
        <w:rPr>
          <w:rFonts w:ascii="Arial" w:cs="Arial" w:eastAsia="Arial" w:hAnsi="Arial"/>
          <w:sz w:val="18"/>
          <w:szCs w:val="18"/>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74" w:lineRule="exact"/>
        <w:rPr>
          <w:sz w:val="20"/>
          <w:szCs w:val="20"/>
          <w:color w:val="auto"/>
        </w:rPr>
      </w:pPr>
    </w:p>
    <w:p>
      <w:pPr>
        <w:ind w:left="1540" w:hanging="514"/>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117" w:lineRule="exact"/>
        <w:rPr>
          <w:rFonts w:ascii="Arial" w:cs="Arial" w:eastAsia="Arial" w:hAnsi="Arial"/>
          <w:sz w:val="18"/>
          <w:szCs w:val="18"/>
          <w:color w:val="auto"/>
        </w:rPr>
      </w:pPr>
    </w:p>
    <w:p>
      <w:pPr>
        <w:ind w:left="1540" w:right="40" w:hanging="514"/>
        <w:spacing w:after="0" w:line="248"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and RaniPill HC for various indications;</w:t>
      </w:r>
    </w:p>
    <w:p>
      <w:pPr>
        <w:spacing w:after="0" w:line="18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540" w:right="80" w:hanging="514"/>
        <w:spacing w:after="0" w:line="261"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3" w:lineRule="exact"/>
        <w:rPr>
          <w:rFonts w:ascii="Arial" w:cs="Arial" w:eastAsia="Arial" w:hAnsi="Arial"/>
          <w:sz w:val="18"/>
          <w:szCs w:val="18"/>
          <w:color w:val="auto"/>
        </w:rPr>
      </w:pPr>
    </w:p>
    <w:p>
      <w:pPr>
        <w:ind w:left="1540" w:right="300" w:hanging="514"/>
        <w:spacing w:after="0" w:line="248"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87"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117" w:lineRule="exact"/>
        <w:rPr>
          <w:rFonts w:ascii="Arial" w:cs="Arial" w:eastAsia="Arial" w:hAnsi="Arial"/>
          <w:sz w:val="18"/>
          <w:szCs w:val="18"/>
          <w:color w:val="auto"/>
        </w:rPr>
      </w:pPr>
    </w:p>
    <w:p>
      <w:pPr>
        <w:ind w:left="1540" w:right="80" w:hanging="514"/>
        <w:spacing w:after="0" w:line="261"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540" w:right="140" w:hanging="514"/>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57" w:lineRule="exact"/>
        <w:rPr>
          <w:sz w:val="20"/>
          <w:szCs w:val="20"/>
          <w:color w:val="auto"/>
        </w:rPr>
      </w:pPr>
    </w:p>
    <w:p>
      <w:pPr>
        <w:ind w:right="80" w:firstLine="1018"/>
        <w:spacing w:after="0" w:line="243"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cash equivalents, restricted cash equivalents and marketable securities: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70,952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100"/>
              <w:spacing w:after="0"/>
              <w:rPr>
                <w:sz w:val="20"/>
                <w:szCs w:val="20"/>
                <w:color w:val="auto"/>
              </w:rPr>
            </w:pPr>
            <w:r>
              <w:rPr>
                <w:rFonts w:ascii="Arial" w:cs="Arial" w:eastAsia="Arial" w:hAnsi="Arial"/>
                <w:sz w:val="18"/>
                <w:szCs w:val="18"/>
                <w:color w:val="auto"/>
                <w:w w:val="96"/>
              </w:rPr>
              <w:t>Total cash, cash equivalents, restricted cash equivalents and marketable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98,671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60325"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right="540" w:firstLine="1018"/>
        <w:spacing w:after="0" w:line="291" w:lineRule="auto"/>
        <w:rPr>
          <w:sz w:val="20"/>
          <w:szCs w:val="20"/>
          <w:color w:val="auto"/>
        </w:rPr>
      </w:pPr>
      <w:r>
        <w:rPr>
          <w:rFonts w:ascii="Arial" w:cs="Arial" w:eastAsia="Arial" w:hAnsi="Arial"/>
          <w:sz w:val="17"/>
          <w:szCs w:val="17"/>
          <w:color w:val="auto"/>
        </w:rPr>
        <w:t>As of September 30, 2022, we had cash, cash equivalents and marketable securities of $98.7 million, compared to $117.5 million as of December 31, 2021. We believe our cash, cash equivalents, restricted cash equivalent and marketable securities will be</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360"/>
        <w:spacing w:after="0" w:line="277" w:lineRule="auto"/>
        <w:rPr>
          <w:sz w:val="20"/>
          <w:szCs w:val="20"/>
          <w:color w:val="auto"/>
        </w:rPr>
      </w:pPr>
      <w:r>
        <w:rPr>
          <w:rFonts w:ascii="Arial" w:cs="Arial" w:eastAsia="Arial" w:hAnsi="Arial"/>
          <w:sz w:val="18"/>
          <w:szCs w:val="18"/>
          <w:color w:val="auto"/>
        </w:rPr>
        <w:t>sufficient to meet our anticipated operating requirements for at least the next 12 months following the date of issuance of these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69"/>
        </w:trPr>
        <w:tc>
          <w:tcPr>
            <w:tcW w:w="65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(71,979 )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(235 )</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(89,734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56,685</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ind w:right="100" w:firstLine="1018"/>
        <w:spacing w:after="0" w:line="249" w:lineRule="auto"/>
        <w:rPr>
          <w:sz w:val="20"/>
          <w:szCs w:val="20"/>
          <w:color w:val="auto"/>
        </w:rPr>
      </w:pPr>
      <w:r>
        <w:rPr>
          <w:rFonts w:ascii="Arial" w:cs="Arial" w:eastAsia="Arial" w:hAnsi="Arial"/>
          <w:sz w:val="18"/>
          <w:szCs w:val="18"/>
          <w:color w:val="auto"/>
        </w:rPr>
        <w:t>Net cash used in operating activities for the nine months ended September 30, 2022 was $31.9 million, which was primarily attributable to a net loss of $46.0 million, partially offset by the equity-based compensation expense of $11.3 million, non-cash operating lease expense of $0.5 million and non-cash depreciation and amortization expense of $0.4 million. Additionally, there was an increase in accounts payable of $0.4 million and accrued expenses of $2.5 million attributable to accrued bonuses.</w:t>
      </w:r>
    </w:p>
    <w:p>
      <w:pPr>
        <w:spacing w:after="0" w:line="181" w:lineRule="exact"/>
        <w:rPr>
          <w:sz w:val="20"/>
          <w:szCs w:val="20"/>
          <w:color w:val="auto"/>
        </w:rPr>
      </w:pPr>
    </w:p>
    <w:p>
      <w:pPr>
        <w:ind w:right="20" w:firstLine="1018"/>
        <w:spacing w:after="0" w:line="249" w:lineRule="auto"/>
        <w:rPr>
          <w:sz w:val="20"/>
          <w:szCs w:val="20"/>
          <w:color w:val="auto"/>
        </w:rPr>
      </w:pPr>
      <w:r>
        <w:rPr>
          <w:rFonts w:ascii="Arial" w:cs="Arial" w:eastAsia="Arial" w:hAnsi="Arial"/>
          <w:sz w:val="18"/>
          <w:szCs w:val="18"/>
          <w:color w:val="auto"/>
        </w:rPr>
        <w:t>Net cash used in operating activities for the nine months ended September 30, 2021 was $20.8 million, which was primarily attributable to a net loss of $39.8 million, partially offset by the equity-based compensation expense of $19.4 million, loss on the extinguishment of the debt of $0.7 million, non-cash depreciation and amortization of $0.4 million, and change in the estimated fair value of our preferred unit warrant liability of $0.4 million. Additionally there was an increase of $2.5 million in prepaid expenses and other assets, a decrease in accrued expenses of $2.3 million, and a decrease in deferred revenue of $2.7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2" w:lineRule="exact"/>
        <w:rPr>
          <w:sz w:val="20"/>
          <w:szCs w:val="20"/>
          <w:color w:val="auto"/>
        </w:rPr>
      </w:pPr>
    </w:p>
    <w:p>
      <w:pPr>
        <w:ind w:right="660" w:firstLine="1018"/>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$72.0 million consisting of $70.9 million in purchases of marketable securities and $1.1 million in purchases of property and equipment.</w:t>
      </w:r>
    </w:p>
    <w:p>
      <w:pPr>
        <w:spacing w:after="0" w:line="157" w:lineRule="exact"/>
        <w:rPr>
          <w:sz w:val="20"/>
          <w:szCs w:val="20"/>
          <w:color w:val="auto"/>
        </w:rPr>
      </w:pPr>
    </w:p>
    <w:p>
      <w:pPr>
        <w:ind w:right="480" w:firstLine="1018"/>
        <w:spacing w:after="0" w:line="261" w:lineRule="auto"/>
        <w:rPr>
          <w:sz w:val="20"/>
          <w:szCs w:val="20"/>
          <w:color w:val="auto"/>
        </w:rPr>
      </w:pPr>
      <w:r>
        <w:rPr>
          <w:rFonts w:ascii="Arial" w:cs="Arial" w:eastAsia="Arial" w:hAnsi="Arial"/>
          <w:sz w:val="18"/>
          <w:szCs w:val="18"/>
          <w:color w:val="auto"/>
        </w:rPr>
        <w:t>For the nine months ended September 30, 2021, net cash used in investing activities was $0.2 million, consisting solely of purchases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ind w:right="20" w:firstLine="1018"/>
        <w:spacing w:after="0" w:line="249" w:lineRule="auto"/>
        <w:rPr>
          <w:sz w:val="20"/>
          <w:szCs w:val="20"/>
          <w:color w:val="auto"/>
        </w:rPr>
      </w:pPr>
      <w:r>
        <w:rPr>
          <w:rFonts w:ascii="Arial" w:cs="Arial" w:eastAsia="Arial" w:hAnsi="Arial"/>
          <w:sz w:val="18"/>
          <w:szCs w:val="18"/>
          <w:color w:val="auto"/>
        </w:rPr>
        <w:t>For the nine months ended September 30, 2022, net cash provided by financing activities was $14.1 million, which was primarily attributable to proceeds from the issuance of long-term debt and warrants, net of issuance costs of $14.7 million and proceeds from employee stock purchase plan of $0.2 million. These items were partially offset by a $0.6 million decrease for employee taxes paid on net share settlement on the vesting of restricted stock units and payment of deferred financing costs of $0.1 million.</w:t>
      </w:r>
    </w:p>
    <w:p>
      <w:pPr>
        <w:spacing w:after="0" w:line="181" w:lineRule="exact"/>
        <w:rPr>
          <w:sz w:val="20"/>
          <w:szCs w:val="20"/>
          <w:color w:val="auto"/>
        </w:rPr>
      </w:pPr>
    </w:p>
    <w:p>
      <w:pPr>
        <w:ind w:right="60" w:firstLine="1018"/>
        <w:spacing w:after="0" w:line="268" w:lineRule="auto"/>
        <w:rPr>
          <w:sz w:val="20"/>
          <w:szCs w:val="20"/>
          <w:color w:val="auto"/>
        </w:rPr>
      </w:pPr>
      <w:r>
        <w:rPr>
          <w:rFonts w:ascii="Arial" w:cs="Arial" w:eastAsia="Arial" w:hAnsi="Arial"/>
          <w:sz w:val="17"/>
          <w:szCs w:val="17"/>
          <w:color w:val="auto"/>
        </w:rPr>
        <w:t>For the nine months ended September 30, 2021, cash provided by financing activities was approximately $77.7 million, consisting of the proceeds from the issuance of Class A common stock sold in the IPO for net proceeds of $74.2 million, the sale and issuance of 884,276 units of our Series E Preferred Units for net proceeds of $6.3 million, and $1.7 million of principal payments received from our related party notes receivable, partially offset by repayment of a paycheck protection program loan of $1.3 million and repayment of a convertible loan of $3.3 million.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2022 (in thousands):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As of September 30,</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Short-term</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4"/>
                <w:szCs w:val="14"/>
                <w:color w:val="auto"/>
              </w:rPr>
            </w:pPr>
          </w:p>
        </w:tc>
      </w:tr>
      <w:tr>
        <w:trPr>
          <w:trHeight w:val="210"/>
        </w:trPr>
        <w:tc>
          <w:tcPr>
            <w:tcW w:w="4160" w:type="dxa"/>
            <w:vAlign w:val="bottom"/>
            <w:shd w:val="clear" w:color="auto" w:fill="CFF0FC"/>
          </w:tcPr>
          <w:p>
            <w:pPr>
              <w:spacing w:after="0" w:line="21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4"/>
                <w:szCs w:val="24"/>
                <w:color w:val="auto"/>
                <w:vertAlign w:val="subscript"/>
              </w:rPr>
              <w:t>(1)</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spacing w:after="0" w:line="216"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bscript"/>
              </w:rPr>
              <w:t>(2)</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15,825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15,825</w:t>
            </w:r>
          </w:p>
        </w:tc>
        <w:tc>
          <w:tcPr>
            <w:tcW w:w="100" w:type="dxa"/>
            <w:vAlign w:val="bottom"/>
            <w:tcBorders>
              <w:bottom w:val="single" w:sz="8" w:color="CFF0FC"/>
            </w:tcBorders>
          </w:tcPr>
          <w:p>
            <w:pPr>
              <w:spacing w:after="0"/>
              <w:rPr>
                <w:sz w:val="18"/>
                <w:szCs w:val="18"/>
                <w:color w:val="auto"/>
              </w:rPr>
            </w:pPr>
          </w:p>
        </w:tc>
      </w:tr>
      <w:tr>
        <w:trPr>
          <w:trHeight w:val="249"/>
        </w:trPr>
        <w:tc>
          <w:tcPr>
            <w:tcW w:w="4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17,296</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ind w:right="6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operating lease payments. See Note 8 to the condensed consolidated financial statements contained in Part I, Item 1 of this Quarterly Report on Form 10-Q for additional information.</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long-term debt principal maturities and final payment equal to 5.5% of aggregate amount funded, excluding interest. See Note 13 to the condensed consolidated financial statements contained in Part I, Item 1 of this Quarterly Report on Form 10-Q for additional information.</w:t>
      </w:r>
    </w:p>
    <w:p>
      <w:pPr>
        <w:spacing w:after="0" w:line="133" w:lineRule="exact"/>
        <w:rPr>
          <w:sz w:val="20"/>
          <w:szCs w:val="20"/>
          <w:color w:val="auto"/>
        </w:rPr>
      </w:pPr>
    </w:p>
    <w:p>
      <w:pPr>
        <w:ind w:firstLine="1018"/>
        <w:spacing w:after="0" w:line="291" w:lineRule="auto"/>
        <w:rPr>
          <w:sz w:val="20"/>
          <w:szCs w:val="20"/>
          <w:color w:val="auto"/>
        </w:rPr>
      </w:pPr>
      <w:r>
        <w:rPr>
          <w:rFonts w:ascii="Arial" w:cs="Arial" w:eastAsia="Arial" w:hAnsi="Arial"/>
          <w:sz w:val="17"/>
          <w:szCs w:val="17"/>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80" w:firstLine="1018"/>
        <w:spacing w:after="0" w:line="280" w:lineRule="auto"/>
        <w:rPr>
          <w:sz w:val="20"/>
          <w:szCs w:val="20"/>
          <w:color w:val="auto"/>
        </w:rPr>
      </w:pPr>
      <w:r>
        <w:rPr>
          <w:rFonts w:ascii="Arial" w:cs="Arial" w:eastAsia="Arial" w:hAnsi="Arial"/>
          <w:sz w:val="16"/>
          <w:szCs w:val="16"/>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jc w:val="both"/>
        <w:ind w:right="260" w:firstLine="1018"/>
        <w:spacing w:after="0" w:line="256" w:lineRule="auto"/>
        <w:rPr>
          <w:sz w:val="20"/>
          <w:szCs w:val="20"/>
          <w:color w:val="auto"/>
        </w:rPr>
      </w:pPr>
      <w:r>
        <w:rPr>
          <w:rFonts w:ascii="Arial" w:cs="Arial" w:eastAsia="Arial" w:hAnsi="Arial"/>
          <w:sz w:val="18"/>
          <w:szCs w:val="18"/>
          <w:color w:val="auto"/>
        </w:rPr>
        <w:t>For further information on our significant accounting policies, refer to our Annual Report on Form 10-K for the year ended December 31, 2021, filed with the SEC on March 31, 2022. Except as noted below, there have been no material changes to our critical accounting policies or estimates from those set forth in our Annual Report on Form 10-K for the fiscal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36" w:lineRule="exact"/>
        <w:rPr>
          <w:sz w:val="20"/>
          <w:szCs w:val="20"/>
          <w:color w:val="auto"/>
        </w:rPr>
      </w:pPr>
    </w:p>
    <w:p>
      <w:pPr>
        <w:ind w:right="100" w:firstLine="1018"/>
        <w:spacing w:after="0" w:line="268" w:lineRule="auto"/>
        <w:rPr>
          <w:sz w:val="20"/>
          <w:szCs w:val="20"/>
          <w:color w:val="auto"/>
        </w:rPr>
      </w:pPr>
      <w:r>
        <w:rPr>
          <w:rFonts w:ascii="Arial" w:cs="Arial" w:eastAsia="Arial" w:hAnsi="Arial"/>
          <w:sz w:val="17"/>
          <w:szCs w:val="17"/>
          <w:color w:val="auto"/>
        </w:rPr>
        <w:t>We account for equity classified warrants, issued in connection with the Loan Agreement,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our expected dividend yield. Such assumptions represent management’s best estimates and involve inherent uncertainties and the application of management’s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ind w:right="60" w:firstLine="1018"/>
        <w:spacing w:after="0" w:line="342" w:lineRule="auto"/>
        <w:rPr>
          <w:sz w:val="20"/>
          <w:szCs w:val="20"/>
          <w:color w:val="auto"/>
        </w:rPr>
      </w:pPr>
      <w:r>
        <w:rPr>
          <w:rFonts w:ascii="Arial" w:cs="Arial" w:eastAsia="Arial" w:hAnsi="Arial"/>
          <w:sz w:val="16"/>
          <w:szCs w:val="16"/>
          <w:color w:val="auto"/>
        </w:rPr>
        <w:t>For a description of the expected impact of recent accounting pronouncements, see “Note 2. Summary of Significant Accounting Policies” in the “Notes to the Unaudited Condensed Consolidated Financial Statements” contained in Part I, Item 1 of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25" w:lineRule="exact"/>
        <w:rPr>
          <w:sz w:val="20"/>
          <w:szCs w:val="20"/>
          <w:color w:val="auto"/>
        </w:rPr>
      </w:pPr>
    </w:p>
    <w:p>
      <w:pPr>
        <w:ind w:right="20" w:firstLine="1018"/>
        <w:spacing w:after="0" w:line="249"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300"/>
        <w:spacing w:after="0" w:line="249" w:lineRule="auto"/>
        <w:rPr>
          <w:sz w:val="20"/>
          <w:szCs w:val="20"/>
          <w:color w:val="auto"/>
        </w:rPr>
      </w:pPr>
      <w:r>
        <w:rPr>
          <w:rFonts w:ascii="Arial" w:cs="Arial" w:eastAsia="Arial" w:hAnsi="Arial"/>
          <w:sz w:val="18"/>
          <w:szCs w:val="18"/>
          <w:color w:val="auto"/>
        </w:rPr>
        <w:t>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will remain an emerging growth company until the earliest of (1) December 31, 2026 (the last day of the fiscal year following the fifth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closing of our initial public offering), (2) the last day of the fiscal year in which we have total annual gross revenue of at least $1.07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billion, (3) the last day of the fiscal year in which we are deemed to be a “large accelerated filer” as defined in Rule 12b-2 under the Securities Exchange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Act of 1934, as amended (the “Exchange Act”), which would occur if the market value of our Class A common stock held by non-affiliates exceeded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 $1.0 billion in non-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securities during the prior three-year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80" w:firstLine="1018"/>
        <w:spacing w:after="0" w:line="27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220" w:firstLine="1018"/>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September 30, 2022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16" w:lineRule="exact"/>
        <w:rPr>
          <w:sz w:val="20"/>
          <w:szCs w:val="20"/>
          <w:color w:val="auto"/>
        </w:rPr>
      </w:pPr>
    </w:p>
    <w:p>
      <w:pPr>
        <w:ind w:right="20" w:firstLine="1018"/>
        <w:spacing w:after="0" w:line="274"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60" w:firstLine="1018"/>
        <w:spacing w:after="0" w:line="278"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520" w:firstLine="1018"/>
        <w:spacing w:after="0" w:line="256" w:lineRule="auto"/>
        <w:rPr>
          <w:sz w:val="20"/>
          <w:szCs w:val="20"/>
          <w:color w:val="auto"/>
        </w:rPr>
      </w:pPr>
      <w:r>
        <w:rPr>
          <w:rFonts w:ascii="Arial" w:cs="Arial" w:eastAsia="Arial" w:hAnsi="Arial"/>
          <w:sz w:val="18"/>
          <w:szCs w:val="18"/>
          <w:color w:val="auto"/>
        </w:rPr>
        <w:t>Other than as described below, management believes that there have been no significant changes to the risk factors associated with our business as compared to those disclosed in Part 1, Item 1A of our Annual Report on Form 10-K for the year ended December 31, 2021, which is incorporated by reference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1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84" w:lineRule="exact"/>
        <w:rPr>
          <w:sz w:val="20"/>
          <w:szCs w:val="20"/>
          <w:color w:val="auto"/>
        </w:rPr>
      </w:pPr>
    </w:p>
    <w:p>
      <w:pPr>
        <w:ind w:right="20" w:firstLine="1018"/>
        <w:spacing w:after="0" w:line="277"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4"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49"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103"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48"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48"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ind w:left="1020" w:right="4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current Good Manufacturing Practices (cGMP), for the conduct of preclinical studies and clinical trials and, if approved, for successful commercialization;</w:t>
      </w:r>
    </w:p>
    <w:p>
      <w:pPr>
        <w:spacing w:after="0" w:line="48" w:lineRule="exact"/>
        <w:rPr>
          <w:rFonts w:ascii="Arial" w:cs="Arial" w:eastAsia="Arial" w:hAnsi="Arial"/>
          <w:sz w:val="18"/>
          <w:szCs w:val="18"/>
          <w:color w:val="auto"/>
        </w:rPr>
      </w:pPr>
    </w:p>
    <w:p>
      <w:pPr>
        <w:ind w:left="1020" w:right="22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key personnel with appropriate expertise and experience to manage our business effectively.</w:t>
      </w:r>
    </w:p>
    <w:p>
      <w:pPr>
        <w:spacing w:after="0" w:line="225" w:lineRule="exact"/>
        <w:rPr>
          <w:sz w:val="20"/>
          <w:szCs w:val="20"/>
          <w:color w:val="auto"/>
        </w:rPr>
      </w:pPr>
    </w:p>
    <w:p>
      <w:pPr>
        <w:ind w:right="180" w:firstLine="1018"/>
        <w:spacing w:after="0" w:line="248"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22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If we are unable to raise additional capital when needed on acceptable terms, we may be forced to delay, limit, reduce or terminate our product development programs, commercialization efforts or other operations.</w:t>
      </w:r>
    </w:p>
    <w:p>
      <w:pPr>
        <w:spacing w:after="0" w:line="171" w:lineRule="exact"/>
        <w:rPr>
          <w:sz w:val="20"/>
          <w:szCs w:val="20"/>
          <w:color w:val="auto"/>
        </w:rPr>
      </w:pPr>
    </w:p>
    <w:p>
      <w:pPr>
        <w:ind w:right="20" w:firstLine="1018"/>
        <w:spacing w:after="0" w:line="259" w:lineRule="auto"/>
        <w:rPr>
          <w:sz w:val="20"/>
          <w:szCs w:val="20"/>
          <w:color w:val="auto"/>
        </w:rPr>
      </w:pPr>
      <w:r>
        <w:rPr>
          <w:rFonts w:ascii="Arial" w:cs="Arial" w:eastAsia="Arial" w:hAnsi="Arial"/>
          <w:sz w:val="17"/>
          <w:szCs w:val="17"/>
          <w:color w:val="auto"/>
        </w:rPr>
        <w:t>Our operations have consumed substantial amounts of cash since our inception. We are in early clinical development with certain product candidates and have conducted or are in the process of conducting preclinical studies with other product candidates. We intend to advance our product candidates into initial and later stages of clinical development, which requires significant capital. In addition, we are developing the RaniPill HC and intend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product candidates and, if we are successful, to commercialize any of our current product candidates. If the U.S. Food and Drug Administration (FDA) or any comparable foreign regulatory authorities, such as the European Medicines Agency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77" w:lineRule="exact"/>
        <w:rPr>
          <w:sz w:val="20"/>
          <w:szCs w:val="20"/>
          <w:color w:val="auto"/>
        </w:rPr>
      </w:pPr>
    </w:p>
    <w:p>
      <w:pPr>
        <w:ind w:right="40" w:firstLine="1018"/>
        <w:spacing w:after="0" w:line="261" w:lineRule="auto"/>
        <w:rPr>
          <w:sz w:val="20"/>
          <w:szCs w:val="20"/>
          <w:color w:val="auto"/>
        </w:rPr>
      </w:pPr>
      <w:r>
        <w:rPr>
          <w:rFonts w:ascii="Arial" w:cs="Arial" w:eastAsia="Arial" w:hAnsi="Arial"/>
          <w:sz w:val="17"/>
          <w:szCs w:val="17"/>
          <w:color w:val="auto"/>
        </w:rPr>
        <w:t>Based on our current operating plan,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and Loans, will not be sufficient to enable us to initiate any pivotal clinical trials. Accordingly, we expect that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12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progress and costs of development of the RaniPill HC device and other improvements or advancements to our delivery technologies;</w:t>
      </w:r>
    </w:p>
    <w:p>
      <w:pPr>
        <w:spacing w:after="0" w:line="126" w:lineRule="exact"/>
        <w:rPr>
          <w:rFonts w:ascii="Arial" w:cs="Arial" w:eastAsia="Arial" w:hAnsi="Arial"/>
          <w:sz w:val="16"/>
          <w:szCs w:val="16"/>
          <w:color w:val="auto"/>
        </w:rPr>
      </w:pPr>
    </w:p>
    <w:p>
      <w:pPr>
        <w:ind w:left="1020" w:right="460" w:hanging="503"/>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left="1020" w:right="6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manufacturing, and obtaining drug supply for, our product candidates, including for clinical and commercial supplies;</w:t>
      </w:r>
    </w:p>
    <w:p>
      <w:pPr>
        <w:spacing w:after="0" w:line="48"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 including establishing sales, marketing, and distribution capabilities;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3"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117"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 the conflict between Ukraine and Russia or other such disruptions.</w:t>
      </w:r>
    </w:p>
    <w:p>
      <w:pPr>
        <w:spacing w:after="0" w:line="157" w:lineRule="exact"/>
        <w:rPr>
          <w:sz w:val="20"/>
          <w:szCs w:val="20"/>
          <w:color w:val="auto"/>
        </w:rPr>
      </w:pPr>
    </w:p>
    <w:p>
      <w:pPr>
        <w:ind w:right="20" w:firstLine="1018"/>
        <w:spacing w:after="0" w:line="249"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as well as the conflict between Ukraine and Russia, inflation, rising interest rates and other conditions, the global credit and financial markets have experienced volatility and disruptions. If we are unable to obtain additional funding from equity offerings or debt financings, including on a timely basis, we may be required to:</w:t>
      </w:r>
    </w:p>
    <w:p>
      <w:pPr>
        <w:spacing w:after="0" w:line="73" w:lineRule="exact"/>
        <w:rPr>
          <w:sz w:val="20"/>
          <w:szCs w:val="20"/>
          <w:color w:val="auto"/>
        </w:rPr>
      </w:pPr>
    </w:p>
    <w:p>
      <w:pPr>
        <w:ind w:left="1020" w:right="3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48"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right="200" w:firstLine="1018"/>
        <w:spacing w:after="0" w:line="24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1" w:lineRule="exact"/>
        <w:rPr>
          <w:sz w:val="20"/>
          <w:szCs w:val="20"/>
          <w:color w:val="auto"/>
        </w:rPr>
      </w:pPr>
    </w:p>
    <w:p>
      <w:pPr>
        <w:ind w:right="120" w:firstLine="1018"/>
        <w:spacing w:after="0" w:line="256"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6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existing indebtedness contains restrictions that limit our flexibility in operating our business. In addition, we may be required to make a prepayment or repay our outstanding indebtedness earlier than we expect.</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August 2022, we entered into the Loan Agreement with the Lender, which provides for Loans in an aggregate principal amount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$45.0 million. A Loan of $30.0 million was committed at closing, with $15.0 million funded immediately and $15.0 million available to be drawn between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October 1, 2022 and December 31, 2022. The remaining $15.0 million of Loans is uncommitted and is subject to certain conditions and approval by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Lender. The Loan Agreement contains various covenants that limit our ability to engage in specified types of transactions. These covenants limit our ability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among other things:</w:t>
      </w:r>
    </w:p>
    <w:p>
      <w:pPr>
        <w:spacing w:after="0" w:line="8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1020" w:right="2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any transaction or series of related transactions that would be deemed to result in a change in control of us under the terms of the agreement;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212" w:lineRule="exact"/>
        <w:rPr>
          <w:sz w:val="20"/>
          <w:szCs w:val="20"/>
          <w:color w:val="auto"/>
        </w:rPr>
      </w:pPr>
    </w:p>
    <w:p>
      <w:pPr>
        <w:ind w:right="380" w:firstLine="1018"/>
        <w:spacing w:after="0" w:line="261" w:lineRule="auto"/>
        <w:rPr>
          <w:sz w:val="20"/>
          <w:szCs w:val="20"/>
          <w:color w:val="auto"/>
        </w:rPr>
      </w:pPr>
      <w:r>
        <w:rPr>
          <w:rFonts w:ascii="Arial" w:cs="Arial" w:eastAsia="Arial" w:hAnsi="Arial"/>
          <w:sz w:val="18"/>
          <w:szCs w:val="18"/>
          <w:color w:val="auto"/>
        </w:rPr>
        <w:t>The restrictive covenants in the Loan Agreement could prevent us from pursuing business opportunities that we or our stockholders may consider beneficial.</w:t>
      </w:r>
    </w:p>
    <w:p>
      <w:pPr>
        <w:spacing w:after="0" w:line="184" w:lineRule="exact"/>
        <w:rPr>
          <w:sz w:val="20"/>
          <w:szCs w:val="20"/>
          <w:color w:val="auto"/>
        </w:rPr>
      </w:pPr>
    </w:p>
    <w:p>
      <w:pPr>
        <w:ind w:right="100" w:firstLine="1018"/>
        <w:spacing w:after="0" w:line="260" w:lineRule="auto"/>
        <w:rPr>
          <w:sz w:val="20"/>
          <w:szCs w:val="20"/>
          <w:color w:val="auto"/>
        </w:rPr>
      </w:pPr>
      <w:r>
        <w:rPr>
          <w:rFonts w:ascii="Arial" w:cs="Arial" w:eastAsia="Arial" w:hAnsi="Arial"/>
          <w:sz w:val="17"/>
          <w:szCs w:val="17"/>
          <w:color w:val="auto"/>
        </w:rPr>
        <w:t>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 could elect to declare all amounts outstanding to be immediately due and payable, proceed against the collateral in which we granted the Lender a security interest under the Loan Agreement, or otherwise exercise the rights of a secured creditor. Amounts outstanding under the Loan Agreement are secured by substantially all of our existing and future assets, including intellectual property.</w:t>
      </w:r>
    </w:p>
    <w:p>
      <w:pPr>
        <w:spacing w:after="0" w:line="187" w:lineRule="exact"/>
        <w:rPr>
          <w:sz w:val="20"/>
          <w:szCs w:val="20"/>
          <w:color w:val="auto"/>
        </w:rPr>
      </w:pPr>
    </w:p>
    <w:p>
      <w:pPr>
        <w:ind w:right="220" w:firstLine="1018"/>
        <w:spacing w:after="0" w:line="245" w:lineRule="auto"/>
        <w:rPr>
          <w:sz w:val="20"/>
          <w:szCs w:val="20"/>
          <w:color w:val="auto"/>
        </w:rPr>
      </w:pPr>
      <w:r>
        <w:rPr>
          <w:rFonts w:ascii="Arial" w:cs="Arial" w:eastAsia="Arial" w:hAnsi="Arial"/>
          <w:sz w:val="18"/>
          <w:szCs w:val="18"/>
          <w:color w:val="auto"/>
        </w:rPr>
        <w:t>At closing, we drew on $15.0 million of the $30.0 million available to us as part of the first tranche. The Loan Agreement also gives us the ability to access an additional $15.0 million, which may be drawn in an additional tranche with the approval of the Lender and subject to the other terms and conditions set forth in the Loan Agreement. If we are unable to satisfy these or other required conditions, or if the Lender does not consent, as applicable, we would not be able to draw down the remaining tranche of financing and may not be able to obtain alternative financing on commercially reasonable terms or at all, which could adversely impact our business.</w:t>
      </w:r>
    </w:p>
    <w:p>
      <w:pPr>
        <w:spacing w:after="0" w:line="186"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02" w:lineRule="exact"/>
        <w:rPr>
          <w:sz w:val="20"/>
          <w:szCs w:val="20"/>
          <w:color w:val="auto"/>
        </w:rPr>
      </w:pPr>
    </w:p>
    <w:p>
      <w:pPr>
        <w:jc w:val="both"/>
        <w:ind w:right="300"/>
        <w:spacing w:after="0" w:line="331" w:lineRule="auto"/>
        <w:rPr>
          <w:sz w:val="20"/>
          <w:szCs w:val="20"/>
          <w:color w:val="auto"/>
        </w:rPr>
      </w:pPr>
      <w:r>
        <w:rPr>
          <w:rFonts w:ascii="Arial" w:cs="Arial" w:eastAsia="Arial" w:hAnsi="Arial"/>
          <w:sz w:val="15"/>
          <w:szCs w:val="15"/>
          <w:b w:val="1"/>
          <w:bCs w:val="1"/>
          <w:i w:val="1"/>
          <w:iCs w:val="1"/>
          <w:color w:val="auto"/>
        </w:rPr>
        <w:t>We are early in our development efforts and have only a limited number of product candidates in early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23" w:lineRule="exact"/>
        <w:rPr>
          <w:sz w:val="20"/>
          <w:szCs w:val="20"/>
          <w:color w:val="auto"/>
        </w:rPr>
      </w:pPr>
    </w:p>
    <w:p>
      <w:pPr>
        <w:jc w:val="both"/>
        <w:ind w:right="180" w:firstLine="1018"/>
        <w:spacing w:after="0" w:line="249" w:lineRule="auto"/>
        <w:rPr>
          <w:sz w:val="20"/>
          <w:szCs w:val="20"/>
          <w:color w:val="auto"/>
        </w:rPr>
      </w:pPr>
      <w:r>
        <w:rPr>
          <w:rFonts w:ascii="Arial" w:cs="Arial" w:eastAsia="Arial" w:hAnsi="Arial"/>
          <w:sz w:val="18"/>
          <w:szCs w:val="18"/>
          <w:color w:val="auto"/>
        </w:rPr>
        <w:t>We are in the early stages of our development efforts and have only a limited number of product candidates in early clinical development. Other product candidates are still in the formulation and preclinical stages. We will need to progress our product candidates through Investigational New Drug (IND)-enabling studies and submit INDs to the FDA or equivalent regulatory filings to foreign regulatory authorities prior to initiating their clinical development. None of our product candidates have advanced into a pivotal study.</w:t>
      </w:r>
    </w:p>
    <w:p>
      <w:pPr>
        <w:spacing w:after="0" w:line="194" w:lineRule="exact"/>
        <w:rPr>
          <w:sz w:val="20"/>
          <w:szCs w:val="20"/>
          <w:color w:val="auto"/>
        </w:rPr>
      </w:pPr>
    </w:p>
    <w:p>
      <w:pPr>
        <w:ind w:right="20" w:firstLine="1018"/>
        <w:spacing w:after="0" w:line="248"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8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020" w:right="66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Biologic License Applications (BLAs) or New Drug Applications (NDAs), from the FDA, and maintaining such approvals;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establishing clinical and commercial manufacturing capabilities, and securing adequate supply of drugs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12" w:lineRule="exact"/>
        <w:rPr>
          <w:sz w:val="20"/>
          <w:szCs w:val="20"/>
          <w:color w:val="auto"/>
        </w:rPr>
      </w:pPr>
    </w:p>
    <w:p>
      <w:pPr>
        <w:ind w:right="160" w:firstLine="1018"/>
        <w:spacing w:after="0" w:line="243"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2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84" w:lineRule="exact"/>
        <w:rPr>
          <w:sz w:val="20"/>
          <w:szCs w:val="20"/>
          <w:color w:val="auto"/>
        </w:rPr>
      </w:pPr>
    </w:p>
    <w:p>
      <w:pPr>
        <w:ind w:right="60" w:firstLine="1018"/>
        <w:spacing w:after="0" w:line="27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 RT-101 and RT-102 do not ensure that future Phase 2 or later clinical trials of these product candidates will have similar results or be successful. In the Phase 1 clinical trials of RT-101 and RT-102,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spacing w:after="0" w:line="165" w:lineRule="exact"/>
        <w:rPr>
          <w:sz w:val="20"/>
          <w:szCs w:val="20"/>
          <w:color w:val="auto"/>
        </w:rPr>
      </w:pPr>
    </w:p>
    <w:p>
      <w:pPr>
        <w:ind w:right="20" w:firstLine="1018"/>
        <w:spacing w:after="0" w:line="245"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99" w:lineRule="exact"/>
        <w:rPr>
          <w:sz w:val="20"/>
          <w:szCs w:val="20"/>
          <w:color w:val="auto"/>
        </w:rPr>
      </w:pPr>
    </w:p>
    <w:p>
      <w:pPr>
        <w:ind w:right="120" w:firstLine="1018"/>
        <w:spacing w:after="0" w:line="324" w:lineRule="auto"/>
        <w:rPr>
          <w:sz w:val="20"/>
          <w:szCs w:val="20"/>
          <w:color w:val="auto"/>
        </w:rPr>
      </w:pPr>
      <w:r>
        <w:rPr>
          <w:rFonts w:ascii="Arial" w:cs="Arial" w:eastAsia="Arial" w:hAnsi="Arial"/>
          <w:sz w:val="16"/>
          <w:szCs w:val="16"/>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6"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at each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117"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impacts of the COVID-19 pandemic or the conflict between Russia and Ukraine on our ongoing and planned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117"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1" w:lineRule="exact"/>
        <w:rPr>
          <w:sz w:val="20"/>
          <w:szCs w:val="20"/>
          <w:color w:val="auto"/>
        </w:rPr>
      </w:pPr>
    </w:p>
    <w:p>
      <w:pPr>
        <w:ind w:right="40" w:firstLine="1018"/>
        <w:spacing w:after="0" w:line="275"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2" w:lineRule="exact"/>
        <w:rPr>
          <w:sz w:val="20"/>
          <w:szCs w:val="20"/>
          <w:color w:val="auto"/>
        </w:rPr>
      </w:pPr>
    </w:p>
    <w:p>
      <w:pPr>
        <w:ind w:right="260" w:firstLine="1018"/>
        <w:spacing w:after="0" w:line="245"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99" w:lineRule="exact"/>
        <w:rPr>
          <w:sz w:val="20"/>
          <w:szCs w:val="20"/>
          <w:color w:val="auto"/>
        </w:rPr>
      </w:pPr>
    </w:p>
    <w:p>
      <w:pPr>
        <w:jc w:val="both"/>
        <w:ind w:right="580" w:firstLine="1018"/>
        <w:spacing w:after="0" w:line="294"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spacing w:after="0" w:line="1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175"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We are required to develop microtablets of drugs for use in our existing RaniPill capsule. Accordingly, we develop or modify formulations of drugs to be suitable for the creation of such microtablets.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spacing w:after="0" w:line="22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160" w:firstLine="1018"/>
        <w:spacing w:after="0" w:line="246"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85" w:lineRule="exact"/>
        <w:rPr>
          <w:sz w:val="20"/>
          <w:szCs w:val="20"/>
          <w:color w:val="auto"/>
        </w:rPr>
      </w:pPr>
    </w:p>
    <w:p>
      <w:pPr>
        <w:ind w:right="600" w:firstLine="1018"/>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4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03"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103"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active pharmaceutical ingredients (APIs) for use in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117"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or device-related adverse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03" w:lineRule="exact"/>
        <w:rPr>
          <w:rFonts w:ascii="Arial" w:cs="Arial" w:eastAsia="Arial" w:hAnsi="Arial"/>
          <w:sz w:val="18"/>
          <w:szCs w:val="18"/>
          <w:color w:val="auto"/>
        </w:rPr>
      </w:pPr>
    </w:p>
    <w:p>
      <w:pPr>
        <w:ind w:left="1020" w:right="100" w:hanging="503"/>
        <w:spacing w:after="0" w:line="25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117"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103" w:lineRule="exact"/>
        <w:rPr>
          <w:rFonts w:ascii="Arial" w:cs="Arial" w:eastAsia="Arial" w:hAnsi="Arial"/>
          <w:sz w:val="18"/>
          <w:szCs w:val="18"/>
          <w:color w:val="auto"/>
        </w:rPr>
      </w:pPr>
    </w:p>
    <w:p>
      <w:pPr>
        <w:ind w:left="1020" w:right="40" w:hanging="503"/>
        <w:spacing w:after="0" w:line="27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58" w:lineRule="exact"/>
        <w:rPr>
          <w:sz w:val="20"/>
          <w:szCs w:val="20"/>
          <w:color w:val="auto"/>
        </w:rPr>
      </w:pPr>
    </w:p>
    <w:p>
      <w:pPr>
        <w:ind w:right="380" w:firstLine="1018"/>
        <w:spacing w:after="0" w:line="245"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ind w:right="180"/>
        <w:spacing w:after="0" w:line="249" w:lineRule="auto"/>
        <w:rPr>
          <w:sz w:val="20"/>
          <w:szCs w:val="20"/>
          <w:color w:val="auto"/>
        </w:rPr>
      </w:pPr>
      <w:r>
        <w:rPr>
          <w:rFonts w:ascii="Arial" w:cs="Arial" w:eastAsia="Arial" w:hAnsi="Arial"/>
          <w:sz w:val="18"/>
          <w:szCs w:val="18"/>
          <w:color w:val="auto"/>
        </w:rPr>
        <w:t>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94" w:lineRule="exact"/>
        <w:rPr>
          <w:sz w:val="20"/>
          <w:szCs w:val="20"/>
          <w:color w:val="auto"/>
        </w:rPr>
      </w:pPr>
    </w:p>
    <w:p>
      <w:pPr>
        <w:ind w:right="220" w:firstLine="1018"/>
        <w:spacing w:after="0" w:line="24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1" w:lineRule="exact"/>
        <w:rPr>
          <w:sz w:val="20"/>
          <w:szCs w:val="20"/>
          <w:color w:val="auto"/>
        </w:rPr>
      </w:pPr>
    </w:p>
    <w:p>
      <w:pPr>
        <w:ind w:right="20" w:firstLine="1018"/>
        <w:spacing w:after="0" w:line="261"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72"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7"/>
          <w:szCs w:val="17"/>
          <w:color w:val="auto"/>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 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3" w:lineRule="exact"/>
        <w:rPr>
          <w:sz w:val="20"/>
          <w:szCs w:val="20"/>
          <w:color w:val="auto"/>
        </w:rPr>
      </w:pPr>
    </w:p>
    <w:p>
      <w:pPr>
        <w:ind w:right="160" w:firstLine="1018"/>
        <w:spacing w:after="0" w:line="24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1" w:lineRule="exact"/>
        <w:rPr>
          <w:sz w:val="20"/>
          <w:szCs w:val="20"/>
          <w:color w:val="auto"/>
        </w:rPr>
      </w:pPr>
    </w:p>
    <w:p>
      <w:pPr>
        <w:ind w:right="140" w:firstLine="1018"/>
        <w:spacing w:after="0" w:line="283"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As an organization, we have conducted limited early clinical development, have not submitted an IND to the FDA and we have never conducted later-stage clinical trials or submitted a BLA or NDA, and may be unable to do so for any of our product candidates.</w:t>
      </w:r>
    </w:p>
    <w:p>
      <w:pPr>
        <w:spacing w:after="0" w:line="133" w:lineRule="exact"/>
        <w:rPr>
          <w:sz w:val="20"/>
          <w:szCs w:val="20"/>
          <w:color w:val="auto"/>
        </w:rPr>
      </w:pPr>
    </w:p>
    <w:p>
      <w:pPr>
        <w:ind w:firstLine="1018"/>
        <w:spacing w:after="0" w:line="275"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two Phase 1 clinical trials, both of which were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440"/>
        <w:spacing w:after="0" w:line="308" w:lineRule="auto"/>
        <w:rPr>
          <w:sz w:val="20"/>
          <w:szCs w:val="20"/>
          <w:color w:val="auto"/>
        </w:rPr>
      </w:pPr>
      <w:r>
        <w:rPr>
          <w:rFonts w:ascii="Arial" w:cs="Arial" w:eastAsia="Arial" w:hAnsi="Arial"/>
          <w:sz w:val="17"/>
          <w:szCs w:val="17"/>
          <w:color w:val="auto"/>
        </w:rPr>
        <w:t>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spacing w:after="0" w:line="16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75" w:lineRule="exact"/>
        <w:rPr>
          <w:sz w:val="20"/>
          <w:szCs w:val="20"/>
          <w:color w:val="auto"/>
        </w:rPr>
      </w:pPr>
    </w:p>
    <w:p>
      <w:pPr>
        <w:ind w:firstLine="1018"/>
        <w:spacing w:after="0" w:line="257"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 and attention. In addition, we are developing a new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81" w:lineRule="exact"/>
        <w:rPr>
          <w:sz w:val="20"/>
          <w:szCs w:val="20"/>
          <w:color w:val="auto"/>
        </w:rPr>
      </w:pPr>
    </w:p>
    <w:p>
      <w:pPr>
        <w:ind w:right="40" w:firstLine="1018"/>
        <w:spacing w:after="0" w:line="246"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spacing w:after="0" w:line="166" w:lineRule="exact"/>
        <w:rPr>
          <w:sz w:val="20"/>
          <w:szCs w:val="20"/>
          <w:color w:val="auto"/>
        </w:rPr>
      </w:pPr>
    </w:p>
    <w:p>
      <w:pPr>
        <w:ind w:firstLine="1018"/>
        <w:spacing w:after="0" w:line="277" w:lineRule="auto"/>
        <w:rPr>
          <w:sz w:val="20"/>
          <w:szCs w:val="20"/>
          <w:color w:val="auto"/>
        </w:rPr>
      </w:pPr>
      <w:r>
        <w:rPr>
          <w:rFonts w:ascii="Arial" w:cs="Arial" w:eastAsia="Arial" w:hAnsi="Arial"/>
          <w:sz w:val="16"/>
          <w:szCs w:val="16"/>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Delays or failure to obtain regulatory approval of any of the products that we or our collaboration partners develop using our novel technologies would adversely affect our business.</w:t>
      </w:r>
    </w:p>
    <w:p>
      <w:pPr>
        <w:spacing w:after="0" w:line="164" w:lineRule="exact"/>
        <w:rPr>
          <w:sz w:val="20"/>
          <w:szCs w:val="20"/>
          <w:color w:val="auto"/>
        </w:rPr>
      </w:pPr>
    </w:p>
    <w:p>
      <w:pPr>
        <w:ind w:right="100" w:firstLine="1018"/>
        <w:spacing w:after="0" w:line="288"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right="380" w:firstLine="1018"/>
        <w:spacing w:after="0" w:line="24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94" w:lineRule="exact"/>
        <w:rPr>
          <w:sz w:val="20"/>
          <w:szCs w:val="20"/>
          <w:color w:val="auto"/>
        </w:rPr>
      </w:pPr>
    </w:p>
    <w:p>
      <w:pPr>
        <w:ind w:right="40" w:firstLine="1018"/>
        <w:spacing w:after="0" w:line="263"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63" w:lineRule="exact"/>
        <w:rPr>
          <w:sz w:val="20"/>
          <w:szCs w:val="20"/>
          <w:color w:val="auto"/>
        </w:rPr>
      </w:pPr>
    </w:p>
    <w:p>
      <w:pPr>
        <w:ind w:left="1020" w:hanging="503"/>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17" w:lineRule="exact"/>
        <w:rPr>
          <w:rFonts w:ascii="Arial" w:cs="Arial" w:eastAsia="Arial" w:hAnsi="Arial"/>
          <w:sz w:val="18"/>
          <w:szCs w:val="18"/>
          <w:color w:val="auto"/>
        </w:rPr>
      </w:pPr>
    </w:p>
    <w:p>
      <w:pPr>
        <w:ind w:left="1020" w:right="200" w:hanging="503"/>
        <w:spacing w:after="0" w:line="24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7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ind w:right="140" w:firstLine="1018"/>
        <w:spacing w:after="0" w:line="257"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195" w:lineRule="exact"/>
        <w:rPr>
          <w:sz w:val="20"/>
          <w:szCs w:val="20"/>
          <w:color w:val="auto"/>
        </w:rPr>
      </w:pPr>
    </w:p>
    <w:p>
      <w:pPr>
        <w:ind w:right="40" w:firstLine="1018"/>
        <w:spacing w:after="0" w:line="257"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However, the Medicare sequester reductions under the Budget Control Act of 2011 have been suspended from May 1, 2020 through March 31, 2022 due to the COVID-19 pandemic. Under current legislation the actual reduction in Medicare payments will vary from 1% in 2022 to up to 4% in the final fiscal year of this sequester. Further, Congress is considering additional health reform measures.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7"/>
          <w:szCs w:val="17"/>
          <w:color w:val="auto"/>
        </w:rPr>
        <w:t>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95" w:lineRule="exact"/>
        <w:rPr>
          <w:sz w:val="20"/>
          <w:szCs w:val="20"/>
          <w:color w:val="auto"/>
        </w:rPr>
      </w:pPr>
    </w:p>
    <w:p>
      <w:pPr>
        <w:ind w:right="120" w:firstLine="1018"/>
        <w:spacing w:after="0" w:line="24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w:t>
      </w:r>
    </w:p>
    <w:p>
      <w:pPr>
        <w:spacing w:after="0" w:line="195"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7" w:lineRule="exact"/>
        <w:rPr>
          <w:sz w:val="20"/>
          <w:szCs w:val="20"/>
          <w:color w:val="auto"/>
        </w:rPr>
      </w:pPr>
    </w:p>
    <w:p>
      <w:pPr>
        <w:ind w:firstLine="1018"/>
        <w:spacing w:after="0" w:line="276" w:lineRule="auto"/>
        <w:rPr>
          <w:sz w:val="20"/>
          <w:szCs w:val="20"/>
          <w:color w:val="auto"/>
        </w:rPr>
      </w:pPr>
      <w:r>
        <w:rPr>
          <w:rFonts w:ascii="Arial" w:cs="Arial" w:eastAsia="Arial" w:hAnsi="Arial"/>
          <w:sz w:val="16"/>
          <w:szCs w:val="16"/>
          <w:color w:val="auto"/>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spacing w:after="0" w:line="161" w:lineRule="exact"/>
        <w:rPr>
          <w:sz w:val="20"/>
          <w:szCs w:val="20"/>
          <w:color w:val="auto"/>
        </w:rPr>
      </w:pPr>
    </w:p>
    <w:p>
      <w:pPr>
        <w:ind w:right="60" w:firstLine="1018"/>
        <w:spacing w:after="0" w:line="268" w:lineRule="auto"/>
        <w:rPr>
          <w:sz w:val="20"/>
          <w:szCs w:val="20"/>
          <w:color w:val="auto"/>
        </w:rPr>
      </w:pPr>
      <w:r>
        <w:rPr>
          <w:rFonts w:ascii="Arial" w:cs="Arial" w:eastAsia="Arial" w:hAnsi="Arial"/>
          <w:sz w:val="17"/>
          <w:szCs w:val="17"/>
          <w:color w:val="auto"/>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spacing w:after="0" w:line="58" w:lineRule="exact"/>
        <w:rPr>
          <w:sz w:val="20"/>
          <w:szCs w:val="20"/>
          <w:color w:val="auto"/>
        </w:rPr>
      </w:pPr>
    </w:p>
    <w:p>
      <w:pPr>
        <w:ind w:left="1020" w:right="4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48"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76"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left="1020" w:right="3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48"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76"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62" w:lineRule="exact"/>
        <w:rPr>
          <w:rFonts w:ascii="Arial" w:cs="Arial" w:eastAsia="Arial" w:hAnsi="Arial"/>
          <w:sz w:val="18"/>
          <w:szCs w:val="18"/>
          <w:color w:val="auto"/>
        </w:rPr>
      </w:pPr>
    </w:p>
    <w:p>
      <w:pPr>
        <w:ind w:left="1020" w:right="60" w:hanging="503"/>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12" w:lineRule="exact"/>
        <w:rPr>
          <w:sz w:val="20"/>
          <w:szCs w:val="20"/>
          <w:color w:val="auto"/>
        </w:rPr>
      </w:pPr>
    </w:p>
    <w:p>
      <w:pPr>
        <w:ind w:firstLine="1018"/>
        <w:spacing w:after="0" w:line="245" w:lineRule="auto"/>
        <w:rPr>
          <w:sz w:val="20"/>
          <w:szCs w:val="20"/>
          <w:color w:val="auto"/>
        </w:rPr>
      </w:pPr>
      <w:r>
        <w:rPr>
          <w:rFonts w:ascii="Arial" w:cs="Arial" w:eastAsia="Arial" w:hAnsi="Arial"/>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European patents are presently being challenged in Europe</w:t>
      </w:r>
    </w:p>
    <w:p>
      <w:pPr>
        <w:spacing w:after="0" w:line="212" w:lineRule="exact"/>
        <w:rPr>
          <w:sz w:val="20"/>
          <w:szCs w:val="20"/>
          <w:color w:val="auto"/>
        </w:rPr>
      </w:pPr>
    </w:p>
    <w:p>
      <w:pPr>
        <w:ind w:right="260" w:firstLine="1018"/>
        <w:spacing w:after="0" w:line="249" w:lineRule="auto"/>
        <w:rPr>
          <w:sz w:val="20"/>
          <w:szCs w:val="20"/>
          <w:color w:val="auto"/>
        </w:rPr>
      </w:pPr>
      <w:r>
        <w:rPr>
          <w:rFonts w:ascii="Arial" w:cs="Arial" w:eastAsia="Arial" w:hAnsi="Arial"/>
          <w:sz w:val="18"/>
          <w:szCs w:val="18"/>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spacing w:after="0" w:line="181" w:lineRule="exact"/>
        <w:rPr>
          <w:sz w:val="20"/>
          <w:szCs w:val="20"/>
          <w:color w:val="auto"/>
        </w:rPr>
      </w:pPr>
    </w:p>
    <w:p>
      <w:pPr>
        <w:jc w:val="both"/>
        <w:ind w:right="80" w:firstLine="1018"/>
        <w:spacing w:after="0" w:line="256" w:lineRule="auto"/>
        <w:rPr>
          <w:sz w:val="20"/>
          <w:szCs w:val="20"/>
          <w:color w:val="auto"/>
        </w:rPr>
      </w:pPr>
      <w:r>
        <w:rPr>
          <w:rFonts w:ascii="Arial" w:cs="Arial" w:eastAsia="Arial" w:hAnsi="Arial"/>
          <w:sz w:val="18"/>
          <w:szCs w:val="18"/>
          <w:color w:val="auto"/>
        </w:rPr>
        <w:t>The first opposition proceeding involves European Patent No. 2515992, which is generally directed to an ingestible device. In July 2021, the EPO issued a decision resulting in an amendment to the claims of the patent. We subsequently filed a notice of appeal with the EPO Appeal Board and we are awaiting a final decision.</w:t>
      </w:r>
    </w:p>
    <w:p>
      <w:pPr>
        <w:spacing w:after="0" w:line="175" w:lineRule="exact"/>
        <w:rPr>
          <w:sz w:val="20"/>
          <w:szCs w:val="20"/>
          <w:color w:val="auto"/>
        </w:rPr>
      </w:pPr>
    </w:p>
    <w:p>
      <w:pPr>
        <w:jc w:val="both"/>
        <w:ind w:right="140" w:firstLine="1018"/>
        <w:spacing w:after="0" w:line="256" w:lineRule="auto"/>
        <w:rPr>
          <w:sz w:val="20"/>
          <w:szCs w:val="20"/>
          <w:color w:val="auto"/>
        </w:rPr>
      </w:pPr>
      <w:r>
        <w:rPr>
          <w:rFonts w:ascii="Arial" w:cs="Arial" w:eastAsia="Arial" w:hAnsi="Arial"/>
          <w:sz w:val="18"/>
          <w:szCs w:val="18"/>
          <w:color w:val="auto"/>
        </w:rPr>
        <w:t>The second opposition proceeding involves European Patent No. 2544668, which is generally directed to a therapeutic agent preparation. In December 2021, the EPO issued a decision resulting in revocation of the patent. We subsequently filed a notice of appeal with the EPO Appeal Board and we are awaiting a final decision.</w:t>
      </w:r>
    </w:p>
    <w:p>
      <w:pPr>
        <w:spacing w:after="0" w:line="175" w:lineRule="exact"/>
        <w:rPr>
          <w:sz w:val="20"/>
          <w:szCs w:val="20"/>
          <w:color w:val="auto"/>
        </w:rPr>
      </w:pPr>
    </w:p>
    <w:p>
      <w:pPr>
        <w:ind w:right="100" w:firstLine="1018"/>
        <w:spacing w:after="0" w:line="256" w:lineRule="auto"/>
        <w:rPr>
          <w:sz w:val="20"/>
          <w:szCs w:val="20"/>
          <w:color w:val="auto"/>
        </w:rPr>
      </w:pPr>
      <w:r>
        <w:rPr>
          <w:rFonts w:ascii="Arial" w:cs="Arial" w:eastAsia="Arial" w:hAnsi="Arial"/>
          <w:sz w:val="18"/>
          <w:szCs w:val="18"/>
          <w:color w:val="auto"/>
        </w:rPr>
        <w:t>The third opposition proceeding involves European Patent No. 3461478, which is in the same family as European Patent No. 2515992 noted above. In April 2022, the EPO issued a decision resulting in an amendment to the claims of the patent. We subsequently filed a notice of appeal with the EPO Appeal Board and are awaiting a final decision.</w:t>
      </w:r>
    </w:p>
    <w:p>
      <w:pPr>
        <w:spacing w:after="0" w:line="175"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The fourth opposition proceeding involves European Patent No. 3653223, which is generally directed to a swallowable device. We filed an initial response to the EPO.</w:t>
      </w:r>
    </w:p>
    <w:p>
      <w:pPr>
        <w:spacing w:after="0" w:line="184" w:lineRule="exact"/>
        <w:rPr>
          <w:sz w:val="20"/>
          <w:szCs w:val="20"/>
          <w:color w:val="auto"/>
        </w:rPr>
      </w:pPr>
    </w:p>
    <w:p>
      <w:pPr>
        <w:ind w:firstLine="1018"/>
        <w:spacing w:after="0" w:line="277" w:lineRule="auto"/>
        <w:rPr>
          <w:sz w:val="20"/>
          <w:szCs w:val="20"/>
          <w:color w:val="auto"/>
        </w:rPr>
      </w:pPr>
      <w:r>
        <w:rPr>
          <w:rFonts w:ascii="Arial" w:cs="Arial" w:eastAsia="Arial" w:hAnsi="Arial"/>
          <w:sz w:val="16"/>
          <w:szCs w:val="16"/>
          <w:color w:val="auto"/>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the current or future opposition proceedings result in the revocation or amendment of one or more of our European patents that cover important aspects of our technology, it could have a material adverse impact on our ability to commercialize in Europe and/or a material adverse impact on our ability to defend against potential competitors in Europe.</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is a risk that we may face additional oppositions in Europe as additional European patents grant.</w:t>
      </w:r>
    </w:p>
    <w:p>
      <w:pPr>
        <w:spacing w:after="0" w:line="21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jc w:val="center"/>
        <w:ind w:right="8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26"/>
          </w:tcPr>
          <w:p>
            <w:pPr>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315"/>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20" w:type="dxa"/>
            <w:vAlign w:val="bottom"/>
            <w:gridSpan w:val="21"/>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3"/>
                <w:szCs w:val="13"/>
                <w:color w:val="auto"/>
              </w:rPr>
            </w:pPr>
          </w:p>
        </w:tc>
        <w:tc>
          <w:tcPr>
            <w:tcW w:w="10080" w:type="dxa"/>
            <w:vAlign w:val="bottom"/>
            <w:gridSpan w:val="25"/>
          </w:tcPr>
          <w:p>
            <w:pPr>
              <w:spacing w:after="0" w:line="156" w:lineRule="exact"/>
              <w:rPr>
                <w:rFonts w:ascii="Arial" w:cs="Arial" w:eastAsia="Arial" w:hAnsi="Arial"/>
                <w:sz w:val="18"/>
                <w:szCs w:val="18"/>
                <w:color w:val="0000FF"/>
                <w:w w:val="92"/>
              </w:rPr>
            </w:pPr>
            <w:hyperlink r:id="rId309">
              <w:r>
                <w:rPr>
                  <w:rFonts w:ascii="Arial" w:cs="Arial" w:eastAsia="Arial" w:hAnsi="Arial"/>
                  <w:sz w:val="18"/>
                  <w:szCs w:val="18"/>
                  <w:color w:val="0000FF"/>
                  <w:w w:val="92"/>
                </w:rPr>
                <w:t>Amended and Restated Certificate of Incorporation of the Registrant as currently in effect (incorporated by reference to Exhibit 3.1 to the</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4"/>
                <w:szCs w:val="14"/>
                <w:color w:val="auto"/>
              </w:rPr>
            </w:pPr>
          </w:p>
        </w:tc>
        <w:tc>
          <w:tcPr>
            <w:tcW w:w="994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309">
              <w:r>
                <w:rPr>
                  <w:rFonts w:ascii="Arial" w:cs="Arial" w:eastAsia="Arial" w:hAnsi="Arial"/>
                  <w:sz w:val="18"/>
                  <w:szCs w:val="18"/>
                  <w:color w:val="0000FF"/>
                </w:rPr>
                <w:t>Registrant’s Registration Statement on Form S-1, as amended, filed with the SEC on July 26,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0" w:type="dxa"/>
            <w:vAlign w:val="bottom"/>
            <w:tcBorders>
              <w:top w:val="single" w:sz="8" w:color="0000FF"/>
            </w:tcBorders>
            <w:gridSpan w:val="7"/>
          </w:tcPr>
          <w:p>
            <w:pPr>
              <w:spacing w:after="0" w:line="182" w:lineRule="exact"/>
              <w:rPr>
                <w:rFonts w:ascii="Arial" w:cs="Arial" w:eastAsia="Arial" w:hAnsi="Arial"/>
                <w:sz w:val="18"/>
                <w:szCs w:val="18"/>
                <w:color w:val="0000FF"/>
                <w:w w:val="90"/>
              </w:rPr>
            </w:pPr>
            <w:hyperlink r:id="rId310">
              <w:r>
                <w:rPr>
                  <w:rFonts w:ascii="Arial" w:cs="Arial" w:eastAsia="Arial" w:hAnsi="Arial"/>
                  <w:sz w:val="18"/>
                  <w:szCs w:val="18"/>
                  <w:color w:val="0000FF"/>
                  <w:w w:val="90"/>
                </w:rPr>
                <w:t>Amended and Restated Bylaws of the Registrant as currently in effect (incorporated by reference to</w:t>
              </w:r>
            </w:hyperlink>
          </w:p>
        </w:tc>
        <w:tc>
          <w:tcPr>
            <w:tcW w:w="20" w:type="dxa"/>
            <w:vAlign w:val="bottom"/>
            <w:tcBorders>
              <w:top w:val="single" w:sz="8" w:color="0000EE"/>
            </w:tcBorders>
          </w:tcPr>
          <w:p>
            <w:pPr>
              <w:spacing w:after="0"/>
              <w:rPr>
                <w:sz w:val="15"/>
                <w:szCs w:val="15"/>
                <w:color w:val="auto"/>
              </w:rPr>
            </w:pPr>
          </w:p>
        </w:tc>
        <w:tc>
          <w:tcPr>
            <w:tcW w:w="2860" w:type="dxa"/>
            <w:vAlign w:val="bottom"/>
            <w:gridSpan w:val="17"/>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Exhibit 3.4 to the Registrant’s</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94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310">
              <w:r>
                <w:rPr>
                  <w:rFonts w:ascii="Arial" w:cs="Arial" w:eastAsia="Arial" w:hAnsi="Arial"/>
                  <w:sz w:val="18"/>
                  <w:szCs w:val="18"/>
                  <w:color w:val="0000FF"/>
                </w:rPr>
                <w:t>Registration Statement on Form S-1, as amended, filed with the SEC on July 9, 2021).</w:t>
              </w:r>
            </w:hyperlink>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tcBorders>
              <w:top w:val="single" w:sz="8" w:color="0000FF"/>
            </w:tcBorders>
            <w:gridSpan w:val="6"/>
          </w:tcPr>
          <w:p>
            <w:pPr>
              <w:spacing w:after="0" w:line="182"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Loan and Security Agreement, dated August 8, 2022, by and among the Registrant, its</w:t>
              </w:r>
            </w:hyperlink>
          </w:p>
        </w:tc>
        <w:tc>
          <w:tcPr>
            <w:tcW w:w="3860" w:type="dxa"/>
            <w:vAlign w:val="bottom"/>
            <w:gridSpan w:val="19"/>
          </w:tcPr>
          <w:p>
            <w:pPr>
              <w:ind w:left="40"/>
              <w:spacing w:after="0" w:line="182" w:lineRule="exact"/>
              <w:rPr>
                <w:rFonts w:ascii="Arial" w:cs="Arial" w:eastAsia="Arial" w:hAnsi="Arial"/>
                <w:sz w:val="18"/>
                <w:szCs w:val="18"/>
                <w:color w:val="0000FF"/>
              </w:rPr>
            </w:pPr>
            <w:hyperlink r:id="rId311">
              <w:r>
                <w:rPr>
                  <w:rFonts w:ascii="Arial" w:cs="Arial" w:eastAsia="Arial" w:hAnsi="Arial"/>
                  <w:sz w:val="18"/>
                  <w:szCs w:val="18"/>
                  <w:color w:val="0000FF"/>
                </w:rPr>
                <w:t>subsidiaries Rani Therapeutics, LLC and Rani</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89"/>
              </w:rPr>
            </w:pPr>
            <w:hyperlink r:id="rId311">
              <w:r>
                <w:rPr>
                  <w:rFonts w:ascii="Arial" w:cs="Arial" w:eastAsia="Arial" w:hAnsi="Arial"/>
                  <w:sz w:val="18"/>
                  <w:szCs w:val="18"/>
                  <w:color w:val="0000FF"/>
                  <w:w w:val="89"/>
                </w:rPr>
                <w:t>Management Services, Inc., and Avenue Venture Opportunities Fund, L.P. (incorporated by reference to Exhibit 10.1 to the Registrant’s</w:t>
              </w:r>
            </w:hyperlink>
          </w:p>
        </w:tc>
        <w:tc>
          <w:tcPr>
            <w:tcW w:w="4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4"/>
                <w:szCs w:val="14"/>
                <w:color w:val="auto"/>
              </w:rPr>
            </w:pPr>
          </w:p>
        </w:tc>
        <w:tc>
          <w:tcPr>
            <w:tcW w:w="9800" w:type="dxa"/>
            <w:vAlign w:val="bottom"/>
            <w:gridSpan w:val="18"/>
          </w:tcPr>
          <w:p>
            <w:pPr>
              <w:spacing w:after="0" w:line="169" w:lineRule="exact"/>
              <w:rPr>
                <w:rFonts w:ascii="Arial" w:cs="Arial" w:eastAsia="Arial" w:hAnsi="Arial"/>
                <w:sz w:val="18"/>
                <w:szCs w:val="18"/>
                <w:color w:val="0000FF"/>
              </w:rPr>
            </w:pPr>
            <w:hyperlink r:id="rId311">
              <w:r>
                <w:rPr>
                  <w:rFonts w:ascii="Arial" w:cs="Arial" w:eastAsia="Arial" w:hAnsi="Arial"/>
                  <w:sz w:val="18"/>
                  <w:szCs w:val="18"/>
                  <w:color w:val="0000FF"/>
                </w:rPr>
                <w:t>Quarterly Report on Form 10-Q for the quarter ended June 30, 2022, filed with the SEC on August 10, 2022).</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5"/>
          </w:tcPr>
          <w:p>
            <w:pPr>
              <w:spacing w:after="0" w:line="182" w:lineRule="exact"/>
              <w:rPr>
                <w:rFonts w:ascii="Arial" w:cs="Arial" w:eastAsia="Arial" w:hAnsi="Arial"/>
                <w:sz w:val="18"/>
                <w:szCs w:val="18"/>
                <w:color w:val="0000FF"/>
                <w:w w:val="91"/>
              </w:rPr>
            </w:pPr>
            <w:hyperlink r:id="rId312">
              <w:r>
                <w:rPr>
                  <w:rFonts w:ascii="Arial" w:cs="Arial" w:eastAsia="Arial" w:hAnsi="Arial"/>
                  <w:sz w:val="18"/>
                  <w:szCs w:val="18"/>
                  <w:color w:val="0000FF"/>
                  <w:w w:val="91"/>
                </w:rPr>
                <w:t>Supplement to the Loan and Security Agreement, dated August 8, 2022, by and among the Registrant, its subsidiaries Rani Therapeutics,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LLC and Rani Management Services, Inc., and Avenue Venture Opportunities Fund, L.P. (incorporated by reference to Exhibit 10.2 to the</w:t>
              </w:r>
            </w:hyperlink>
          </w:p>
        </w:tc>
        <w:tc>
          <w:tcPr>
            <w:tcW w:w="6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4"/>
                <w:szCs w:val="14"/>
                <w:color w:val="auto"/>
              </w:rPr>
            </w:pPr>
          </w:p>
        </w:tc>
        <w:tc>
          <w:tcPr>
            <w:tcW w:w="8800" w:type="dxa"/>
            <w:vAlign w:val="bottom"/>
            <w:tcBorders>
              <w:bottom w:val="single" w:sz="8" w:color="0000FF"/>
            </w:tcBorders>
            <w:gridSpan w:val="10"/>
          </w:tcPr>
          <w:p>
            <w:pPr>
              <w:spacing w:after="0" w:line="169"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Registrant’s Quarterly Report on Form 10-Q for the quarter ended June 30, 2022, filed with the SEC on August 10, 2022).</w:t>
              </w:r>
            </w:hyperlink>
          </w:p>
        </w:tc>
        <w:tc>
          <w:tcPr>
            <w:tcW w:w="20" w:type="dxa"/>
            <w:vAlign w:val="bottom"/>
            <w:tcBorders>
              <w:bottom w:val="single" w:sz="8" w:color="0000EE"/>
            </w:tcBorders>
          </w:tcPr>
          <w:p>
            <w:pPr>
              <w:spacing w:after="0"/>
              <w:rPr>
                <w:sz w:val="14"/>
                <w:szCs w:val="14"/>
                <w:color w:val="auto"/>
              </w:rPr>
            </w:pPr>
          </w:p>
        </w:tc>
        <w:tc>
          <w:tcPr>
            <w:tcW w:w="114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20" w:type="dxa"/>
            <w:vAlign w:val="bottom"/>
            <w:tcBorders>
              <w:bottom w:val="single" w:sz="8" w:color="0000FF"/>
            </w:tcBorders>
            <w:gridSpan w:val="11"/>
          </w:tcPr>
          <w:p>
            <w:pPr>
              <w:spacing w:after="0" w:line="182" w:lineRule="exact"/>
              <w:rPr>
                <w:rFonts w:ascii="Arial" w:cs="Arial" w:eastAsia="Arial" w:hAnsi="Arial"/>
                <w:sz w:val="18"/>
                <w:szCs w:val="18"/>
                <w:color w:val="0000FF"/>
                <w:w w:val="90"/>
              </w:rPr>
            </w:pPr>
            <w:hyperlink r:id="rId313">
              <w:r>
                <w:rPr>
                  <w:rFonts w:ascii="Arial" w:cs="Arial" w:eastAsia="Arial" w:hAnsi="Arial"/>
                  <w:sz w:val="18"/>
                  <w:szCs w:val="18"/>
                  <w:color w:val="0000FF"/>
                  <w:w w:val="90"/>
                </w:rPr>
                <w:t>Form of Warrant to purchase share of Class A common stock of Registrant, issued to Avenue Venture Opportunities Fund,</w:t>
              </w:r>
            </w:hyperlink>
          </w:p>
        </w:tc>
        <w:tc>
          <w:tcPr>
            <w:tcW w:w="340" w:type="dxa"/>
            <w:vAlign w:val="bottom"/>
            <w:tcBorders>
              <w:bottom w:val="single" w:sz="8" w:color="0000FF"/>
            </w:tcBorders>
          </w:tcPr>
          <w:p>
            <w:pPr>
              <w:ind w:left="20"/>
              <w:spacing w:after="0" w:line="182" w:lineRule="exact"/>
              <w:rPr>
                <w:rFonts w:ascii="Arial" w:cs="Arial" w:eastAsia="Arial" w:hAnsi="Arial"/>
                <w:sz w:val="18"/>
                <w:szCs w:val="18"/>
                <w:color w:val="0000FF"/>
                <w:w w:val="93"/>
              </w:rPr>
            </w:pPr>
            <w:hyperlink r:id="rId313">
              <w:r>
                <w:rPr>
                  <w:rFonts w:ascii="Arial" w:cs="Arial" w:eastAsia="Arial" w:hAnsi="Arial"/>
                  <w:sz w:val="18"/>
                  <w:szCs w:val="18"/>
                  <w:color w:val="0000FF"/>
                  <w:w w:val="93"/>
                </w:rPr>
                <w:t>L.P.</w:t>
              </w:r>
            </w:hyperlink>
          </w:p>
        </w:tc>
        <w:tc>
          <w:tcPr>
            <w:tcW w:w="9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gridSpan w:val="25"/>
          </w:tcPr>
          <w:p>
            <w:pPr>
              <w:spacing w:after="0" w:line="169" w:lineRule="exact"/>
              <w:rPr>
                <w:rFonts w:ascii="Arial" w:cs="Arial" w:eastAsia="Arial" w:hAnsi="Arial"/>
                <w:sz w:val="18"/>
                <w:szCs w:val="18"/>
                <w:color w:val="0000FF"/>
                <w:w w:val="93"/>
              </w:rPr>
            </w:pPr>
            <w:hyperlink r:id="rId313">
              <w:r>
                <w:rPr>
                  <w:rFonts w:ascii="Arial" w:cs="Arial" w:eastAsia="Arial" w:hAnsi="Arial"/>
                  <w:sz w:val="18"/>
                  <w:szCs w:val="18"/>
                  <w:color w:val="0000FF"/>
                  <w:w w:val="93"/>
                </w:rPr>
                <w:t>(incorporated by reference to Exhibit 10.3 to the Registrant’s Quarterly Report on Form 10-Q for the quarter ended June 30, 2022, filed</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4"/>
                <w:szCs w:val="14"/>
                <w:color w:val="auto"/>
              </w:rPr>
            </w:pPr>
          </w:p>
        </w:tc>
        <w:tc>
          <w:tcPr>
            <w:tcW w:w="97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313">
              <w:r>
                <w:rPr>
                  <w:rFonts w:ascii="Arial" w:cs="Arial" w:eastAsia="Arial" w:hAnsi="Arial"/>
                  <w:sz w:val="18"/>
                  <w:szCs w:val="18"/>
                  <w:color w:val="0000FF"/>
                </w:rPr>
                <w:t>with the SEC on August 10, 2022).</w:t>
              </w:r>
            </w:hyperlink>
          </w:p>
        </w:tc>
        <w:tc>
          <w:tcPr>
            <w:tcW w:w="4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5"/>
          </w:tcPr>
          <w:p>
            <w:pPr>
              <w:spacing w:after="0" w:line="182" w:lineRule="exact"/>
              <w:rPr>
                <w:rFonts w:ascii="Arial" w:cs="Arial" w:eastAsia="Arial" w:hAnsi="Arial"/>
                <w:sz w:val="18"/>
                <w:szCs w:val="18"/>
                <w:color w:val="0000FF"/>
                <w:w w:val="92"/>
              </w:rPr>
            </w:pPr>
            <w:hyperlink r:id="rId314">
              <w:r>
                <w:rPr>
                  <w:rFonts w:ascii="Arial" w:cs="Arial" w:eastAsia="Arial" w:hAnsi="Arial"/>
                  <w:sz w:val="18"/>
                  <w:szCs w:val="18"/>
                  <w:color w:val="0000FF"/>
                  <w:w w:val="92"/>
                </w:rPr>
                <w:t>Controlled EquitySM Sales Agreement, dated August 24, 2022, by and among Rani Therapeutics Holdings, Inc., and Cantor Fitzgerald &amp;</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3"/>
              </w:rPr>
            </w:pPr>
            <w:hyperlink r:id="rId314">
              <w:r>
                <w:rPr>
                  <w:rFonts w:ascii="Arial" w:cs="Arial" w:eastAsia="Arial" w:hAnsi="Arial"/>
                  <w:sz w:val="18"/>
                  <w:szCs w:val="18"/>
                  <w:color w:val="0000FF"/>
                  <w:w w:val="93"/>
                </w:rPr>
                <w:t>Co. and H.C. Wainwright &amp; Co., LLC (incorporated by reference to Exhibit 1.1 to the Registrant’s Current Report on Form 8-K filed with</w:t>
              </w:r>
            </w:hyperlink>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4"/>
                <w:szCs w:val="14"/>
                <w:color w:val="auto"/>
              </w:rPr>
            </w:pPr>
          </w:p>
        </w:tc>
        <w:tc>
          <w:tcPr>
            <w:tcW w:w="216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314">
              <w:r>
                <w:rPr>
                  <w:rFonts w:ascii="Arial" w:cs="Arial" w:eastAsia="Arial" w:hAnsi="Arial"/>
                  <w:sz w:val="18"/>
                  <w:szCs w:val="18"/>
                  <w:color w:val="0000FF"/>
                  <w:w w:val="89"/>
                </w:rPr>
                <w:t>the SEC on August 25, 2022).</w:t>
              </w:r>
            </w:hyperlink>
          </w:p>
        </w:tc>
        <w:tc>
          <w:tcPr>
            <w:tcW w:w="20" w:type="dxa"/>
            <w:vAlign w:val="bottom"/>
            <w:tcBorders>
              <w:bottom w:val="single" w:sz="8" w:color="0000EE"/>
            </w:tcBorders>
          </w:tcPr>
          <w:p>
            <w:pPr>
              <w:spacing w:after="0"/>
              <w:rPr>
                <w:sz w:val="14"/>
                <w:szCs w:val="14"/>
                <w:color w:val="auto"/>
              </w:rPr>
            </w:pPr>
          </w:p>
        </w:tc>
        <w:tc>
          <w:tcPr>
            <w:tcW w:w="7820" w:type="dxa"/>
            <w:vAlign w:val="bottom"/>
            <w:gridSpan w:val="2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5"/>
          </w:tcPr>
          <w:p>
            <w:pPr>
              <w:spacing w:after="0" w:line="182" w:lineRule="exact"/>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680" w:type="dxa"/>
            <w:vAlign w:val="bottom"/>
            <w:tcBorders>
              <w:top w:val="single" w:sz="8" w:color="0000FF"/>
            </w:tcBorders>
            <w:gridSpan w:val="11"/>
          </w:tcPr>
          <w:p>
            <w:pPr>
              <w:spacing w:after="0"/>
              <w:rPr>
                <w:sz w:val="14"/>
                <w:szCs w:val="14"/>
                <w:color w:val="auto"/>
              </w:rPr>
            </w:pPr>
          </w:p>
        </w:tc>
        <w:tc>
          <w:tcPr>
            <w:tcW w:w="160" w:type="dxa"/>
            <w:vAlign w:val="bottom"/>
            <w:gridSpan w:val="3"/>
          </w:tcPr>
          <w:p>
            <w:pPr>
              <w:spacing w:after="0"/>
              <w:rPr>
                <w:sz w:val="14"/>
                <w:szCs w:val="14"/>
                <w:color w:val="auto"/>
              </w:rPr>
            </w:pP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5"/>
          </w:tcPr>
          <w:p>
            <w:pPr>
              <w:spacing w:after="0" w:line="182" w:lineRule="exact"/>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4"/>
                <w:szCs w:val="14"/>
                <w:color w:val="auto"/>
              </w:rPr>
            </w:pPr>
          </w:p>
        </w:tc>
        <w:tc>
          <w:tcPr>
            <w:tcW w:w="96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Adopted Pursuant to Section 302 of the Sarbanes-Oxley Act of 2002.</w:t>
            </w:r>
          </w:p>
        </w:tc>
        <w:tc>
          <w:tcPr>
            <w:tcW w:w="220" w:type="dxa"/>
            <w:vAlign w:val="bottom"/>
            <w:gridSpan w:val="5"/>
          </w:tcPr>
          <w:p>
            <w:pPr>
              <w:spacing w:after="0"/>
              <w:rPr>
                <w:sz w:val="14"/>
                <w:szCs w:val="14"/>
                <w:color w:val="auto"/>
              </w:rPr>
            </w:pP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6"/>
              </w:rPr>
              <w:t>Certification of Principal Executive Officer and Principal Financial</w:t>
            </w:r>
          </w:p>
        </w:tc>
        <w:tc>
          <w:tcPr>
            <w:tcW w:w="5100" w:type="dxa"/>
            <w:vAlign w:val="bottom"/>
            <w:gridSpan w:val="20"/>
          </w:tcPr>
          <w:p>
            <w:pPr>
              <w:spacing w:after="0" w:line="182" w:lineRule="exact"/>
              <w:rPr>
                <w:sz w:val="20"/>
                <w:szCs w:val="20"/>
                <w:color w:val="auto"/>
              </w:rPr>
            </w:pPr>
            <w:r>
              <w:rPr>
                <w:rFonts w:ascii="Arial" w:cs="Arial" w:eastAsia="Arial" w:hAnsi="Arial"/>
                <w:sz w:val="18"/>
                <w:szCs w:val="18"/>
                <w:color w:val="0000FF"/>
                <w:w w:val="93"/>
              </w:rPr>
              <w:t>Officer Pursuant to 18 U.S.C. Section 1350, as Adopted Pursuant to</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4"/>
                <w:szCs w:val="14"/>
                <w:color w:val="auto"/>
              </w:rPr>
            </w:pPr>
          </w:p>
        </w:tc>
        <w:tc>
          <w:tcPr>
            <w:tcW w:w="98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auto"/>
                <w:w w:val="92"/>
              </w:rPr>
              <w:t>Inline XBRL Instance Document – the instance</w:t>
            </w:r>
          </w:p>
        </w:tc>
        <w:tc>
          <w:tcPr>
            <w:tcW w:w="6620" w:type="dxa"/>
            <w:vAlign w:val="bottom"/>
            <w:gridSpan w:val="21"/>
          </w:tcPr>
          <w:p>
            <w:pPr>
              <w:spacing w:after="0" w:line="182" w:lineRule="exact"/>
              <w:rPr>
                <w:sz w:val="20"/>
                <w:szCs w:val="20"/>
                <w:color w:val="auto"/>
              </w:rPr>
            </w:pPr>
            <w:r>
              <w:rPr>
                <w:rFonts w:ascii="Arial" w:cs="Arial" w:eastAsia="Arial" w:hAnsi="Arial"/>
                <w:sz w:val="18"/>
                <w:szCs w:val="18"/>
                <w:color w:val="auto"/>
                <w:w w:val="92"/>
              </w:rPr>
              <w:t>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7"/>
                <w:szCs w:val="17"/>
                <w:color w:val="auto"/>
              </w:rPr>
            </w:pPr>
          </w:p>
        </w:tc>
        <w:tc>
          <w:tcPr>
            <w:tcW w:w="10080" w:type="dxa"/>
            <w:vAlign w:val="bottom"/>
            <w:gridSpan w:val="2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080" w:type="dxa"/>
            <w:vAlign w:val="bottom"/>
            <w:gridSpan w:val="2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80" w:hanging="559"/>
        <w:spacing w:after="0"/>
        <w:tabs>
          <w:tab w:leader="none" w:pos="58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ind w:left="580" w:right="60" w:hanging="559"/>
        <w:spacing w:after="0" w:line="223"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ind w:left="580" w:right="1100" w:hanging="559"/>
        <w:spacing w:after="0" w:line="23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Schedules and certain portions of the exhibits omitted pursuant to Item 601(b)(2) of Regulation S-K. The Company agrees to furnish supplementally a copy of such schedules, or any section thereof, to the SEC upon request.</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Rani Therapeutics Holdings, Inc.</w:t>
      </w:r>
    </w:p>
    <w:p>
      <w:pPr>
        <w:spacing w:after="0" w:line="198" w:lineRule="exact"/>
        <w:rPr>
          <w:sz w:val="20"/>
          <w:szCs w:val="20"/>
          <w:color w:val="auto"/>
        </w:rPr>
      </w:pPr>
    </w:p>
    <w:p>
      <w:pPr>
        <w:ind w:left="20"/>
        <w:spacing w:after="0"/>
        <w:tabs>
          <w:tab w:leader="none" w:pos="5660" w:val="left"/>
          <w:tab w:leader="none" w:pos="81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Talat Imran</w:t>
      </w:r>
    </w:p>
    <w:p>
      <w:pPr>
        <w:ind w:left="780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Svai Sanford</w:t>
      </w:r>
    </w:p>
    <w:p>
      <w:pPr>
        <w:ind w:left="78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12"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25"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hanging="752"/>
        <w:spacing w:after="0" w:line="261"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98"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2837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Talat Imran</w:t>
      </w:r>
    </w:p>
    <w:p>
      <w:pPr>
        <w:spacing w:after="0" w:line="6"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Chief Executive Officer</w:t>
      </w: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12"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Form 10-Q of Rani Therapeutics Holdings, Inc.;</w:t>
      </w:r>
    </w:p>
    <w:p>
      <w:pPr>
        <w:spacing w:after="0" w:line="225"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hanging="752"/>
        <w:spacing w:after="0" w:line="261"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9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2854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Svai Sanford</w:t>
      </w:r>
    </w:p>
    <w:p>
      <w:pPr>
        <w:jc w:val="center"/>
        <w:ind w:left="47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58" w:lineRule="exact"/>
        <w:rPr>
          <w:sz w:val="20"/>
          <w:szCs w:val="20"/>
          <w:color w:val="auto"/>
        </w:rPr>
      </w:pPr>
    </w:p>
    <w:p>
      <w:pPr>
        <w:ind w:left="760" w:hanging="752"/>
        <w:spacing w:after="0" w:line="277" w:lineRule="auto"/>
        <w:tabs>
          <w:tab w:leader="none" w:pos="7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56" w:lineRule="exact"/>
        <w:rPr>
          <w:rFonts w:ascii="Arial" w:cs="Arial" w:eastAsia="Arial" w:hAnsi="Arial"/>
          <w:sz w:val="18"/>
          <w:szCs w:val="18"/>
          <w:b w:val="1"/>
          <w:bCs w:val="1"/>
          <w:color w:val="auto"/>
        </w:rPr>
      </w:pPr>
    </w:p>
    <w:p>
      <w:pPr>
        <w:ind w:left="760" w:hanging="752"/>
        <w:spacing w:after="0" w:line="261" w:lineRule="auto"/>
        <w:tabs>
          <w:tab w:leader="none" w:pos="7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10th day of November,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Talat Imran</w:t>
            </w:r>
          </w:p>
        </w:tc>
        <w:tc>
          <w:tcPr>
            <w:tcW w:w="1540" w:type="dxa"/>
            <w:vAlign w:val="bottom"/>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Svai Sanford</w:t>
            </w: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8"/>
                <w:szCs w:val="18"/>
                <w:color w:val="auto"/>
              </w:rPr>
              <w:t>Talat Imran</w:t>
            </w:r>
          </w:p>
        </w:tc>
        <w:tc>
          <w:tcPr>
            <w:tcW w:w="1540" w:type="dxa"/>
            <w:vAlign w:val="bottom"/>
          </w:tcPr>
          <w:p>
            <w:pPr>
              <w:spacing w:after="0"/>
              <w:rPr>
                <w:sz w:val="14"/>
                <w:szCs w:val="14"/>
                <w:color w:val="auto"/>
              </w:rPr>
            </w:pPr>
          </w:p>
        </w:tc>
        <w:tc>
          <w:tcPr>
            <w:tcW w:w="4900" w:type="dxa"/>
            <w:vAlign w:val="bottom"/>
          </w:tcPr>
          <w:p>
            <w:pPr>
              <w:ind w:left="20"/>
              <w:spacing w:after="0" w:line="168" w:lineRule="exact"/>
              <w:rPr>
                <w:sz w:val="20"/>
                <w:szCs w:val="20"/>
                <w:color w:val="auto"/>
              </w:rPr>
            </w:pPr>
            <w:r>
              <w:rPr>
                <w:rFonts w:ascii="Arial" w:cs="Arial" w:eastAsia="Arial" w:hAnsi="Arial"/>
                <w:sz w:val="18"/>
                <w:szCs w:val="18"/>
                <w:color w:val="auto"/>
              </w:rPr>
              <w:t>Svai Sanford</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Chief Executive Officer</w:t>
            </w:r>
          </w:p>
        </w:tc>
        <w:tc>
          <w:tcPr>
            <w:tcW w:w="1540" w:type="dxa"/>
            <w:vAlign w:val="bottom"/>
          </w:tcPr>
          <w:p>
            <w:pPr>
              <w:spacing w:after="0"/>
              <w:rPr>
                <w:sz w:val="17"/>
                <w:szCs w:val="17"/>
                <w:color w:val="auto"/>
              </w:rPr>
            </w:pPr>
          </w:p>
        </w:tc>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11"/>
    </w:lvl>
  </w:abstractNum>
  <w:abstractNum w:abstractNumId="7">
    <w:nsid w:val="333AB105"/>
    <w:multiLevelType w:val="hybridMultilevel"/>
    <w:lvl w:ilvl="0">
      <w:lvlJc w:val="left"/>
      <w:lvlText w:val="(%1)"/>
      <w:numFmt w:val="lowerRoman"/>
      <w:start w:val="6"/>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09" Type="http://schemas.openxmlformats.org/officeDocument/2006/relationships/hyperlink" Target="https://www.sec.gov/Archives/edgar/data/1856725/000119312521223596/d151628dex31.htm" TargetMode="External"/><Relationship Id="rId310" Type="http://schemas.openxmlformats.org/officeDocument/2006/relationships/hyperlink" Target="https://www.sec.gov/Archives/edgar/data/1856725/000119312521211922/d151628dex34.htm" TargetMode="External"/><Relationship Id="rId311" Type="http://schemas.openxmlformats.org/officeDocument/2006/relationships/hyperlink" Target="https://www.sec.gov/Archives/edgar/data/1856725/000095017022016492/rani-ex10_1.htm" TargetMode="External"/><Relationship Id="rId312" Type="http://schemas.openxmlformats.org/officeDocument/2006/relationships/hyperlink" Target="https://www.sec.gov/Archives/edgar/data/1856725/000095017022016492/rani-ex10_2.htm" TargetMode="External"/><Relationship Id="rId313" Type="http://schemas.openxmlformats.org/officeDocument/2006/relationships/hyperlink" Target="https://www.sec.gov/Archives/edgar/data/1856725/000095017022016492/rani-ex10_3.htm" TargetMode="External"/><Relationship Id="rId314" Type="http://schemas.openxmlformats.org/officeDocument/2006/relationships/hyperlink" Target="https://www.sec.gov/Archives/edgar/data/1856725/000119312521223596/d151628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2022-11-10T15:37:46Z</dcterms:created>
  <dcterms:modified xsi:type="dcterms:W3CDTF">2022-11-10T15:37:46Z</dcterms:modified>
</cp:coreProperties>
</file>