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RANI THERAPEUTICS HOLDINGS,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Class A Common Stock, $0.0001 par value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RA Capital Management, L.P.</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11,530,414.00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11,530,414.00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11,530,414.00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9.9 %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 xml:space="preserve">Peter Kolchinsky </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11,530,414.00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11,530,414.00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11,530,414.00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9.9 %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Rajeev Shah</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11,530,414.00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11,530,414.00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11,530,414.00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9.9 %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RA Capital Healthcare Fund, L.P.</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11,530,414.00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11,530,414.00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11,530,414.00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9.9 %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item1to9"/>
      <w:bookmarkStart w:id="23" w:name="item1to9"/>
      <w:bookmarkEnd w:id="23"/>
    </w:p>
    <w:tbl>
      <w:tblPr>
        <w:tblW w:w="10205" w:type="dxa"/>
        <w:jc w:val="left"/>
        <w:tblInd w:w="0" w:type="dxa"/>
        <w:tblLayout w:type="fixed"/>
        <w:tblCellMar>
          <w:top w:w="28" w:type="dxa"/>
          <w:left w:w="28" w:type="dxa"/>
          <w:bottom w:w="28" w:type="dxa"/>
          <w:right w:w="28" w:type="dxa"/>
        </w:tblCellMar>
      </w:tblPr>
      <w:tblGrid>
        <w:gridCol w:w="1138"/>
        <w:gridCol w:w="8912"/>
        <w:gridCol w:w="155"/>
      </w:tblGrid>
      <w:tr>
        <w:trPr/>
        <w:tc>
          <w:tcPr>
            <w:tcW w:w="1138" w:type="dxa"/>
            <w:tcBorders/>
            <w:vAlign w:val="center"/>
          </w:tcPr>
          <w:p>
            <w:pPr>
              <w:pStyle w:val="TableContents"/>
              <w:bidi w:val="0"/>
              <w:spacing w:before="0" w:after="283"/>
              <w:jc w:val="left"/>
              <w:rPr/>
            </w:pPr>
            <w:r>
              <w:rPr/>
              <w:t>Item 1.</w:t>
            </w:r>
          </w:p>
        </w:tc>
        <w:tc>
          <w:tcPr>
            <w:tcW w:w="8912"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(a)</w:t>
            </w:r>
          </w:p>
        </w:tc>
        <w:tc>
          <w:tcPr>
            <w:tcW w:w="8912" w:type="dxa"/>
            <w:tcBorders/>
            <w:vAlign w:val="center"/>
          </w:tcPr>
          <w:p>
            <w:pPr>
              <w:pStyle w:val="TableContents"/>
              <w:bidi w:val="0"/>
              <w:jc w:val="left"/>
              <w:rPr/>
            </w:pPr>
            <w:r>
              <w:rPr/>
              <w:t xml:space="preserve">Name of issuer: </w:t>
            </w:r>
          </w:p>
          <w:p>
            <w:pPr>
              <w:pStyle w:val="TableContents"/>
              <w:bidi w:val="0"/>
              <w:spacing w:before="0" w:after="0"/>
              <w:jc w:val="left"/>
              <w:rPr/>
            </w:pPr>
            <w:r>
              <w:rPr/>
              <w:t>RANI THERAPEUTICS HOLDINGS, INC.</w:t>
            </w:r>
          </w:p>
        </w:tc>
        <w:tc>
          <w:tcPr>
            <w:tcW w:w="155" w:type="dxa"/>
            <w:tcBorders/>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(b)</w:t>
            </w:r>
          </w:p>
        </w:tc>
        <w:tc>
          <w:tcPr>
            <w:tcW w:w="8912"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2051 RINGWOOD AVENUE, SAN JOSE, CA, 95131.</w:t>
            </w:r>
          </w:p>
        </w:tc>
        <w:tc>
          <w:tcPr>
            <w:tcW w:w="155" w:type="dxa"/>
            <w:tcBorders/>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Item 2.</w:t>
            </w:r>
          </w:p>
        </w:tc>
        <w:tc>
          <w:tcPr>
            <w:tcW w:w="8912"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(a)</w:t>
            </w:r>
          </w:p>
        </w:tc>
        <w:tc>
          <w:tcPr>
            <w:tcW w:w="8912"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The names of the persons filing this report (collectively, the "Reporting Persons") are: RA Capital Management, L.P. ("RA Capital") Peter Kolchinsky ("Dr. Kolchinsky") Rajeev Shah ("Mr. Shah") RA Capital Healthcare Fund, L.P. (the "Fund") The Reporting Persons expressly disclaim status as a "group" for purposes of this Schedule 13G/A.</w:t>
            </w:r>
          </w:p>
        </w:tc>
        <w:tc>
          <w:tcPr>
            <w:tcW w:w="155" w:type="dxa"/>
            <w:tcBorders/>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(b)</w:t>
            </w:r>
          </w:p>
        </w:tc>
        <w:tc>
          <w:tcPr>
            <w:tcW w:w="8912"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address of the principal business office of each of the Reporting Persons is: c/o RA Capital Management, L.P., 200 Berkeley Street, 18th Floor, Boston MA 02116</w:t>
            </w:r>
          </w:p>
        </w:tc>
        <w:tc>
          <w:tcPr>
            <w:tcW w:w="155" w:type="dxa"/>
            <w:tcBorders/>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(c)</w:t>
            </w:r>
          </w:p>
        </w:tc>
        <w:tc>
          <w:tcPr>
            <w:tcW w:w="8912" w:type="dxa"/>
            <w:tcBorders/>
            <w:vAlign w:val="center"/>
          </w:tcPr>
          <w:p>
            <w:pPr>
              <w:pStyle w:val="TableContents"/>
              <w:bidi w:val="0"/>
              <w:jc w:val="left"/>
              <w:rPr/>
            </w:pPr>
            <w:r>
              <w:rPr/>
              <w:t xml:space="preserve">Citizenship: </w:t>
            </w:r>
          </w:p>
          <w:p>
            <w:pPr>
              <w:pStyle w:val="TableContents"/>
              <w:bidi w:val="0"/>
              <w:spacing w:before="0" w:after="0"/>
              <w:jc w:val="left"/>
              <w:rPr/>
            </w:pPr>
            <w:r>
              <w:rPr/>
              <w:t xml:space="preserve">RA Capital and the Fund are Delaware limited partnerships. Dr. Kolchinsky and Mr. Shah are United States citizens. </w:t>
            </w:r>
          </w:p>
        </w:tc>
        <w:tc>
          <w:tcPr>
            <w:tcW w:w="155" w:type="dxa"/>
            <w:tcBorders/>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(d)</w:t>
            </w:r>
          </w:p>
        </w:tc>
        <w:tc>
          <w:tcPr>
            <w:tcW w:w="8912"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Common Stock, $0.0001 par value per share</w:t>
            </w:r>
          </w:p>
        </w:tc>
        <w:tc>
          <w:tcPr>
            <w:tcW w:w="155" w:type="dxa"/>
            <w:tcBorders/>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(e)</w:t>
            </w:r>
          </w:p>
        </w:tc>
        <w:tc>
          <w:tcPr>
            <w:tcW w:w="8912"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Item 3.</w:t>
            </w:r>
          </w:p>
        </w:tc>
        <w:tc>
          <w:tcPr>
            <w:tcW w:w="8912"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(a)</w:t>
            </w:r>
          </w:p>
        </w:tc>
        <w:tc>
          <w:tcPr>
            <w:tcW w:w="8912"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(b)</w:t>
            </w:r>
          </w:p>
        </w:tc>
        <w:tc>
          <w:tcPr>
            <w:tcW w:w="8912"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(c)</w:t>
            </w:r>
          </w:p>
        </w:tc>
        <w:tc>
          <w:tcPr>
            <w:tcW w:w="8912"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(d)</w:t>
            </w:r>
          </w:p>
        </w:tc>
        <w:tc>
          <w:tcPr>
            <w:tcW w:w="8912"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(e)</w:t>
            </w:r>
          </w:p>
        </w:tc>
        <w:tc>
          <w:tcPr>
            <w:tcW w:w="8912"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(f)</w:t>
            </w:r>
          </w:p>
        </w:tc>
        <w:tc>
          <w:tcPr>
            <w:tcW w:w="8912"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(g)</w:t>
            </w:r>
          </w:p>
        </w:tc>
        <w:tc>
          <w:tcPr>
            <w:tcW w:w="8912"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(h)</w:t>
            </w:r>
          </w:p>
        </w:tc>
        <w:tc>
          <w:tcPr>
            <w:tcW w:w="8912"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(i)</w:t>
            </w:r>
          </w:p>
        </w:tc>
        <w:tc>
          <w:tcPr>
            <w:tcW w:w="8912" w:type="dxa"/>
            <w:tcBorders/>
            <w:vAlign w:val="center"/>
          </w:tcPr>
          <w:p>
            <w:pPr>
              <w:pStyle w:val="TableContents"/>
              <w:bidi w:val="0"/>
              <w:spacing w:before="0" w:after="283"/>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(j)</w:t>
            </w:r>
          </w:p>
        </w:tc>
        <w:tc>
          <w:tcPr>
            <w:tcW w:w="8912" w:type="dxa"/>
            <w:tcBorders/>
            <w:vAlign w:val="center"/>
          </w:tcPr>
          <w:p>
            <w:pPr>
              <w:pStyle w:val="TableContents"/>
              <w:bidi w:val="0"/>
              <w:spacing w:before="0" w:after="283"/>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(k)</w:t>
            </w:r>
          </w:p>
        </w:tc>
        <w:tc>
          <w:tcPr>
            <w:tcW w:w="8912" w:type="dxa"/>
            <w:tcBorders/>
            <w:vAlign w:val="center"/>
          </w:tcPr>
          <w:p>
            <w:pPr>
              <w:pStyle w:val="TableContents"/>
              <w:bidi w:val="0"/>
              <w:spacing w:before="0" w:after="283"/>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 </w:t>
            </w:r>
          </w:p>
        </w:tc>
        <w:tc>
          <w:tcPr>
            <w:tcW w:w="9067" w:type="dxa"/>
            <w:gridSpan w:val="2"/>
            <w:tcBorders/>
            <w:vAlign w:val="center"/>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Item 4.</w:t>
            </w:r>
          </w:p>
        </w:tc>
        <w:tc>
          <w:tcPr>
            <w:tcW w:w="8912"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(a)</w:t>
            </w:r>
          </w:p>
        </w:tc>
        <w:tc>
          <w:tcPr>
            <w:tcW w:w="8912"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Row 9 of each Reporting Person's cover page to this Schedule 13G sets forth the aggregate number of shares of Class A common stock of the Issuer beneficially owned by such Reporting Person as of June 30, 2026 and is incorporated by reference. The Fund directly holds (i) 8,500,000 shares of Class A common stock, (ii) pre-funded warrants (the "Pre-Funded Warrants") exercisable for up to 16,500,000 shares of Class A common stock, and (iii) warrants (the "Common Warrants" and, together with the Pre-Funded Warrants, the "Warrants") exercisable for up to 25,000,000 shares of Class A common stock. Each of the Pre-Funded Warrants and the Common Warrants contains a provision (the "Beneficial Ownership Blockers") which precludes exercise of the Warrants to the extent that, following exercise, the Fund, together with its affiliates and other attribution parties, would own more than 9.99% of the Class A common stock outstanding. The Fund is currently prohibited from exercising the Warrants to the extent that such exercise would result in the Reporting Persons' beneficial ownership of more than 11,530,414 shares of Class A common stock. RA Capital Healthcare Fund GP, LLC is the general partner of the Fund. The general partner of RA Capital is RA Capital Management GP, LLC, of which Dr. Kolchinsky and Mr. Shah are the controlling persons. RA Capital serves as investment adviser for the Fund and may be deemed a beneficial owner, for purposes of Section 13(d) of the Act, of any securities of the Issuer held by the Fund. The Fund has delegated to RA Capital the sole power to vote and the sole power to dispose of all securities held in the Fund's portfolio, including the shares of the Issuer's Class A common stock reported herein. Because the Fund has divested voting and investment power over the reported securities it holds and may not revoke that delegation on less than 61 days' notice, the Fund disclaims beneficial ownership of the securities it holds for purposes of Section 13(d) of the Act. As managers of RA Capital, Dr. Kolchinsky and Mr. Shah may be deemed beneficial owners, for purposes of Section 13(d) of the Act, of any securities of the Issuer beneficially owned by RA Capital. RA Capital, Dr. Kolchinsky, and Mr. Shah disclaim beneficial ownership of the securities reported in this Schedule 13G/A other than for the purpose of determining their obligations under Section 13(d) of the Act, and the filing of this Schedule 13G/A shall not be deemed an admission that either RA Capital, Dr. Kolchinsky, or Mr. Shah is the beneficial owner of such securities for any other purpose.</w:t>
            </w:r>
          </w:p>
        </w:tc>
        <w:tc>
          <w:tcPr>
            <w:tcW w:w="155" w:type="dxa"/>
            <w:tcBorders/>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(b)</w:t>
            </w:r>
          </w:p>
        </w:tc>
        <w:tc>
          <w:tcPr>
            <w:tcW w:w="8912"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Due to the Beneficial Ownership Blocker listed in the Warrants, each Reporting Person's beneficial ownership percentage was 9.99% as of June 30, 2026. Such percentage is based upon the sum of (i) 99,912,515 shares of Class A common stock outstanding as of April 30, 2026, as reported in the Issuer's Quarterly Report on Form 10-Q filed with the Securities and Exchange Commission (the "SEC") on May 15, 2026, (ii) 12,476,637 shares of Class A common stock issued by the Issuer on May 27, 2026, as reported in the Issuer's Prospectus Supplement filed with the SEC on May 27, 2026, and (ii) 3,030,414 shares of Class A common stock issuable upon the exercise of Warrants. Due to field limitations of the EDGAR filing system, the percentages listed in row 11 of the Reporting Persons' cover pages have been rounded down to 9.9%.  % </w:t>
            </w:r>
          </w:p>
        </w:tc>
        <w:tc>
          <w:tcPr>
            <w:tcW w:w="155" w:type="dxa"/>
            <w:tcBorders/>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(c)</w:t>
            </w:r>
          </w:p>
        </w:tc>
        <w:tc>
          <w:tcPr>
            <w:tcW w:w="8912"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 </w:t>
            </w:r>
          </w:p>
        </w:tc>
        <w:tc>
          <w:tcPr>
            <w:tcW w:w="8912"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Row 5 of each Reporting Person's cover page to this Schedule 13G/A sets forth the sole power to vote or to direct the vote of securities of the Issuer beneficially owned by such Reporting Person as of June 30, 2026 and is incorporated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 </w:t>
            </w:r>
          </w:p>
        </w:tc>
        <w:tc>
          <w:tcPr>
            <w:tcW w:w="8912"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Row 6 of each Reporting Person's cover page to this Schedule 13G/A sets forth the shared power to vote or to direct the vote of securities of the Issuer beneficially owned by such Reporting Person as of June 30, 2026 and is incorporated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 </w:t>
            </w:r>
          </w:p>
        </w:tc>
        <w:tc>
          <w:tcPr>
            <w:tcW w:w="8912"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Row 7 of each Reporting Person's cover page to this Schedule 13G/A sets forth the sole power to dispose or to direct the disposition of securities of the Issuer beneficially owned by such Reporting Person as of June 30, 2026 and is incorporated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 </w:t>
            </w:r>
          </w:p>
        </w:tc>
        <w:tc>
          <w:tcPr>
            <w:tcW w:w="8912"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Row 8 of each Reporting Person's cover page to this Schedule 13G/A sets forth the shared power to dispose or to direct the disposition of securities of the Issuer beneficially owned by such Reporting Person as of June 30, 2026 and is incorporated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Item 5.</w:t>
            </w:r>
          </w:p>
        </w:tc>
        <w:tc>
          <w:tcPr>
            <w:tcW w:w="8912"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 </w:t>
            </w:r>
          </w:p>
        </w:tc>
        <w:tc>
          <w:tcPr>
            <w:tcW w:w="8912"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Item 6.</w:t>
            </w:r>
          </w:p>
        </w:tc>
        <w:tc>
          <w:tcPr>
            <w:tcW w:w="8912"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 </w:t>
            </w:r>
          </w:p>
        </w:tc>
        <w:tc>
          <w:tcPr>
            <w:tcW w:w="8912"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Item 7.</w:t>
            </w:r>
          </w:p>
        </w:tc>
        <w:tc>
          <w:tcPr>
            <w:tcW w:w="8912"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 </w:t>
            </w:r>
          </w:p>
        </w:tc>
        <w:tc>
          <w:tcPr>
            <w:tcW w:w="8912"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Item 8.</w:t>
            </w:r>
          </w:p>
        </w:tc>
        <w:tc>
          <w:tcPr>
            <w:tcW w:w="8912"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 </w:t>
            </w:r>
          </w:p>
        </w:tc>
        <w:tc>
          <w:tcPr>
            <w:tcW w:w="8912"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Item 9.</w:t>
            </w:r>
          </w:p>
        </w:tc>
        <w:tc>
          <w:tcPr>
            <w:tcW w:w="8912"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 </w:t>
            </w:r>
          </w:p>
        </w:tc>
        <w:tc>
          <w:tcPr>
            <w:tcW w:w="8912"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4" w:name="certifications"/>
      <w:bookmarkStart w:id="25" w:name="certifications"/>
      <w:bookmarkEnd w:id="25"/>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6" w:name="signatureInfo"/>
      <w:bookmarkStart w:id="27" w:name="signatureInfo"/>
      <w:bookmarkEnd w:id="27"/>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376" w:type="dxa"/>
        <w:jc w:val="left"/>
        <w:tblInd w:w="0" w:type="dxa"/>
        <w:tblLayout w:type="fixed"/>
        <w:tblCellMar>
          <w:top w:w="28" w:type="dxa"/>
          <w:left w:w="28" w:type="dxa"/>
          <w:bottom w:w="28" w:type="dxa"/>
          <w:right w:w="28" w:type="dxa"/>
        </w:tblCellMar>
      </w:tblPr>
      <w:tblGrid>
        <w:gridCol w:w="3188"/>
        <w:gridCol w:w="3188"/>
      </w:tblGrid>
      <w:tr>
        <w:trPr/>
        <w:tc>
          <w:tcPr>
            <w:tcW w:w="3188" w:type="dxa"/>
            <w:tcBorders/>
            <w:vAlign w:val="center"/>
          </w:tcPr>
          <w:p>
            <w:pPr>
              <w:pStyle w:val="TableContents"/>
              <w:bidi w:val="0"/>
              <w:spacing w:before="0" w:after="0"/>
              <w:jc w:val="left"/>
              <w:rPr/>
            </w:pPr>
            <w:r>
              <w:rPr/>
              <w:t> </w:t>
            </w:r>
          </w:p>
          <w:tbl>
            <w:tblPr>
              <w:tblW w:w="3061" w:type="dxa"/>
              <w:jc w:val="left"/>
              <w:tblInd w:w="0" w:type="dxa"/>
              <w:tblLayout w:type="fixed"/>
              <w:tblCellMar>
                <w:top w:w="28" w:type="dxa"/>
                <w:left w:w="28" w:type="dxa"/>
                <w:bottom w:w="28" w:type="dxa"/>
                <w:right w:w="28" w:type="dxa"/>
              </w:tblCellMar>
            </w:tblPr>
            <w:tblGrid>
              <w:gridCol w:w="3061"/>
            </w:tblGrid>
            <w:tr>
              <w:trPr/>
              <w:tc>
                <w:tcPr>
                  <w:tcW w:w="3061" w:type="dxa"/>
                  <w:tcBorders/>
                  <w:vAlign w:val="center"/>
                </w:tcPr>
                <w:p>
                  <w:pPr>
                    <w:pStyle w:val="TableContents"/>
                    <w:bidi w:val="0"/>
                    <w:spacing w:before="0" w:after="0"/>
                    <w:jc w:val="left"/>
                    <w:rPr/>
                  </w:pPr>
                  <w:r>
                    <w:rPr/>
                    <w:t>RA Capital Management, L.P.</w:t>
                  </w:r>
                </w:p>
              </w:tc>
            </w:tr>
          </w:tbl>
          <w:p>
            <w:pPr>
              <w:pStyle w:val="TableContents"/>
              <w:bidi w:val="0"/>
              <w:spacing w:before="0" w:after="283"/>
              <w:jc w:val="left"/>
              <w:rPr/>
            </w:pPr>
            <w:r>
              <w:rPr/>
            </w:r>
          </w:p>
        </w:tc>
        <w:tc>
          <w:tcPr>
            <w:tcW w:w="318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46"/>
        <w:gridCol w:w="4259"/>
      </w:tblGrid>
      <w:tr>
        <w:trPr/>
        <w:tc>
          <w:tcPr>
            <w:tcW w:w="594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3"/>
              <w:gridCol w:w="9042"/>
            </w:tblGrid>
            <w:tr>
              <w:trPr/>
              <w:tc>
                <w:tcPr>
                  <w:tcW w:w="1163" w:type="dxa"/>
                  <w:tcBorders/>
                  <w:vAlign w:val="center"/>
                </w:tcPr>
                <w:p>
                  <w:pPr>
                    <w:pStyle w:val="TableContents"/>
                    <w:bidi w:val="0"/>
                    <w:spacing w:before="0" w:after="283"/>
                    <w:jc w:val="left"/>
                    <w:rPr/>
                  </w:pPr>
                  <w:r>
                    <w:rPr/>
                    <w:t>Signature:</w:t>
                  </w:r>
                </w:p>
              </w:tc>
              <w:tc>
                <w:tcPr>
                  <w:tcW w:w="9042" w:type="dxa"/>
                  <w:tcBorders/>
                  <w:vAlign w:val="center"/>
                </w:tcPr>
                <w:p>
                  <w:pPr>
                    <w:pStyle w:val="TableContents"/>
                    <w:bidi w:val="0"/>
                    <w:spacing w:before="0" w:after="283"/>
                    <w:jc w:val="left"/>
                    <w:rPr/>
                  </w:pPr>
                  <w:r>
                    <w:rPr/>
                    <w:t>/s/ Peter Kolchinsky</w:t>
                  </w:r>
                </w:p>
              </w:tc>
            </w:tr>
            <w:tr>
              <w:trPr/>
              <w:tc>
                <w:tcPr>
                  <w:tcW w:w="1163" w:type="dxa"/>
                  <w:tcBorders/>
                  <w:vAlign w:val="center"/>
                </w:tcPr>
                <w:p>
                  <w:pPr>
                    <w:pStyle w:val="TableContents"/>
                    <w:bidi w:val="0"/>
                    <w:spacing w:before="0" w:after="283"/>
                    <w:jc w:val="left"/>
                    <w:rPr/>
                  </w:pPr>
                  <w:r>
                    <w:rPr/>
                    <w:t>Name/Title:</w:t>
                  </w:r>
                </w:p>
              </w:tc>
              <w:tc>
                <w:tcPr>
                  <w:tcW w:w="9042" w:type="dxa"/>
                  <w:tcBorders/>
                  <w:vAlign w:val="center"/>
                </w:tcPr>
                <w:p>
                  <w:pPr>
                    <w:pStyle w:val="TableContents"/>
                    <w:bidi w:val="0"/>
                    <w:spacing w:before="0" w:after="283"/>
                    <w:jc w:val="left"/>
                    <w:rPr/>
                  </w:pPr>
                  <w:r>
                    <w:rPr/>
                    <w:t>By Peter Kolchinsky, Authorized Signatory</w:t>
                  </w:r>
                </w:p>
              </w:tc>
            </w:tr>
            <w:tr>
              <w:trPr/>
              <w:tc>
                <w:tcPr>
                  <w:tcW w:w="1163" w:type="dxa"/>
                  <w:tcBorders/>
                  <w:vAlign w:val="center"/>
                </w:tcPr>
                <w:p>
                  <w:pPr>
                    <w:pStyle w:val="TableContents"/>
                    <w:bidi w:val="0"/>
                    <w:spacing w:before="0" w:after="283"/>
                    <w:jc w:val="left"/>
                    <w:rPr/>
                  </w:pPr>
                  <w:r>
                    <w:rPr/>
                    <w:t>Date:</w:t>
                  </w:r>
                </w:p>
              </w:tc>
              <w:tc>
                <w:tcPr>
                  <w:tcW w:w="9042"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59" w:type="dxa"/>
            <w:tcBorders/>
            <w:vAlign w:val="center"/>
          </w:tcPr>
          <w:p>
            <w:pPr>
              <w:pStyle w:val="TableContents"/>
              <w:bidi w:val="0"/>
              <w:spacing w:before="0" w:after="283"/>
              <w:jc w:val="left"/>
              <w:rPr>
                <w:sz w:val="4"/>
                <w:szCs w:val="4"/>
              </w:rPr>
            </w:pPr>
            <w:r>
              <w:rPr>
                <w:sz w:val="4"/>
                <w:szCs w:val="4"/>
              </w:rPr>
            </w:r>
          </w:p>
        </w:tc>
      </w:tr>
    </w:tbl>
    <w:tbl>
      <w:tblPr>
        <w:tblW w:w="3992" w:type="dxa"/>
        <w:jc w:val="left"/>
        <w:tblInd w:w="0" w:type="dxa"/>
        <w:tblLayout w:type="fixed"/>
        <w:tblCellMar>
          <w:top w:w="28" w:type="dxa"/>
          <w:left w:w="28" w:type="dxa"/>
          <w:bottom w:w="28" w:type="dxa"/>
          <w:right w:w="28" w:type="dxa"/>
        </w:tblCellMar>
      </w:tblPr>
      <w:tblGrid>
        <w:gridCol w:w="1996"/>
        <w:gridCol w:w="1996"/>
      </w:tblGrid>
      <w:tr>
        <w:trPr/>
        <w:tc>
          <w:tcPr>
            <w:tcW w:w="1996" w:type="dxa"/>
            <w:tcBorders/>
            <w:vAlign w:val="center"/>
          </w:tcPr>
          <w:p>
            <w:pPr>
              <w:pStyle w:val="TableContents"/>
              <w:bidi w:val="0"/>
              <w:spacing w:before="0" w:after="0"/>
              <w:jc w:val="left"/>
              <w:rPr/>
            </w:pPr>
            <w:r>
              <w:rPr/>
              <w:t> </w:t>
            </w:r>
          </w:p>
          <w:tbl>
            <w:tblPr>
              <w:tblW w:w="1861" w:type="dxa"/>
              <w:jc w:val="left"/>
              <w:tblInd w:w="0" w:type="dxa"/>
              <w:tblLayout w:type="fixed"/>
              <w:tblCellMar>
                <w:top w:w="28" w:type="dxa"/>
                <w:left w:w="28" w:type="dxa"/>
                <w:bottom w:w="28" w:type="dxa"/>
                <w:right w:w="28" w:type="dxa"/>
              </w:tblCellMar>
            </w:tblPr>
            <w:tblGrid>
              <w:gridCol w:w="1861"/>
            </w:tblGrid>
            <w:tr>
              <w:trPr/>
              <w:tc>
                <w:tcPr>
                  <w:tcW w:w="1861" w:type="dxa"/>
                  <w:tcBorders/>
                  <w:vAlign w:val="center"/>
                </w:tcPr>
                <w:p>
                  <w:pPr>
                    <w:pStyle w:val="TableContents"/>
                    <w:bidi w:val="0"/>
                    <w:spacing w:before="0" w:after="0"/>
                    <w:jc w:val="left"/>
                    <w:rPr/>
                  </w:pPr>
                  <w:r>
                    <w:rPr/>
                    <w:t xml:space="preserve">Peter Kolchinsky </w:t>
                  </w:r>
                </w:p>
              </w:tc>
            </w:tr>
          </w:tbl>
          <w:p>
            <w:pPr>
              <w:pStyle w:val="TableContents"/>
              <w:bidi w:val="0"/>
              <w:spacing w:before="0" w:after="283"/>
              <w:jc w:val="left"/>
              <w:rPr/>
            </w:pPr>
            <w:r>
              <w:rPr/>
            </w:r>
          </w:p>
        </w:tc>
        <w:tc>
          <w:tcPr>
            <w:tcW w:w="199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20"/>
        <w:gridCol w:w="4285"/>
      </w:tblGrid>
      <w:tr>
        <w:trPr/>
        <w:tc>
          <w:tcPr>
            <w:tcW w:w="592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/s/ Peter Kolchinsky</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Peter Kolchinsky</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85" w:type="dxa"/>
            <w:tcBorders/>
            <w:vAlign w:val="center"/>
          </w:tcPr>
          <w:p>
            <w:pPr>
              <w:pStyle w:val="TableContents"/>
              <w:bidi w:val="0"/>
              <w:spacing w:before="0" w:after="283"/>
              <w:jc w:val="left"/>
              <w:rPr>
                <w:sz w:val="4"/>
                <w:szCs w:val="4"/>
              </w:rPr>
            </w:pPr>
            <w:r>
              <w:rPr>
                <w:sz w:val="4"/>
                <w:szCs w:val="4"/>
              </w:rPr>
            </w:r>
          </w:p>
        </w:tc>
      </w:tr>
    </w:tbl>
    <w:tbl>
      <w:tblPr>
        <w:tblW w:w="2946" w:type="dxa"/>
        <w:jc w:val="left"/>
        <w:tblInd w:w="0" w:type="dxa"/>
        <w:tblLayout w:type="fixed"/>
        <w:tblCellMar>
          <w:top w:w="28" w:type="dxa"/>
          <w:left w:w="28" w:type="dxa"/>
          <w:bottom w:w="28" w:type="dxa"/>
          <w:right w:w="28" w:type="dxa"/>
        </w:tblCellMar>
      </w:tblPr>
      <w:tblGrid>
        <w:gridCol w:w="1473"/>
        <w:gridCol w:w="1473"/>
      </w:tblGrid>
      <w:tr>
        <w:trPr/>
        <w:tc>
          <w:tcPr>
            <w:tcW w:w="1473" w:type="dxa"/>
            <w:tcBorders/>
            <w:vAlign w:val="center"/>
          </w:tcPr>
          <w:p>
            <w:pPr>
              <w:pStyle w:val="TableContents"/>
              <w:bidi w:val="0"/>
              <w:spacing w:before="0" w:after="0"/>
              <w:jc w:val="left"/>
              <w:rPr/>
            </w:pPr>
            <w:r>
              <w:rPr/>
              <w:t> </w:t>
            </w:r>
          </w:p>
          <w:tbl>
            <w:tblPr>
              <w:tblW w:w="1366" w:type="dxa"/>
              <w:jc w:val="left"/>
              <w:tblInd w:w="0" w:type="dxa"/>
              <w:tblLayout w:type="fixed"/>
              <w:tblCellMar>
                <w:top w:w="28" w:type="dxa"/>
                <w:left w:w="28" w:type="dxa"/>
                <w:bottom w:w="28" w:type="dxa"/>
                <w:right w:w="28" w:type="dxa"/>
              </w:tblCellMar>
            </w:tblPr>
            <w:tblGrid>
              <w:gridCol w:w="1366"/>
            </w:tblGrid>
            <w:tr>
              <w:trPr/>
              <w:tc>
                <w:tcPr>
                  <w:tcW w:w="1366" w:type="dxa"/>
                  <w:tcBorders/>
                  <w:vAlign w:val="center"/>
                </w:tcPr>
                <w:p>
                  <w:pPr>
                    <w:pStyle w:val="TableContents"/>
                    <w:bidi w:val="0"/>
                    <w:spacing w:before="0" w:after="0"/>
                    <w:jc w:val="left"/>
                    <w:rPr/>
                  </w:pPr>
                  <w:r>
                    <w:rPr/>
                    <w:t>Rajeev Shah</w:t>
                  </w:r>
                </w:p>
              </w:tc>
            </w:tr>
          </w:tbl>
          <w:p>
            <w:pPr>
              <w:pStyle w:val="TableContents"/>
              <w:bidi w:val="0"/>
              <w:spacing w:before="0" w:after="283"/>
              <w:jc w:val="left"/>
              <w:rPr/>
            </w:pPr>
            <w:r>
              <w:rPr/>
            </w:r>
          </w:p>
        </w:tc>
        <w:tc>
          <w:tcPr>
            <w:tcW w:w="147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53"/>
        <w:gridCol w:w="4452"/>
      </w:tblGrid>
      <w:tr>
        <w:trPr/>
        <w:tc>
          <w:tcPr>
            <w:tcW w:w="575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1"/>
              <w:gridCol w:w="9034"/>
            </w:tblGrid>
            <w:tr>
              <w:trPr/>
              <w:tc>
                <w:tcPr>
                  <w:tcW w:w="1171" w:type="dxa"/>
                  <w:tcBorders/>
                  <w:vAlign w:val="center"/>
                </w:tcPr>
                <w:p>
                  <w:pPr>
                    <w:pStyle w:val="TableContents"/>
                    <w:bidi w:val="0"/>
                    <w:spacing w:before="0" w:after="283"/>
                    <w:jc w:val="left"/>
                    <w:rPr/>
                  </w:pPr>
                  <w:r>
                    <w:rPr/>
                    <w:t>Signature:</w:t>
                  </w:r>
                </w:p>
              </w:tc>
              <w:tc>
                <w:tcPr>
                  <w:tcW w:w="9034" w:type="dxa"/>
                  <w:tcBorders/>
                  <w:vAlign w:val="center"/>
                </w:tcPr>
                <w:p>
                  <w:pPr>
                    <w:pStyle w:val="TableContents"/>
                    <w:bidi w:val="0"/>
                    <w:spacing w:before="0" w:after="283"/>
                    <w:jc w:val="left"/>
                    <w:rPr/>
                  </w:pPr>
                  <w:r>
                    <w:rPr/>
                    <w:t>/s/ Rajeev Shah</w:t>
                  </w:r>
                </w:p>
              </w:tc>
            </w:tr>
            <w:tr>
              <w:trPr/>
              <w:tc>
                <w:tcPr>
                  <w:tcW w:w="1171" w:type="dxa"/>
                  <w:tcBorders/>
                  <w:vAlign w:val="center"/>
                </w:tcPr>
                <w:p>
                  <w:pPr>
                    <w:pStyle w:val="TableContents"/>
                    <w:bidi w:val="0"/>
                    <w:spacing w:before="0" w:after="283"/>
                    <w:jc w:val="left"/>
                    <w:rPr/>
                  </w:pPr>
                  <w:r>
                    <w:rPr/>
                    <w:t>Name/Title:</w:t>
                  </w:r>
                </w:p>
              </w:tc>
              <w:tc>
                <w:tcPr>
                  <w:tcW w:w="9034" w:type="dxa"/>
                  <w:tcBorders/>
                  <w:vAlign w:val="center"/>
                </w:tcPr>
                <w:p>
                  <w:pPr>
                    <w:pStyle w:val="TableContents"/>
                    <w:bidi w:val="0"/>
                    <w:spacing w:before="0" w:after="283"/>
                    <w:jc w:val="left"/>
                    <w:rPr/>
                  </w:pPr>
                  <w:r>
                    <w:rPr/>
                    <w:t>Rajeev Shah</w:t>
                  </w:r>
                </w:p>
              </w:tc>
            </w:tr>
            <w:tr>
              <w:trPr/>
              <w:tc>
                <w:tcPr>
                  <w:tcW w:w="1171" w:type="dxa"/>
                  <w:tcBorders/>
                  <w:vAlign w:val="center"/>
                </w:tcPr>
                <w:p>
                  <w:pPr>
                    <w:pStyle w:val="TableContents"/>
                    <w:bidi w:val="0"/>
                    <w:spacing w:before="0" w:after="283"/>
                    <w:jc w:val="left"/>
                    <w:rPr/>
                  </w:pPr>
                  <w:r>
                    <w:rPr/>
                    <w:t>Date:</w:t>
                  </w:r>
                </w:p>
              </w:tc>
              <w:tc>
                <w:tcPr>
                  <w:tcW w:w="9034"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452" w:type="dxa"/>
            <w:tcBorders/>
            <w:vAlign w:val="center"/>
          </w:tcPr>
          <w:p>
            <w:pPr>
              <w:pStyle w:val="TableContents"/>
              <w:bidi w:val="0"/>
              <w:spacing w:before="0" w:after="283"/>
              <w:jc w:val="left"/>
              <w:rPr>
                <w:sz w:val="4"/>
                <w:szCs w:val="4"/>
              </w:rPr>
            </w:pPr>
            <w:r>
              <w:rPr>
                <w:sz w:val="4"/>
                <w:szCs w:val="4"/>
              </w:rPr>
            </w:r>
          </w:p>
        </w:tc>
      </w:tr>
    </w:tbl>
    <w:tbl>
      <w:tblPr>
        <w:tblW w:w="7040" w:type="dxa"/>
        <w:jc w:val="left"/>
        <w:tblInd w:w="0" w:type="dxa"/>
        <w:tblLayout w:type="fixed"/>
        <w:tblCellMar>
          <w:top w:w="28" w:type="dxa"/>
          <w:left w:w="28" w:type="dxa"/>
          <w:bottom w:w="28" w:type="dxa"/>
          <w:right w:w="28" w:type="dxa"/>
        </w:tblCellMar>
      </w:tblPr>
      <w:tblGrid>
        <w:gridCol w:w="3520"/>
        <w:gridCol w:w="3520"/>
      </w:tblGrid>
      <w:tr>
        <w:trPr/>
        <w:tc>
          <w:tcPr>
            <w:tcW w:w="3520" w:type="dxa"/>
            <w:tcBorders/>
            <w:vAlign w:val="center"/>
          </w:tcPr>
          <w:p>
            <w:pPr>
              <w:pStyle w:val="TableContents"/>
              <w:bidi w:val="0"/>
              <w:spacing w:before="0" w:after="0"/>
              <w:jc w:val="left"/>
              <w:rPr/>
            </w:pPr>
            <w:r>
              <w:rPr/>
              <w:t> </w:t>
            </w:r>
          </w:p>
          <w:tbl>
            <w:tblPr>
              <w:tblW w:w="3406" w:type="dxa"/>
              <w:jc w:val="left"/>
              <w:tblInd w:w="0" w:type="dxa"/>
              <w:tblLayout w:type="fixed"/>
              <w:tblCellMar>
                <w:top w:w="28" w:type="dxa"/>
                <w:left w:w="28" w:type="dxa"/>
                <w:bottom w:w="28" w:type="dxa"/>
                <w:right w:w="28" w:type="dxa"/>
              </w:tblCellMar>
            </w:tblPr>
            <w:tblGrid>
              <w:gridCol w:w="3406"/>
            </w:tblGrid>
            <w:tr>
              <w:trPr/>
              <w:tc>
                <w:tcPr>
                  <w:tcW w:w="3406" w:type="dxa"/>
                  <w:tcBorders/>
                  <w:vAlign w:val="center"/>
                </w:tcPr>
                <w:p>
                  <w:pPr>
                    <w:pStyle w:val="TableContents"/>
                    <w:bidi w:val="0"/>
                    <w:spacing w:before="0" w:after="0"/>
                    <w:jc w:val="left"/>
                    <w:rPr/>
                  </w:pPr>
                  <w:r>
                    <w:rPr/>
                    <w:t>RA Capital Healthcare Fund, L.P.</w:t>
                  </w:r>
                </w:p>
              </w:tc>
            </w:tr>
          </w:tbl>
          <w:p>
            <w:pPr>
              <w:pStyle w:val="TableContents"/>
              <w:bidi w:val="0"/>
              <w:spacing w:before="0" w:after="283"/>
              <w:jc w:val="left"/>
              <w:rPr/>
            </w:pPr>
            <w:r>
              <w:rPr/>
            </w:r>
          </w:p>
        </w:tc>
        <w:tc>
          <w:tcPr>
            <w:tcW w:w="352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43"/>
        <w:gridCol w:w="4262"/>
      </w:tblGrid>
      <w:tr>
        <w:trPr/>
        <w:tc>
          <w:tcPr>
            <w:tcW w:w="594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Peter Kolchinsky</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By RA Capital Healthcare Fund GP, LLC, its General Partner, By Peter Kolchinsky, Manager</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6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center"/>
              <w:rPr>
                <w:b/>
              </w:rPr>
            </w:pPr>
            <w:r>
              <w:rPr>
                <w:b/>
              </w:rPr>
              <w:t xml:space="preserve">Exhibit Information </w:t>
            </w:r>
          </w:p>
        </w:tc>
      </w:tr>
      <w:tr>
        <w:trPr/>
        <w:tc>
          <w:tcPr>
            <w:tcW w:w="10205" w:type="dxa"/>
            <w:tcBorders/>
            <w:vAlign w:val="center"/>
          </w:tcPr>
          <w:p>
            <w:pPr>
              <w:pStyle w:val="TableContents"/>
              <w:bidi w:val="0"/>
              <w:spacing w:before="0" w:after="283"/>
              <w:jc w:val="left"/>
              <w:rPr/>
            </w:pPr>
            <w:r>
              <w:rPr/>
              <w:t>Exhibit 99.1 Joint Filing Agreement (incorporated by reference to Exhibit 99.1 to Schedule 13G filed on October 30, 2025)</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fontTable" Target="fontTable.xml"/><Relationship Id="rId2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1969</Words>
  <Characters>10070</Characters>
  <CharactersWithSpaces>11972</CharactersWithSpaces>
  <Paragraphs>301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