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March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001-40672</w:t>
            </w:r>
          </w:p>
        </w:tc>
        <w:tc>
          <w:tcPr>
            <w:tcW w:w="2040" w:type="dxa"/>
            <w:vAlign w:val="bottom"/>
          </w:tcPr>
          <w:p>
            <w:pPr>
              <w:jc w:val="right"/>
              <w:ind w:right="24"/>
              <w:spacing w:after="0"/>
              <w:rPr>
                <w:sz w:val="20"/>
                <w:szCs w:val="20"/>
                <w:color w:val="auto"/>
              </w:rPr>
            </w:pPr>
            <w:r>
              <w:rPr>
                <w:rFonts w:ascii="Arial" w:cs="Arial" w:eastAsia="Arial" w:hAnsi="Arial"/>
                <w:sz w:val="18"/>
                <w:szCs w:val="18"/>
                <w:b w:val="1"/>
                <w:bCs w:val="1"/>
                <w:color w:val="auto"/>
              </w:rPr>
              <w:t>86-3114789</w:t>
            </w:r>
          </w:p>
        </w:tc>
      </w:tr>
      <w:tr>
        <w:trPr>
          <w:trHeight w:val="149"/>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89"/>
              </w:rPr>
              <w:t>2051 Ringwood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00" w:type="dxa"/>
            <w:vAlign w:val="bottom"/>
          </w:tcPr>
          <w:p>
            <w:pPr>
              <w:jc w:val="center"/>
              <w:ind w:right="621"/>
              <w:spacing w:after="0"/>
              <w:rPr>
                <w:sz w:val="20"/>
                <w:szCs w:val="20"/>
                <w:color w:val="auto"/>
              </w:rPr>
            </w:pPr>
            <w:r>
              <w:rPr>
                <w:rFonts w:ascii="Arial" w:cs="Arial" w:eastAsia="Arial" w:hAnsi="Arial"/>
                <w:sz w:val="18"/>
                <w:szCs w:val="18"/>
                <w:b w:val="1"/>
                <w:bCs w:val="1"/>
                <w:color w:val="auto"/>
                <w:w w:val="89"/>
              </w:rPr>
              <w:t>San Jose,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95131</w:t>
            </w:r>
          </w:p>
        </w:tc>
      </w:tr>
      <w:tr>
        <w:trPr>
          <w:trHeight w:val="175"/>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62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30, 2023, Ms. Lyn Baranowski notified Rani Therapeutics Holdings, Inc. (the “Company”) that she does not intend to stand for re-election at the 2023 annual meeting of stockholders of the Company (“Annual Meeting”). Accordingly, Ms. Baranowski will cease to be a member of the Board of Directors of the Company and the Compensation Committee and the Nominating and Corporate Governance Committee thereof, effective as of the date of the Annual Meeting. Ms. Baranowski’s decision to not stand for re-election is not a result of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2023-04-05T15:36:57Z</dcterms:created>
  <dcterms:modified xsi:type="dcterms:W3CDTF">2023-04-05T15:36:57Z</dcterms:modified>
</cp:coreProperties>
</file>