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590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590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Farquharson Andrew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07/29/2021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Rani Therapeutics Holdings,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RANI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0" w:gutter="0" w:footer="0" w:header="0"/>
          <w:type w:val="continuous"/>
        </w:sectPr>
      </w:pP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 w:right="1377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C/O RANI THERAPEUTICS LLC 2051 RINGWOOD AVE.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69"/>
        </w:trPr>
        <w:tc>
          <w:tcPr>
            <w:tcW w:w="1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SAN JOSE  CA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95131</w:t>
            </w:r>
          </w:p>
        </w:tc>
      </w:tr>
    </w:tbl>
    <w:p>
      <w:pPr>
        <w:spacing w:after="0" w:line="36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3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07/29/2021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39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60" w:right="340" w:hanging="304"/>
        <w:spacing w:after="0" w:line="184" w:lineRule="auto"/>
        <w:tabs>
          <w:tab w:leader="none" w:pos="460" w:val="left"/>
        </w:tabs>
        <w:numPr>
          <w:ilvl w:val="0"/>
          <w:numId w:val="4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60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6" w:right="47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6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Class A 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4"/>
              </w:rPr>
              <w:t>829,435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I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4"/>
              </w:rPr>
              <w:t>See footnote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w w:val="84"/>
                <w:vertAlign w:val="superscript"/>
              </w:rPr>
              <w:t>(1)(2)</w:t>
            </w: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Class B 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4"/>
              </w:rPr>
              <w:t>2,564,861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I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4"/>
              </w:rPr>
              <w:t>See footnote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w w:val="84"/>
                <w:vertAlign w:val="superscript"/>
              </w:rPr>
              <w:t>(1)(3)</w:t>
            </w: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Class B 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4"/>
              </w:rPr>
              <w:t>187,394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6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88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 (Instr.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2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5"/>
              </w:rPr>
              <w:t>Class A Common LLC Units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(4)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7"/>
              </w:rPr>
              <w:t>(4)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8"/>
              </w:rPr>
              <w:t>Class A Common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3"/>
              </w:rPr>
              <w:t>2,564,861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(4)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I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9"/>
              </w:rPr>
              <w:t>See footnote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w w:val="89"/>
                <w:vertAlign w:val="superscript"/>
              </w:rPr>
              <w:t>(1)(3)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2"/>
              </w:rPr>
              <w:t>Stock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w w:val="82"/>
                <w:vertAlign w:val="superscript"/>
              </w:rPr>
              <w:t>(4)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5"/>
              </w:rPr>
              <w:t>Class A Common LLC Units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(4)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7"/>
              </w:rPr>
              <w:t>(4)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8"/>
              </w:rPr>
              <w:t>Class A Common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429,503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(4)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2"/>
              </w:rPr>
              <w:t>Stock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w w:val="82"/>
                <w:vertAlign w:val="superscript"/>
              </w:rPr>
              <w:t>(4)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5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This amendment is being filed to correctly reflect the shares held directly and indirectly.</w:t>
      </w:r>
    </w:p>
    <w:p>
      <w:pPr>
        <w:spacing w:after="0" w:line="52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left="40" w:right="400" w:firstLine="5"/>
        <w:spacing w:after="0" w:line="253" w:lineRule="auto"/>
        <w:tabs>
          <w:tab w:leader="none" w:pos="190" w:val="left"/>
        </w:tabs>
        <w:numPr>
          <w:ilvl w:val="0"/>
          <w:numId w:val="5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Represents 378,533 shares of Class A Common Stock of the Issuer ("Class A Shares") held by Biologix Partners, LP and 450,902 Class A Shares held by VH Rani, LP. The Reporting Person disclaims beneficial ownership of these securities except to the extent of his pecuniary interest therein.</w:t>
      </w:r>
    </w:p>
    <w:p>
      <w:pPr>
        <w:spacing w:after="0" w:line="26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left="40" w:right="340" w:firstLine="5"/>
        <w:spacing w:after="0" w:line="253" w:lineRule="auto"/>
        <w:tabs>
          <w:tab w:leader="none" w:pos="190" w:val="left"/>
        </w:tabs>
        <w:numPr>
          <w:ilvl w:val="0"/>
          <w:numId w:val="5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Represents 2,492,441 shares of Class B Common Stock of the Issuer ("Class B Shares") held by InCube Ventures II, L.P. and 72,420 Class B Shares held by Rani Investment Corp. The Reporting Person disclaims beneficial ownership of these securities except to the extent of his pecuniary interest therein.</w:t>
      </w:r>
    </w:p>
    <w:p>
      <w:pPr>
        <w:spacing w:after="0" w:line="26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left="40" w:right="140" w:firstLine="5"/>
        <w:spacing w:after="0" w:line="260" w:lineRule="auto"/>
        <w:tabs>
          <w:tab w:leader="none" w:pos="190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Common LLC Units of Rani Therapeutics, LLC, a direct subsidiary of the Issuer. The Common LLC Units are redeemable at the election of the Reporting Person at any time for newly-issued Class A Shares on a one-for-one basis or, if mutually agreed with the Issuer, a cash payment equal to the volume weighted average market price of one Class A Share for each Common LLC Unit redeemed (subject to customary adjustments, including for stock splits, stock dividends and reclassifications). However, the Issuer may elect to effect a direct exchange of such Class A Shares (or such cash, if mutually agreed) for such Common LLC Units.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 Josh Seidenfeld,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Attorney-in-Fact for</w:t>
            </w:r>
          </w:p>
        </w:tc>
        <w:tc>
          <w:tcPr>
            <w:tcW w:w="900" w:type="dxa"/>
            <w:vAlign w:val="bottom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08/02/2021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Andrew Farquharson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6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46E87CCD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1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865699" TargetMode="External"/><Relationship Id="rId11" Type="http://schemas.openxmlformats.org/officeDocument/2006/relationships/hyperlink" Target="http://www.sec.gov/cgi-bin/browse-edgar?action=getcompany&amp;CIK=0001856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2021-08-02T18:38:19Z</dcterms:created>
  <dcterms:modified xsi:type="dcterms:W3CDTF">2021-08-02T18:38:19Z</dcterms:modified>
</cp:coreProperties>
</file>