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333-289424</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1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1390015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163830</wp:posOffset>
            </wp:positionV>
            <wp:extent cx="1988820" cy="1003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12,476,637 Shares of Class A Common Stock</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6,214,953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We are offering shares of our Class A common stock, par value $0.0001 per share at the offering price of $1.07 per share of Class A common stock, in a registered direct offering directly to institutional investors pursuant to this prospectus supplement and the accompanying prospectus and a securities purchase agreement with each such investor.</w:t>
      </w:r>
    </w:p>
    <w:p>
      <w:pPr>
        <w:spacing w:after="0" w:line="177" w:lineRule="exact"/>
        <w:rPr>
          <w:sz w:val="24"/>
          <w:szCs w:val="24"/>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6"/>
          <w:szCs w:val="16"/>
          <w:color w:val="auto"/>
        </w:rPr>
        <w:t>We are also offering pre-funded warrants to purchase shares of our Class A common stock in lieu of shares of our Class A common stock to the investors pursuant to this prospectus supplement and the accompanying prospectus and a securities purchase agreement with each such investor. Each pre-funded warrant is exercisable for one share of our Class A common stock at an exercise price of $0.0001 per share. The offering price per pre-funded warrant is equal to the offering price per share of our Class A common stock of $1.07 less $0.0001. The pre-funded warrants are immediately exercisable and may be exercised at any time until all of the pre-funded warrants are exercised in full.</w:t>
      </w:r>
    </w:p>
    <w:p>
      <w:pPr>
        <w:spacing w:after="0" w:line="186" w:lineRule="exact"/>
        <w:rPr>
          <w:sz w:val="24"/>
          <w:szCs w:val="24"/>
          <w:color w:val="auto"/>
        </w:rPr>
      </w:pPr>
    </w:p>
    <w:p>
      <w:pPr>
        <w:ind w:left="120" w:right="40" w:firstLine="440"/>
        <w:spacing w:after="0" w:line="298" w:lineRule="auto"/>
        <w:rPr>
          <w:sz w:val="20"/>
          <w:szCs w:val="20"/>
          <w:color w:val="auto"/>
        </w:rPr>
      </w:pPr>
      <w:r>
        <w:rPr>
          <w:rFonts w:ascii="Times New Roman" w:cs="Times New Roman" w:eastAsia="Times New Roman" w:hAnsi="Times New Roman"/>
          <w:sz w:val="16"/>
          <w:szCs w:val="16"/>
          <w:color w:val="auto"/>
        </w:rPr>
        <w:t>We refer to the shares of Class A common stock and the pre-funded warrants issued in this offering, collectively, as the securities. This prospectus supplement also relates to the offering of the shares of Class A common stock issuable upon exercise of the pre-funded warrants sold in this offering.</w:t>
      </w:r>
    </w:p>
    <w:p>
      <w:pPr>
        <w:spacing w:after="0" w:line="164" w:lineRule="exact"/>
        <w:rPr>
          <w:sz w:val="24"/>
          <w:szCs w:val="24"/>
          <w:color w:val="auto"/>
        </w:rPr>
      </w:pPr>
    </w:p>
    <w:p>
      <w:pPr>
        <w:jc w:val="both"/>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Our Class A common stock is listed on the Nasdaq Global Market under the symbol “RANI.” On May 22, 2026, the last sale price of our Class A common stock on the Nasdaq Global Market was $1.07 per share. There is no established public trading market for the pre-funded warrants, and we do not expect a market to develop. In addition, we do not intend to apply for the listing of the pre-funded warrants on any national securities exchange. Without an active trading market, the liquidity of the pre-funded warrants will be limited.</w:t>
      </w:r>
    </w:p>
    <w:p>
      <w:pPr>
        <w:spacing w:after="0" w:line="183" w:lineRule="exact"/>
        <w:rPr>
          <w:sz w:val="24"/>
          <w:szCs w:val="24"/>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6"/>
          <w:szCs w:val="16"/>
          <w:color w:val="auto"/>
        </w:rPr>
        <w:t>We engaged H.C. Wainwright &amp; Co., LLC to act as our lead placement agent and Chardan Capital Markets LLC to act as our placement agent, or the Placement Agents, in connection with this offering. The Placement Agents are not purchasing the securities offered by us in this offering and are not required to arrange the purchase or sale of any specific number or dollar amount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We are an emerging growth company and a smaller reporting company as defined under the U.S. federal securities laws and, as such, may elect to comply with certain reduced public company reporting requirements for this and future filings. See the section titled “Prospectus Supplement Summary— 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20"/>
          <w:szCs w:val="20"/>
          <w:b w:val="1"/>
          <w:bCs w:val="1"/>
          <w:color w:val="auto"/>
        </w:rPr>
        <w:t>Investing in our securities involves risks. See the section titled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S-9 of this prospectus supplement and the documents incorporated by reference into this prospectus supplement.</w:t>
      </w:r>
    </w:p>
    <w:p>
      <w:pPr>
        <w:spacing w:after="0" w:line="16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Per</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price</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19,999,380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Placement Agent fees</w:t>
            </w:r>
            <w:r>
              <w:rPr>
                <w:rFonts w:ascii="Times New Roman" w:cs="Times New Roman" w:eastAsia="Times New Roman" w:hAnsi="Times New Roman"/>
                <w:sz w:val="23"/>
                <w:szCs w:val="23"/>
                <w:color w:val="auto"/>
                <w:vertAlign w:val="superscript"/>
              </w:rPr>
              <w:t>(1)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0.0642</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0.0642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Proceeds, to us, before expenses</w:t>
            </w:r>
            <w:r>
              <w:rPr>
                <w:rFonts w:ascii="Times New Roman" w:cs="Times New Roman" w:eastAsia="Times New Roman" w:hAnsi="Times New Roman"/>
                <w:sz w:val="23"/>
                <w:szCs w:val="23"/>
                <w:color w:val="auto"/>
                <w:vertAlign w:val="superscript"/>
              </w:rPr>
              <w:t>(2)</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18,799,380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9"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“Plan of Distribution” for additional disclosure regarding the Placement Agent fees.</w:t>
      </w:r>
    </w:p>
    <w:p>
      <w:pPr>
        <w:spacing w:after="0" w:line="26"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summary of offering proceeds does not give effect to any proceeds from the exercise of the pre-funded warrants being issued in this offering.</w:t>
      </w:r>
    </w:p>
    <w:p>
      <w:pPr>
        <w:spacing w:after="0" w:line="225" w:lineRule="exact"/>
        <w:rPr>
          <w:sz w:val="24"/>
          <w:szCs w:val="24"/>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We expect to deliver the securities against payment therefor on or about May 27, 2026.</w:t>
      </w:r>
    </w:p>
    <w:p>
      <w:pPr>
        <w:spacing w:after="0" w:line="3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Lead Placement Agent</w:t>
      </w:r>
    </w:p>
    <w:p>
      <w:pPr>
        <w:spacing w:after="0" w:line="1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ectPr>
          <w:pgSz w:w="11900" w:h="16838" w:orient="portrait"/>
          <w:cols w:equalWidth="0" w:num="1">
            <w:col w:w="11140"/>
          </w:cols>
          <w:pgMar w:left="320" w:top="225" w:right="439" w:bottom="0" w:gutter="0" w:footer="0" w:header="0"/>
        </w:sectPr>
      </w:pPr>
    </w:p>
    <w:p>
      <w:pPr>
        <w:spacing w:after="0" w:line="3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Placement Agent</w:t>
      </w:r>
    </w:p>
    <w:p>
      <w:pPr>
        <w:sectPr>
          <w:pgSz w:w="11900" w:h="16838" w:orient="portrait"/>
          <w:cols w:equalWidth="0" w:num="1">
            <w:col w:w="11140"/>
          </w:cols>
          <w:pgMar w:left="320" w:top="225" w:right="4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236855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May 26, 2026.</w:t>
      </w:r>
    </w:p>
    <w:p>
      <w:pPr>
        <w:sectPr>
          <w:pgSz w:w="11900" w:h="16838" w:orient="portrait"/>
          <w:cols w:equalWidth="0" w:num="1">
            <w:col w:w="9019"/>
          </w:cols>
          <w:pgMar w:left="1440" w:top="10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4920" w:type="dxa"/>
            <w:vAlign w:val="bottom"/>
            <w:gridSpan w:val="6"/>
          </w:tcPr>
          <w:p>
            <w:pPr>
              <w:spacing w:after="0"/>
              <w:rPr>
                <w:sz w:val="16"/>
                <w:szCs w:val="16"/>
                <w:color w:val="auto"/>
              </w:rPr>
            </w:pP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3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80" w:type="dxa"/>
            <w:vAlign w:val="bottom"/>
            <w:gridSpan w:val="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780" w:type="dxa"/>
            <w:vAlign w:val="bottom"/>
            <w:gridSpan w:val="15"/>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500" w:type="dxa"/>
            <w:vAlign w:val="bottom"/>
            <w:gridSpan w:val="18"/>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200" w:type="dxa"/>
            <w:vAlign w:val="bottom"/>
            <w:gridSpan w:val="4"/>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4"/>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4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60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3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140" w:type="dxa"/>
            <w:vAlign w:val="bottom"/>
            <w:gridSpan w:val="1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8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04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320" w:type="dxa"/>
            <w:vAlign w:val="bottom"/>
            <w:gridSpan w:val="8"/>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880" w:type="dxa"/>
            <w:vAlign w:val="bottom"/>
            <w:gridSpan w:val="11"/>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340" w:type="dxa"/>
            <w:vAlign w:val="bottom"/>
            <w:gridSpan w:val="9"/>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320" w:type="dxa"/>
            <w:vAlign w:val="bottom"/>
            <w:gridSpan w:val="14"/>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4400" w:type="dxa"/>
            <w:vAlign w:val="bottom"/>
            <w:gridSpan w:val="17"/>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1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a part of a registration statement on Form S-3 that we filed with the Securities and Exchange Commission, or SEC, utilizing a “shelf” registration process. The prospectus supplement describes the specific terms of this offering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difference between the information contained in this prospectus supplement and the information contained in the accompanying prospectus or any document incorporated by reference, you should rely on the information in this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when we refer to the prospectus, we are referring to this prospectus supplement and the accompanying prospectus combined.</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make any representations other than those contained in or incorporated by reference in this prospectus supplement and the accompanying prospectus.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“Where You Can Find More Information” and “Incorporation of Certain Information by Reference.”</w:t>
      </w:r>
    </w:p>
    <w:p>
      <w:pPr>
        <w:spacing w:after="0" w:line="18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we use the terms “Rani,” “Company,” “we,” “us” and “our” in this prospectus supplement and the accompanying prospectus to refer to Rani Therapeutics Holdings, Inc., or Rani Holdings, together with its subsidiary, Rani Therapeutics, LLC, or Rani LLC.</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on page S-9 and in the documents incorporated by reference and our consolidated and condensed financial statements and the related notes incorporated by reference in this prospectus supplement and the accompanying prospectus, before deciding to invest in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Our technology comprises a drug-agnostic oral delivery platform, the RaniPill capsule, which is designed to deliver a wide variety of drug substances, including antibodies, proteins, peptides, and oligonucleotides. We are advancing a portfolio of oral therapeutics using the RaniPill capsule and we are actively pursuing partnering the technology with third party biopharmaceutical companies for the oral delivery of their biologics and drugs.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multiple different antibodies and peptides. In December 2025, we initiated a Phase 1 clinical trial with the RT-114, a RaniPill HC capsule, containing a bispecific GLP-1/GLP-2 receptor agonist (PG-102) in collaboration with ProGen.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RaniPill capsule technology could enable us to deliver most biologics currently on the market with convenient, oral dosing.</w:t>
      </w:r>
    </w:p>
    <w:p>
      <w:pPr>
        <w:spacing w:after="0" w:line="225"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our Class A common stock, to facilitate certain organizational transactions, and to operate the business of Rani LLC.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conducts all of Rani LLC’s business.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44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one vote per share on all matters presented to our stockholders, (iii) Class C common stock, which has no voting rights, except as otherwise required by law and (iv) preferred stock.</w:t>
      </w:r>
    </w:p>
    <w:p>
      <w:pPr>
        <w:spacing w:after="0" w:line="85" w:lineRule="exact"/>
        <w:rPr>
          <w:rFonts w:ascii="Times New Roman" w:cs="Times New Roman" w:eastAsia="Times New Roman" w:hAnsi="Times New Roman"/>
          <w:sz w:val="18"/>
          <w:szCs w:val="18"/>
          <w:color w:val="auto"/>
        </w:rPr>
      </w:pPr>
    </w:p>
    <w:p>
      <w:pPr>
        <w:jc w:val="both"/>
        <w:ind w:left="1240" w:right="520" w:hanging="415"/>
        <w:spacing w:after="0" w:line="312"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45" w:lineRule="exact"/>
        <w:rPr>
          <w:rFonts w:ascii="Times New Roman" w:cs="Times New Roman" w:eastAsia="Times New Roman" w:hAnsi="Times New Roman"/>
          <w:sz w:val="17"/>
          <w:szCs w:val="17"/>
          <w:color w:val="auto"/>
        </w:rPr>
      </w:pPr>
    </w:p>
    <w:p>
      <w:pPr>
        <w:ind w:left="1240" w:right="20" w:hanging="415"/>
        <w:spacing w:after="0" w:line="274"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our Class A common stock on a one-for-one basis provided that, at our election, we may effect a direct exchange of such Class A common stock or make a cash payment equal to a volume-weighted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78"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with certain of the Continuing LLC Owners.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titled “Risk Factors” in this prospectus supplement. Some of the principal risks related to our business include the following:</w:t>
      </w:r>
    </w:p>
    <w:p>
      <w:pPr>
        <w:spacing w:after="0" w:line="81" w:lineRule="exact"/>
        <w:rPr>
          <w:sz w:val="20"/>
          <w:szCs w:val="20"/>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meet the requirements for continued listing on The Nasdaq Global Market. If we fail to meet the requirements for continued listing on The Nasdaq Global Market, trading in our common stock could be suspended and our common stock delisted from Nasdaq, which would have a negative effect on the price of our common stock and our ability to raise additional capital.</w:t>
      </w:r>
    </w:p>
    <w:p>
      <w:pPr>
        <w:spacing w:after="0" w:line="81" w:lineRule="exact"/>
        <w:rPr>
          <w:rFonts w:ascii="Times New Roman" w:cs="Times New Roman" w:eastAsia="Times New Roman" w:hAnsi="Times New Roman"/>
          <w:sz w:val="18"/>
          <w:szCs w:val="18"/>
          <w:color w:val="auto"/>
        </w:rPr>
      </w:pPr>
    </w:p>
    <w:p>
      <w:pPr>
        <w:jc w:val="both"/>
        <w:ind w:left="1240" w:right="80" w:hanging="415"/>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45" w:lineRule="exact"/>
        <w:rPr>
          <w:rFonts w:ascii="Times New Roman" w:cs="Times New Roman" w:eastAsia="Times New Roman" w:hAnsi="Times New Roman"/>
          <w:sz w:val="17"/>
          <w:szCs w:val="17"/>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license agreement with Chugai Pharmaceutical Co., Ltd. may not be successful, and we may not realize the anticipated benefits of the collaboration.</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01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conducted limited early clinical development, have not submitted an investigational new drug application to the U.S. Food and Drug Administration, or FDA, and we have never conducted later-stage clinical trials or submitted a Biologics License Application, or BLA, or New Drug Application and may be unable to do so for any of our product candidates.</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 with ProGen Co., Ltd. includes certain restrictions and obligations that may limit our flexibility in developing and commercializing RT-114 or require us to bear costs we otherwise would not incur or did not expect to incur.</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85"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leverage our prior interactions with FDA regarding a regulatory pathway for current or future product candidates.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build and maintain our intellectual property portfolio.</w:t>
      </w:r>
    </w:p>
    <w:p>
      <w:pPr>
        <w:spacing w:after="0" w:line="130"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and dividends. Rani LLC’s ability to make such distributions may be subject to various limitations and restrictions.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467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346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760" w:hanging="415"/>
        <w:spacing w:after="0" w:line="28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3"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“Rani,” “Rani Therapeutics,” “RaniPill,” the Rani Therapeutics logo, the R logo and other trademarks or service marks of Rani appearing in this prospectus supplement are the property of Rani LLC.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a result, the information that we provide to our stockholders may be different than what you might receive from other public reporting companies in which you hold equity interests.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6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7"/>
          <w:szCs w:val="17"/>
          <w:color w:val="auto"/>
        </w:rPr>
        <w:t>12,476,637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 offered by us</w:t>
      </w:r>
      <w:r>
        <w:rPr>
          <w:sz w:val="20"/>
          <w:szCs w:val="20"/>
          <w:color w:val="auto"/>
        </w:rPr>
        <w:tab/>
      </w:r>
      <w:r>
        <w:rPr>
          <w:rFonts w:ascii="Times New Roman" w:cs="Times New Roman" w:eastAsia="Times New Roman" w:hAnsi="Times New Roman"/>
          <w:sz w:val="17"/>
          <w:szCs w:val="17"/>
          <w:color w:val="auto"/>
        </w:rPr>
        <w:t>We are also offering pre-funded warrants to purchase 6,214,953 shares of Class A common</w:t>
      </w:r>
    </w:p>
    <w:p>
      <w:pPr>
        <w:spacing w:after="0" w:line="31"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stock, in lieu of shares of Class A common stock. Each pre-funded warrant is exercisable for one share of our Class A common stock. The purchase price of each pre-funded warrant is equal to the price at which a share of Class A common stock is being sold in this offering, minus $0.0001 per share, and the exercise price of each pre-funded warrant is $0.0001 per share. The pre-funded warrants are exercisable immediately and may be exercised at any time until all of the pre-funded warrants are exercised in full. This offering also relates to the shares of Class A common stock issuable upon exercise of any pre-funded warrants sold in this offering. For additional information regarding the pre-funded warrants, see the section titled “Description of Securities We Are Offering—Pre-Funded Warrants” below.</w:t>
      </w:r>
    </w:p>
    <w:p>
      <w:pPr>
        <w:sectPr>
          <w:pgSz w:w="11900" w:h="16838" w:orient="portrait"/>
          <w:cols w:equalWidth="0" w:num="1">
            <w:col w:w="10920"/>
          </w:cols>
          <w:pgMar w:left="320" w:top="455" w:right="659" w:bottom="1440" w:gutter="0" w:footer="0" w:header="0"/>
        </w:sectPr>
      </w:pPr>
    </w:p>
    <w:p>
      <w:pPr>
        <w:spacing w:after="0" w:line="216"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137,383,705 shares, giving effect to the Assumed Redemption (as defined below) and assuming no exercise of any pre-funded warrants issued in this offering. Assuming all the pre-funded warrants were immediately exercised, there would be 143,598,658 shares of Class A common stock outstanding after this offering. For additional information regarding the Assumed Redemption, see the section titled “Dilution” below.</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6" w:lineRule="exact"/>
        <w:rPr>
          <w:sz w:val="20"/>
          <w:szCs w:val="20"/>
          <w:color w:val="auto"/>
        </w:rPr>
      </w:pPr>
    </w:p>
    <w:p>
      <w:pPr>
        <w:ind w:left="380" w:right="6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B common stock to be outstanding immediately after this offering</w:t>
      </w:r>
    </w:p>
    <w:p>
      <w:pPr>
        <w:spacing w:after="0" w:line="172" w:lineRule="exact"/>
        <w:rPr>
          <w:sz w:val="20"/>
          <w:szCs w:val="20"/>
          <w:color w:val="auto"/>
        </w:rPr>
      </w:pPr>
    </w:p>
    <w:p>
      <w:pPr>
        <w:ind w:left="380" w:right="6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C common stock to be outstanding immediately after this offering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23,970,359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share of Class A common stock entitles its holder to one vote per share, and each share of Class B common stock entitles its holder to one vote per share. Holders of our Class C common stock have no voting rights, except as otherwise required by law. Holders of our Class A common stock and Class B common stock vote together as a single class on all matters presented to stockholders for their vote or approval, except as otherwise required by law. See the section titled “Description of Capital Stock.”</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Rani LLC Agreement require that we at all times maintain a ratio of one</w:t>
      </w:r>
    </w:p>
    <w:p>
      <w:pPr>
        <w:spacing w:after="0" w:line="202" w:lineRule="exact"/>
        <w:rPr>
          <w:sz w:val="20"/>
          <w:szCs w:val="20"/>
          <w:color w:val="auto"/>
        </w:rPr>
      </w:pPr>
    </w:p>
    <w:p>
      <w:pPr>
        <w:sectPr>
          <w:pgSz w:w="11900" w:h="16838" w:orient="portrait"/>
          <w:cols w:equalWidth="0" w:num="2">
            <w:col w:w="4020" w:space="320"/>
            <w:col w:w="6580"/>
          </w:cols>
          <w:pgMar w:left="320" w:top="455" w:right="659" w:bottom="1440" w:gutter="0" w:footer="0" w:header="0"/>
          <w:type w:val="continuous"/>
        </w:sectPr>
      </w:pP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920"/>
          </w:cols>
          <w:pgMar w:left="320" w:top="455" w:right="6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55" w:lineRule="auto"/>
        <w:rPr>
          <w:sz w:val="20"/>
          <w:szCs w:val="20"/>
          <w:color w:val="auto"/>
        </w:rPr>
      </w:pPr>
      <w:r>
        <w:rPr>
          <w:rFonts w:ascii="Times New Roman" w:cs="Times New Roman" w:eastAsia="Times New Roman" w:hAnsi="Times New Roman"/>
          <w:sz w:val="18"/>
          <w:szCs w:val="18"/>
          <w:color w:val="auto"/>
        </w:rPr>
        <w:t>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ectPr>
          <w:pgSz w:w="11900" w:h="16838" w:orient="portrait"/>
          <w:cols w:equalWidth="0" w:num="1">
            <w:col w:w="10920"/>
          </w:cols>
          <w:pgMar w:left="320" w:top="455" w:right="65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estimate net proceeds from this offering will be approximately $18.4 million, after deducting Placement Agent fees and estimated offering expenses payable by us, and excluding the proceeds, if any, from the exercise of the pre-funded warrants issued in this offering.</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 w:lineRule="exact"/>
        <w:rPr>
          <w:sz w:val="20"/>
          <w:szCs w:val="20"/>
          <w:color w:val="auto"/>
        </w:rPr>
      </w:pPr>
    </w:p>
    <w:p>
      <w:pPr>
        <w:ind w:left="4340" w:right="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 issued LLC Interests from Rani LLC.</w:t>
      </w:r>
    </w:p>
    <w:p>
      <w:pPr>
        <w:spacing w:after="0" w:line="189" w:lineRule="exact"/>
        <w:rPr>
          <w:sz w:val="20"/>
          <w:szCs w:val="20"/>
          <w:color w:val="auto"/>
        </w:rPr>
      </w:pPr>
    </w:p>
    <w:p>
      <w:pPr>
        <w:ind w:left="4340" w:right="20"/>
        <w:spacing w:after="0" w:line="266" w:lineRule="auto"/>
        <w:rPr>
          <w:sz w:val="20"/>
          <w:szCs w:val="20"/>
          <w:color w:val="auto"/>
        </w:rPr>
      </w:pPr>
      <w:r>
        <w:rPr>
          <w:rFonts w:ascii="Times New Roman" w:cs="Times New Roman" w:eastAsia="Times New Roman" w:hAnsi="Times New Roman"/>
          <w:sz w:val="18"/>
          <w:szCs w:val="18"/>
          <w:color w:val="auto"/>
        </w:rPr>
        <w:t>We intend to cause Rani LLC to use the net proceeds from this offering for working capital and other general corporate purposes, which may include the acquisition or licensing of other products, businesses or technologies.</w:t>
      </w:r>
    </w:p>
    <w:p>
      <w:pPr>
        <w:spacing w:after="0" w:line="203" w:lineRule="exact"/>
        <w:rPr>
          <w:sz w:val="20"/>
          <w:szCs w:val="20"/>
          <w:color w:val="auto"/>
        </w:rPr>
      </w:pPr>
    </w:p>
    <w:p>
      <w:pPr>
        <w:ind w:left="4340" w:right="240"/>
        <w:spacing w:after="0" w:line="282" w:lineRule="auto"/>
        <w:rPr>
          <w:sz w:val="20"/>
          <w:szCs w:val="20"/>
          <w:color w:val="auto"/>
        </w:rPr>
      </w:pPr>
      <w:r>
        <w:rPr>
          <w:rFonts w:ascii="Times New Roman" w:cs="Times New Roman" w:eastAsia="Times New Roman" w:hAnsi="Times New Roman"/>
          <w:sz w:val="18"/>
          <w:szCs w:val="18"/>
          <w:color w:val="auto"/>
        </w:rPr>
        <w:t>See the section titled “Use of Proceeds” for a more complete description of the intended use of proceeds from this offering.</w:t>
      </w:r>
    </w:p>
    <w:p>
      <w:pPr>
        <w:sectPr>
          <w:pgSz w:w="11900" w:h="16838" w:orient="portrait"/>
          <w:cols w:equalWidth="0" w:num="1">
            <w:col w:w="10920"/>
          </w:cols>
          <w:pgMar w:left="320" w:top="455" w:right="659" w:bottom="1440" w:gutter="0" w:footer="0" w:header="0"/>
          <w:type w:val="continuous"/>
        </w:sectPr>
      </w:pP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See the section titled “Risk Factors” and other information included and incorporated by reference in this prospectus supplement and the accompanying prospectus for a discussion of factors that you should carefully consider before deciding to invest in our securities.</w:t>
      </w:r>
    </w:p>
    <w:p>
      <w:pPr>
        <w:spacing w:after="0" w:line="1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“RANI.” We do not intend to list the pre-funded warrants on the Nasdaq Global Market or any other national securities exchange or nationally recognized trading system.</w:t>
      </w:r>
    </w:p>
    <w:p>
      <w:pPr>
        <w:spacing w:after="0" w:line="162"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(i) 99,812,515 shares of Class A common stock outstanding as of March 31, 2026, (ii) 23,970,359 shares of our Class A common stock issuable to Continuing LLC Owners who hold our Class B common stock and (iii) 1,124,194 shares of our Class A common stock issuable to Continuing LLC Owners who do not hold corresponding shares of our Class B common stock, in each case after giving effect to the Assumed Redemption, and excludes:</w:t>
      </w:r>
    </w:p>
    <w:p>
      <w:pPr>
        <w:spacing w:after="0" w:line="85" w:lineRule="exact"/>
        <w:rPr>
          <w:sz w:val="20"/>
          <w:szCs w:val="20"/>
          <w:color w:val="auto"/>
        </w:rPr>
      </w:pPr>
    </w:p>
    <w:p>
      <w:pPr>
        <w:ind w:left="1240" w:right="3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12,730,325 shares of Class A common stock issuable upon the exercise of outstanding stock options as of March 31, 2026, with a weighted-average exercise price of $4.01 per share;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25,094,553 shares of Class A common stock issuable upon the exchange or redemption of outstanding LLC Interests as of March 31, 2026;</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225,313 shares of Class A common stock issuable upon the vesting of restricted stock units as of March 31, 2026;</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80,266,823 shares of Class A common stock issuable upon the exercise of outstanding pre-funded warrants as of March 31, 2026, with an exercise price of $0.0001 per share;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898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1898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5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131,569,362 shares of Class A common stock issuable upon the exercise of outstanding warrants as of March 31, 2026, with a weighted-average exercise price of $0.49 per share;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8,620,814 shares reserved for future issuance under our 2021 Equity Incentive Plan as of March 31, 2026,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528,306 shares of Class A common stock reserved for future issuance under our 2021 Employee Stock Purchase Plan as of March 31, 2026, as well as any automatic increases in the number of shares of Class A common stock reserved for future issuance under this plan.</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All the information in this prospectus supplement excludes the additional share issuances and shares reserved for future issuance subsequent to March 31, 2026, as set forth above, and further assumes no exercise of outstanding warrants, stock options or vesting of restricted units, no redemption of outstanding LLC Interests and no exercise of the pre-funded warrants offered and sold in this offering.</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840"/>
          </w:cols>
          <w:pgMar w:left="320" w:top="455" w:right="7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Annual Report on Form 10-K for the year ended December 31, 2025 and in our Quarterly Report on Form 10-Q for the three months ended March 31, 2026, as filed with the SEC, which are incorporated by reference in this prospectus supplement in their entirety, together with other information in this prospectus supplement, and the information and documents incorporated by reference in this prospectus supplement.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proceeds in ways that do not improve our business, financial condition or results of operations or enhance the value of our Class A common stock. The failure by our management to apply these funds effectively could result in financial losses that could harm our business, cause the price of our Class A common stock to decline and delay the development of our product candidates. Pending their use, we may invest the net proceeds from this offering in a manner that does not produce income or that loses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tangible net book value of their investment.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you purchase our Class A common stock (or pre-funded warrants in lieu thereof) in this offering, you will incur an immediate dilution of $0.68 in net tangible book value per share from the price you paid, based on the offering price of $1.07 per share of Class A common stock (or pre-funded warrant in lieu thereof). The exercise of the pre-funded warrants issued in this offering, the exercise of outstanding options or vesting of restricted units will result in further dilution. For a further description of the dilution that you will experience immediately after this offering, see the section titled “Dilution.”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any securities exchange or nationally recognized trading system, including the Nasdaq Global Market. Without an active market, the liquidity of the pre-funded warrants will be limited.</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Class A common stock.</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Class A common stock upon exercise of such pre-funded warrants, the holders will have no rights with respect to the shares of our Class A common stock underlying such pre-funded warrants, such as voting rights or the rights to receive dividends. Upon exercise of the pre-funded warrants, the holders will be entitled to exercise the rights of a Class A common stockholder only as to matters for which the record date occurs after the exercise.</w:t>
      </w:r>
    </w:p>
    <w:p>
      <w:pPr>
        <w:spacing w:after="0" w:line="284" w:lineRule="exact"/>
        <w:rPr>
          <w:sz w:val="20"/>
          <w:szCs w:val="20"/>
          <w:color w:val="auto"/>
        </w:rPr>
      </w:pPr>
    </w:p>
    <w:p>
      <w:pPr>
        <w:jc w:val="both"/>
        <w:ind w:left="12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or Nasdaq, and as a result our Class A common stock may be delisted. Delisting could adversely affect the liquidity of our Class A common stock and the market price of our Class A common stock could decrease, and our ability to obtain sufficient additional capital to fund our operations and to continue to operate as a going concern would be substantially impaired.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currently listed on the Nasdaq Global Market, which has minimum requirements that a company must meet in order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remain listed. These requirements include maintaining a minimum closing bid price of $1.00 per share, which closing bid price cannot fall below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per share for a period of more than 30 consecutive trading days, or the Bid Price Requirement. On May 11, 2026, we received a deficiency notice,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the Notice, from the Listing Qualifications Staff, or the Staff, of Nasdaq notifying us that, for the last 30 consecutive business days, the bid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Class A common stock had closed below $1.00 per share, thereby failing to satisfy the Bid Price Requirement set forth in the continued listing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Nasdaq Listing Rule 5450(a)(1). The Notice has no immediate effect on the listing of our Class A common stock on the Nasdaq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In accordance with Nasdaq Listing Rule 5810(c)(3)(A), we have 180 calendar days, or until November 9, 2026, to regain compliance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Bid Price Requirement by having shares of our Class A common stock maintain a minimum closing bid price of at least $1.00 per share for a minimum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10 consecutive trading days. In the event we do not regain compliance with the Bid Price Requirement prior to the expiration of the compliance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our Class A common stock may be subject to a delisting action by Nasdaq. Alternatively, we may be eligible for an additional 180-calendar day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compliance period if we elect to transfer to the Nasdaq Capital Market to take advantage of the additional compliance period offered on that market.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qualify, we will be required to meet the continued listing requirement for market value of publicly held shares and all other initial listing standards,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exception of the Bid Price Requirement, and will need to provide written notice of our intention to cure the deficiency during the second compliance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by effecting a reverse stock split if necessary. If we do not regain compliance within the compliance period(s), including any extensions that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granted by Nasdaq, then the common stock will be subject to delisting. We intend to monitor the closing bid price of our common stock and consider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available options to resolve the noncompliance with the Bid Price Requirement. There can be no assurance that we will be able to regain compliance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The Nasdaq Global Market’s continued listing requirements or that Nasdaq will grant us a further extension of time to regain compliance, if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reverse stock split may allow us to meet the Bid Price Requirement, but we cannot assure you that a reverse stock split will be approved by our stockholders or that any reverse stock split, if implemented, will be sufficient to enable us to maintain our Nasdaq listing. 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to continue to operate as a going concern would be substantially impaired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collaborators’, vendors’, suppliers’ and employees’ confidence in us and employee morale.</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supplement and the documents we have filed with the SEC that are incorporated by reference include, but are not limited to, statements about:</w:t>
      </w:r>
    </w:p>
    <w:p>
      <w:pPr>
        <w:spacing w:after="0" w:line="85" w:lineRule="exact"/>
        <w:rPr>
          <w:sz w:val="20"/>
          <w:szCs w:val="20"/>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partnerships and the expected potential benefits thereof, including our collaborations with Chugai Pharmaceutical Co., Ltd. and ProGen Co. Ltd.;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80"/>
          </w:cols>
          <w:pgMar w:left="320" w:top="455"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in our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Annual Report on Form 10-K for the year ended December 31, 2025 and our Quarterly Report on Form 10-Q for the three months ended March 31, 2026,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and accompanying prospectus, together with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securities in this offering of approximately $18.4 million, after deducting Placement Agent fees and estimated offering expenses payable by us, and excluding the proceeds, if any, from the exercise of the pre-funded warrants in this offering.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 issued LLC Interests from Rani LLC. We intend to cause Rani LLC to use the net proceeds from this offering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83"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in interest-bearing investment-grade securities or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the Continuing LLC Owners do not have any right to receive distributions from Rani Holdings in respect of their LLC Interests, we have presented dilution in pro forma net tangible book value per share assuming the Continuing LLC Owners had their LLC Interests redeemed or exchanged for newly issued shares of Class A common stock on a one-for-one basis (rather than for cash), and the cancellation for no consideration of all of their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investors. We have presented dilution in pro forma net tangible book value per share assuming the full exercise of the pre-funded warrants.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securities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Assumed Redemption.</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offering price per share of our Class A common stock (or pre-funded warrant in lieu thereof) and the pro forma as adjusted net tangible book value per share of our Class A common stock after this offering.</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March 31, 2026, was $35.5 million, or $0.28 per share. Pro forma net tangible book value per share is total tangible assets, less our total liabilities, divided by the number of outstanding shares of Class A common stock outstanding as of March 31, 2026, after giving effect to the Assumed Redemption.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After giving effect to the sale of 12,476,637 shares of our Class A common stock and pre-funded warrants to purchase up to 6,214,953 shares of our Class A common stock in this offering at the offering price of $1.07 per share and $1.0699 per pre-funded warrant, after deducting Placement Agent fees and estimated offering expenses payable by us, and excluding the proceeds and shares issuable, if any, from the exercise of the pre-funded warrants issued pursuant to this offering, our pro forma as adjusted net tangible book value as of March 31, 2026 would have been $54.0 million, or $0.39 per share of Class A common stock. This represents an immediate increase in pro forma as adjusted net tangible book value of $0.11 per share to our existing stockholders and immediate dilution of $0.68 per share to investors participating in this offering. The following table illustrates this dilution per share to investors participating in this offering:</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Class A common stock in this offering</w:t>
            </w:r>
          </w:p>
        </w:tc>
        <w:tc>
          <w:tcPr>
            <w:tcW w:w="1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2026</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of Class A common</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attributable to new investors</w:t>
            </w:r>
          </w:p>
        </w:tc>
        <w:tc>
          <w:tcPr>
            <w:tcW w:w="12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net tangible book value per share of Class A common stock after</w:t>
            </w:r>
          </w:p>
        </w:tc>
        <w:tc>
          <w:tcPr>
            <w:tcW w:w="3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1260" w:type="dxa"/>
            <w:vAlign w:val="bottom"/>
            <w:gridSpan w:val="3"/>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S-16</w:t>
            </w: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(i) 99,812,515 shares of Class A common stock outstanding as of March 31, 2026, (ii) 23,970,359 shares of our Class A common stock issuable to Continuing LLC Owners who hold our Class B common stock and (iii) 1,124,194 shares of our Class A common stock issuable to Continuing LLC Owners who do not hold corresponding shares of our Class B common stock, in each case after giving effect to the Assumed Redemption, and excludes:</w:t>
      </w:r>
    </w:p>
    <w:p>
      <w:pPr>
        <w:spacing w:after="0" w:line="85" w:lineRule="exact"/>
        <w:rPr>
          <w:sz w:val="20"/>
          <w:szCs w:val="20"/>
          <w:color w:val="auto"/>
        </w:rPr>
      </w:pPr>
    </w:p>
    <w:p>
      <w:pPr>
        <w:ind w:left="1080" w:right="7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12,730,325 shares of Class A common stock issuable upon the exercise of outstanding stock options as of March 31, 2026, with a weighted-average exercise price of $4.01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25,094,553 shares of Class A common stock issuable upon the exchange or redemption of outstanding LLC Interests as of March 31,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225,313 shares of Class A common stock issuable upon the vesting of restricted stock units as of March 31, 2026;</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80,266,823 shares of Class A common stock issuable upon the exercise of outstanding pre-funded warrants as of March 31, 2026, with an exercise price of $0.0001 per share;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131,569,362 shares of Class A common stock issuable upon the exercise of outstanding warrants as of March 31, 2026, with a weighted-average exercise price of $0.49 per share;</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8,620,814 shares reserved for future issuance under our 2021 Equity Incentive Plan as of March 31, 2026,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528,306 shares of Class A common stock reserved for future issuance under our 2021 Employee Stock Purchase Plan as of March 31, 2026, as well as any automatic increases in the number of shares of Class A common stock reserved for future issuance under this plan.</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options are exercised, restricted stock units vest and settle, new options or restricted stock units are issued under our equity incentive plans, outstanding LLC Interests are redeemed or exchanged or we issue additional shares of Class A common stock in the future, there will be further dilution to investors participating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description of the Class A common stock, par value $0.0001 per share (the “Class A common stock”) of Rani Therapeutics Holdings, Inc. (“Rani”, the “Company”, “we”, “our” or “us”) which is our only class of security registered under Section 12 of the Securities Exchange Act of 1934, as amended (the “Exchange Act”). The following also contains a description of our Class B common stock, par value $0.0001 per share of the Company (the “Class B common stock”), which is not registered pursuant to Section 12 of the Exchange Act but Class B common stockholders who are members of Rani Therapeutics, LLC (“Rani LLC”) have the right to exchange their membership interests of Rani LLC (the “LLC Interests”) (with automatic cancellation of an equal number of shares of Class B common stock) for shares of our Class A common stock. The description of the Class B common stock is necessary to understand the material terms of the Class A common stock. The following also contains a description of our Class C common stock, par value $0.0001 per share (the “Class C common stock”) and our preferred stock, par value $0.0001 per share (the “preferred stock”). As of the date of this prospectus supplement, there are no shares of Class C common stock and no shares of preferred stock outstanding. The description of the Class C common stock and the preferred stock is necessary to understand the terms of the Class A common stock as the issuance of Class C common stock or preferred stock could have an adverse impact on the market price of the Class A common stock.</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amended and restated certificate of incorporation, as currently in effect, as well as our amended and restated bylaws, as currently in effect, and the applicable provisions of the Delaware General Corporation Law (the “DGCL”). This information is qualified entirely by reference to the applicable provisions of our amended and restated certificate of incorporation, amended and restated bylaws, and the DGCL. Our amended and restated certificate of incorporation and amended and restated bylaws are filed as exhibits to our Annual Report on Form 10-K.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800,000,000 shares of Class A common stock, par value $0.0001, 40,000,000 shares of Class B common stock, par value $0.0001 per share, 20,000,000 shares of Class C common stock, par value $0.0001 per share and 20,000,000 shares of preferred stock, par value $0.0001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the affirmative vote of at least two-thirds (2/3) of the outstanding voting power of the outstanding shares of Class A common stock and Class B common stock, voting together as a single class.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Shares of Class B common stock will only be issued in the future to the extent necessary to maintain a one-to-one ratio between the number of LLC Interests held by our Class B common stockholders who are members of Rani LLC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(the “Rani LLC Agreement”), a copy of which is filed as an exhibit with the Securities and Exchange Commission.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of Class B common stock are entitled to cast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the affirmative vote of the holders of at least two-thirds (2/3) of the voting power of all then-outstanding shares of capital stock of the Company entitled to vote generally at an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while the board of directors is expressly empowered to adopt, amend or repeal the bylaws of the Company, any such action by stockholders will require the affirmative vote of the holders of at least two-thirds (2/3) of the voting power of the outstanding shares of Class A common stock and Class B common stock, voting together as a single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by a resolution adopted by a majority of our board of directors; (ii) by the chairperson of our board of directors; or (iii) by our Chief Executive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any action required or permitted to be taken by the stockholders must be effected at a duly called annual or special meeting of stockholders and may not be effected by written consent in lieu of a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and any appellate court therefrom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(as each may be amended from time to time); (iv) any action or proceeding seeking to interpret, apply, enforce, or determine the validity of our amended and restated certificate of incorporation or our amended and restated bylaws (as each may be amended from time to time, including any right, obligation, or remedy thereunder); (v) any action or proceeding as to which the DGCL confers jurisdiction to the Court of Chancery of the State of Delaware; and (vi) any action asserting a claim against us or any of our directors, officers, or other employees governed by the internal 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elected to be subject to and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spacing w:after="0" w:line="3" w:lineRule="exact"/>
        <w:rPr>
          <w:sz w:val="20"/>
          <w:szCs w:val="20"/>
          <w:color w:val="auto"/>
        </w:rPr>
      </w:pPr>
    </w:p>
    <w:p>
      <w:pPr>
        <w:ind w:left="120" w:right="20" w:hanging="4"/>
        <w:spacing w:after="0" w:line="252" w:lineRule="auto"/>
        <w:tabs>
          <w:tab w:leader="none" w:pos="3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are offering shares of our Class A common stock in this offering. See the section titled “Description of Capital Stock” for more information regarding our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pre-funded warrants offered hereby will have an exercise price of $0.0001 per share. The pre-funded warrants will be exercisable immediately upon the closing of this offering. The exercise price of the pre-funded warrants and the number of shares of Class A common stock issuable upon exercise of the pre-funded warrants are subject to appropriate adjustment in the event of stock dividends, stock splits, reorganizations or similar events affecting our Class A common stock. The pre-funded warrants will not expire until they are fully exercised.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4.99%, or 9.99% upon election of such holder, of the number of shares of Class A common stock outstanding immediately after giving effect to the exercise, which percentage may be changed at the holder’s election to a higher or lower percentage not in excess of 9.99%, provided that any increase will require 61 days’ prior notice to us subject to the terms of the pre-funded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may be exercised by delivery of the aggregate exercise price or by means of a cashless exercise, provided however, that 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pre-funded warrant may be transferred at the option of the holder upon surrender of the pre-funded warrant to us together with the appropriate instruments of transfer.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pre-funded warrants. Rather, the number of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common stock to be issued will, at our election, either be rounded up to the nearest whole number or we will pay a cash adjustment in respect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final fraction in an amount equal to such fraction multiplied by the exercise price.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shares of Class A common stock, the sale, transfer or other disposition of all or substantially all of our properties or assets, our consolidation or merger with or into another person, the acquisition of greater than 50% of our outstanding shares of Class A common stock, or any person or group becoming the beneficial owner of greater than 50% of the voting power of our common equity),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term of the pre-funded warrant may be amended or waived without the written consent of the holder of such pre-funded warrant.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engaged H.C. Wainwright &amp; Co., LLC, or Wainwright, to act as our lead placement agent and Chardan Capital Markets LLC to act as placement agent to solicit offers to purchase the securities offered by this prospectus supplement and the accompanying prospectus. The Placement Agents are not purchasing or selling any such securities, nor are they required to arrange for the purchase and sale of any specific number or dollar amount of such securities. Therefore, we may not sell all of the securities being offered. The terms of this offering were subject to market conditions and negotiations between us and the prospective investor. We have entered into a securities purchase agreement directly with the investors who have agreed to purchase our securities in this offering. We will only sell securities in this offering to such investors.</w:t>
      </w:r>
    </w:p>
    <w:p>
      <w:pPr>
        <w:spacing w:after="0" w:line="187"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May 27, 2026, subject to satisfaction of customary closing conditions.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 entity controlled by an associated person of Wainwright has agreed to purchase in this offering, on the same terms and conditions as the other investors, an aggregate of 369,159 shares of Class A common stock for a total purchase price of $395,000.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Agents a cash fee equal to 6.0% of the aggregate gross proceeds from the offering. The following table shows the per share and total cash fees we will pay to the Placement Agents in connection with the sale of our securities offered pursuant to this prospectus supplement and the accompanying prospectus, assuming the purchase of all of the securities offered hereby.</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3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26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$ 1.0700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1.0699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19,999,380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5"/>
                <w:szCs w:val="25"/>
                <w:color w:val="auto"/>
                <w:vertAlign w:val="superscript"/>
              </w:rPr>
              <w:t>(1)</w:t>
            </w:r>
          </w:p>
        </w:tc>
        <w:tc>
          <w:tcPr>
            <w:tcW w:w="2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w w:val="91"/>
              </w:rPr>
              <w:t>$ 0.0642</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0.0642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to us, before expenses</w:t>
            </w:r>
            <w:r>
              <w:rPr>
                <w:rFonts w:ascii="Times New Roman" w:cs="Times New Roman" w:eastAsia="Times New Roman" w:hAnsi="Times New Roman"/>
                <w:sz w:val="25"/>
                <w:szCs w:val="25"/>
                <w:color w:val="auto"/>
                <w:vertAlign w:val="superscript"/>
              </w:rPr>
              <w:t>(2)</w:t>
            </w:r>
          </w:p>
        </w:tc>
        <w:tc>
          <w:tcPr>
            <w:tcW w:w="23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w w:val="91"/>
              </w:rPr>
              <w:t>$ 1.0058</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1.0057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18,799,380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line="276" w:lineRule="auto"/>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cash fee of 6.0% of the aggregate gross proceeds of this offering. We have also agreed to reimburse Wainwright for up to $75,000 of certain of its accountable expenses and $15,950 for clearing fees. Wainwright has agreed to reimburse us for fees payable to our financial advisors.</w:t>
      </w:r>
    </w:p>
    <w:p>
      <w:pPr>
        <w:ind w:left="540" w:right="300" w:hanging="424"/>
        <w:spacing w:after="0" w:line="26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summary of offering proceeds does not give effect to any proceeds from the exercise of the pre-funded warrants being issued in this offering.</w:t>
      </w:r>
    </w:p>
    <w:p>
      <w:pPr>
        <w:spacing w:after="0" w:line="18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Canaccord Genuity LLC and Lake Street Capital Markets, LLC acted as independent financial advisors in connection with this offering for which we have agreed to pay cash fees of $120,000 and $60,000, respectively. Wainwright has agreed to reimburse us for these fees.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Wainwright a cash fee equal to 6.0% of the aggregate gross proceeds we receive in a future public or private offering or other equity and/or equity-linked financing, consummated during the six months following the closing of this offering, subject to certain exceptions, from investors Wainwright either introduced us to on a confidential basis or contacted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 of Similar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the date hereof until 90 days after the date of this prospectus supplement, or the restricted period, neither we nor our subsidiary shall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issue, enter into any agreement to issue, or announce the issuance 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proposed issuance of any shares of Class A common stock or common stock equivalents, or (ii) file or amend any registration statement or prospectus, other than as necessary to maintain the registration of the securities offered hereby.</w:t>
      </w:r>
    </w:p>
    <w:p>
      <w:pPr>
        <w:spacing w:after="0" w:line="16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foregoing restrictions shall not apply to the issuance of (i) shares of Class A common stock or options or restricted stock units to employees, officers or directors of the Company pursuant to any equity incentive plan or employee stock purchase plan duly adopted for such purpose by a majority of the non-employee members of our board of directors or a majority of the members of a committee of non-employee directors established for such purpose for services rendered to the Company, (ii) shares of Class A common stock upon the exercise, exchange or conversion of any securities issued pursuant to the securities purchase agreement or other securities exercisable or exchangeable for or convertible into shares of our Class A common stock outstanding on the date hereof, provided that such securities have not been amended since the date hereof to increase the number of such securities or to decrease the exercise price, exchange price or conversion price of such securities (other than in connection with stock splits or combinations) or to extend the term of such securities, or (iii) securities issued pursuant to acquisitions or strategic transactions approved by a majority of the disinterested directors of our board of directors and provided that such securities are issued as “restricted securities” (as defined in Rule 144 under the Securities Act) and carry no registration rights that require or permit the filing of any registration statement in connection therewith during the restricted period, and provided that any such issuance shall only be to a person which is, itself or through its subsidiaries, an operating company or an owner of an asset in a business synergistic with our business and shall provide us with additional benefits in addition to the investment of funds, but shall not include a transaction in which we are issuing securities primarily for the purpose of raising capital or to an entity whose primary business is investing in securities (unless such entity is a subsidiary or affiliate of an operating company or an owner of an asset in a business synergistic with our business).</w:t>
      </w:r>
    </w:p>
    <w:p>
      <w:pPr>
        <w:spacing w:after="0" w:line="18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agreed not to issue any securities that are subject to a price reset based on the trading prices of our Class A common stock or upon a specified or contingent event in the future, or to enter into any agreement to issue securities at a future determined price, in each case until nine months from the date of closing of this offering; provided, however, that the foregoing restriction shall not apply to the entry into and/or issuance of shares of Class A common stock in an “at the market” offering with Wainwright as sales agent.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Agents against certain liabilities, including liabilities under the Securities Act, and to contribute to payments that the Placement Agents may be required to make for these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officers, directors and certain of our stockholders have agreed, subject to certain exceptions, not to offer, issue, sell, contract to sell, encumber, grant any option for the sale of or otherwise dispose of any shares of our common stock or other securities convertible into or exercisable or exchangeable for our common stock for a period of 60 days after the date of this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Placement Agents may be deemed to be underwriters within the meaning of Section 2(a)(11) of the Securities Act, and any commissions received by them and any profit realized on the resale of the securities sold by them while acting as principal might be deemed to be underwriting discounts or commissions under the Securities Act. As underwriters, the placement agents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acting as principal. Under these rules and regulations, the Placement Agents (i) may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engage in any stabilization activity in connection with our securities and (ii) may not bid for or purchase any of our securities or attempt to induce any person to purchase any of our securities, other than as permitted under the Exchange Act, until they have completed their participation in the distribution.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Agents. In connection with the offering, the Placement Agents or selected dealers may distribute prospectuses electronically. No forms of electronic prospectus other than prospectuses that are printable as Adobe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PDF will be used in connection with this offering.</w:t>
      </w:r>
    </w:p>
    <w:p>
      <w:pPr>
        <w:spacing w:after="0" w:line="4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 Placement Agent’s website and any information contained in any other website maintained by a Placement Agent is not part of the prospectus supplement or the registration statement of which this prospectus supplement forms a part, has not been approved and/or endorsed by us or the Placement Agents in their capacity as Placement Agents and should not be relied upon by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Placement Agents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Agents and certain of their affiliates have, from time to time, performed, and may in the future perform, various commercial and investment banking and financial advisory services for us and our affiliates, for which they received or will receive customary fees and expenses. However, except as disclosed in this prospectus, we have no present arrangements with the Placement Agents for any further services. Wainwright acted as lead placement agent in connection with our October 2025 private placement, for which it received compensation.</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Agents or their affiliates have a lending relationship with us, they routinely hedge their credit exposure to us consistent with their customary risk management policies. The Placement Agents and their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Class A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and its telephone number is 1-800-937-5449. The transfer agent’s address is 55 Challenger Rd, Ridgefield Park, NJ 07660.</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issuance of the securities being sold in this offering. Ellenoff, Grossman &amp; Schole LLP, New York, New York, is representing the Placement Agents in connection with this offering.</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0840"/>
          </w:cols>
          <w:pgMar w:left="320" w:top="455" w:right="7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Rani Therapeutics Holdings, Inc. as of and for the year ended December 31, 2025, incorporated by reference in this prospectus supplement by reference to Rani Therapeutics Holdings, Inc.’s Annual Report on Form 10-K for the year ended December 31, 2025, have been audited by CBIZ CPAs P.C., an independent registered public accounting firm, as stated in their report.</w:t>
      </w:r>
    </w:p>
    <w:p>
      <w:pPr>
        <w:spacing w:after="0" w:line="176"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Rani Therapeutics Holdings, Inc. as of and for the year ended December 31, 2024, incorporated by reference in this prospectus supplement by reference to Rani Therapeutics Holdings, Inc.’s Annual Report on Form 10-K for the year ended December 31, 2025, have been audited by Marcum LLP, independent registered public accounting firm, as stated in their report. The audit report contains an explanatory paragraph describing conditions that raise substantial doubt about the Company’s ability to continue as a going concern as described in Note 1 to the 2024 consolidated financial statements.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consolidated financial statements are incorporated by reference in reliance upon the respective reports of CBIZ CPAs P.C. and Marcum LLP given their authority as experts in accounting and auditing.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40"/>
          </w:cols>
          <w:pgMar w:left="320" w:top="455"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9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57">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2026, filed with the SEC on </w:t>
      </w:r>
      <w:hyperlink r:id="rId58">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2025 from our Definitive Proxy Statement on Schedule 14A, filed with the SEC on </w:t>
      </w:r>
      <w:hyperlink r:id="rId59">
        <w:r>
          <w:rPr>
            <w:rFonts w:ascii="Times New Roman" w:cs="Times New Roman" w:eastAsia="Times New Roman" w:hAnsi="Times New Roman"/>
            <w:sz w:val="18"/>
            <w:szCs w:val="18"/>
            <w:u w:val="single" w:color="auto"/>
            <w:color w:val="0000EE"/>
          </w:rPr>
          <w:t>April 16, 2026</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0">
        <w:r>
          <w:rPr>
            <w:rFonts w:ascii="Times New Roman" w:cs="Times New Roman" w:eastAsia="Times New Roman" w:hAnsi="Times New Roman"/>
            <w:sz w:val="18"/>
            <w:szCs w:val="18"/>
            <w:u w:val="single" w:color="auto"/>
            <w:color w:val="0000EE"/>
          </w:rPr>
          <w:t>January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w:t>
      </w:r>
      <w:hyperlink r:id="rId62">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2025 filed with the SEC on </w:t>
      </w:r>
      <w:hyperlink r:id="rId57">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457-3700 S-32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104775</wp:posOffset>
            </wp:positionV>
            <wp:extent cx="2177415" cy="1088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1774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ind w:left="120" w:right="20" w:firstLine="440"/>
        <w:spacing w:after="0"/>
        <w:rPr>
          <w:sz w:val="20"/>
          <w:szCs w:val="20"/>
          <w:color w:val="auto"/>
        </w:rPr>
      </w:pPr>
      <w:r>
        <w:rPr>
          <w:rFonts w:ascii="Times New Roman" w:cs="Times New Roman" w:eastAsia="Times New Roman" w:hAnsi="Times New Roman"/>
          <w:sz w:val="15"/>
          <w:szCs w:val="15"/>
          <w:color w:val="auto"/>
        </w:rPr>
        <w:t>From time to time, we may offer and sell up to an aggregate amount of $200,000,000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239" w:lineRule="exact"/>
        <w:rPr>
          <w:sz w:val="20"/>
          <w:szCs w:val="20"/>
          <w:color w:val="auto"/>
        </w:rPr>
      </w:pPr>
    </w:p>
    <w:p>
      <w:pPr>
        <w:ind w:left="120" w:right="60" w:firstLine="440"/>
        <w:spacing w:after="0" w:line="238" w:lineRule="auto"/>
        <w:rPr>
          <w:sz w:val="20"/>
          <w:szCs w:val="20"/>
          <w:color w:val="auto"/>
        </w:rPr>
      </w:pPr>
      <w:r>
        <w:rPr>
          <w:rFonts w:ascii="Times New Roman" w:cs="Times New Roman" w:eastAsia="Times New Roman" w:hAnsi="Times New Roman"/>
          <w:sz w:val="15"/>
          <w:szCs w:val="15"/>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2"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5"/>
          <w:szCs w:val="15"/>
          <w:color w:val="auto"/>
        </w:rPr>
        <w:t>Our Class A common stock is listed on the Nasdaq Global Market under the trading symbol “RANI.” On August 7, 2025, the last reported sale price of our Class A common stock was $0.53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70" w:lineRule="exact"/>
        <w:rPr>
          <w:sz w:val="20"/>
          <w:szCs w:val="20"/>
          <w:color w:val="auto"/>
        </w:rPr>
      </w:pPr>
    </w:p>
    <w:p>
      <w:pPr>
        <w:ind w:left="120" w:firstLine="440"/>
        <w:spacing w:after="0" w:line="232" w:lineRule="auto"/>
        <w:rPr>
          <w:sz w:val="20"/>
          <w:szCs w:val="20"/>
          <w:color w:val="auto"/>
        </w:rPr>
      </w:pPr>
      <w:r>
        <w:rPr>
          <w:rFonts w:ascii="Times New Roman" w:cs="Times New Roman" w:eastAsia="Times New Roman" w:hAnsi="Times New Roman"/>
          <w:sz w:val="15"/>
          <w:szCs w:val="15"/>
          <w:color w:val="auto"/>
        </w:rPr>
        <w:t>As of August 8, 2025, the aggregate market value of our outstanding Class A common stock held by non-affiliates, or public float, was approximately $32.9 million, based on 47,094,467 shares of outstanding Class A common stock held by non-affiliates, at a price of $0.698 per share, which was the last reported sale price of our Class A common stock on the Nasdaq Global Market on July 14, 2025. As of the date hereof, we have issued and sold $3.0 million of securities pursuant to General Instruction I.B.6 of Form S-3 during the 12 calendar months prior to and including the date of this prospectus. Accordingly, based on the foregoing, we are currently eligible under General Instruction I.B.6 of Form S-3 to offer and sell shares of our Class A common stock having an aggregate offering price of up to approximately $7.9 million. Pursuant to General Instruction I.B.6 of Form S-3, in no event will we sell securities registered on the registration statement of which this prospectus is a part in a public primary offering with a value exceeding more than one-third of our public float in any 12-month period so long as our public float remains below $75.0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3"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7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a sale of securities unless accompanied by a prospectus supplement.</w:t>
      </w:r>
    </w:p>
    <w:p>
      <w:pPr>
        <w:spacing w:after="0" w:line="102" w:lineRule="exact"/>
        <w:rPr>
          <w:sz w:val="20"/>
          <w:szCs w:val="20"/>
          <w:color w:val="auto"/>
        </w:rPr>
      </w:pPr>
    </w:p>
    <w:p>
      <w:pPr>
        <w:ind w:left="120" w:firstLine="440"/>
        <w:spacing w:after="0" w:line="235" w:lineRule="auto"/>
        <w:rPr>
          <w:sz w:val="20"/>
          <w:szCs w:val="20"/>
          <w:color w:val="auto"/>
        </w:rPr>
      </w:pPr>
      <w:r>
        <w:rPr>
          <w:rFonts w:ascii="Times New Roman" w:cs="Times New Roman" w:eastAsia="Times New Roman" w:hAnsi="Times New Roman"/>
          <w:sz w:val="15"/>
          <w:szCs w:val="15"/>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The date of this prospectus is August 14, 2025.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subsidiary, Rani Therapeutics, LLC,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2025. We believe, the RaniPill capsule technology could enable us to deliver most biologics currently on the market with convenient, oral dosing.</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 xml:space="preserve">are located at 2051 Ringwood Ave., San Jose, California 95131 and our telephone number is (408) 457-3700. Our corporate website address is </w:t>
      </w:r>
      <w:r>
        <w:rPr>
          <w:rFonts w:ascii="Times New Roman" w:cs="Times New Roman" w:eastAsia="Times New Roman" w:hAnsi="Times New Roman"/>
          <w:sz w:val="18"/>
          <w:szCs w:val="18"/>
          <w:i w:val="1"/>
          <w:iCs w:val="1"/>
          <w:color w:val="auto"/>
        </w:rPr>
        <w:t>www.ranitherapeutics.com</w:t>
      </w:r>
      <w:r>
        <w:rPr>
          <w:rFonts w:ascii="Times New Roman" w:cs="Times New Roman" w:eastAsia="Times New Roman" w:hAnsi="Times New Roman"/>
          <w:sz w:val="18"/>
          <w:szCs w:val="18"/>
          <w:color w:val="auto"/>
        </w:rPr>
        <w:t>. The contents of our website are not incorporated by reference herein, and any references to our website is intended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inactive textual references only.</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$200,000,000,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266"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jc w:val="right"/>
        <w:ind w:left="5580" w:right="5440" w:hanging="4924"/>
        <w:spacing w:after="0" w:line="367" w:lineRule="auto"/>
        <w:tabs>
          <w:tab w:leader="none" w:pos="108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fees, discounts and commissions to be paid to them; 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 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 – Common Stock.” We urge you, however, to read the applicable prospectus supplement (and any related free writing prospectus that we may authorize to be provided to you) related to any Class A common stock being offered.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existing operations and continue as a going concern;</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improve our liquidity and financial position in response to the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a certain Tax Receivable Agreement with certain of the Continuing LLC Owners and the impact of any payments required to be made thereunder on our liquidity and financial condition;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320" w:top="455" w:right="5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June 30, 2025,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 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97" w:lineRule="exact"/>
        <w:rPr>
          <w:sz w:val="20"/>
          <w:szCs w:val="20"/>
          <w:color w:val="auto"/>
        </w:rPr>
      </w:pPr>
    </w:p>
    <w:p>
      <w:pPr>
        <w:jc w:val="both"/>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our current or former directors, officers, or other employees to us or our stockholders;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governed by the internal affairs doctrine.</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w:t>
      </w:r>
    </w:p>
    <w:p>
      <w:pPr>
        <w:spacing w:after="0" w:line="89"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5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persons who are directors and also officers of such corporation and (B) by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Equinti Trust Company, LLC.</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455" w:right="5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21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20" w:top="455"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material relationship. In such case, we will describe in the prospectus supplement the name of the underwriter, dealer or agent and the nature of any such relationship.</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Marcum LLP, an independent registered public accounting firm, has audited our consolidated financial statements as of and for the year ended December 31, 2024, included in our Annual Report on Form 10-K for the year ended December 31, 2024, as set forth in their report, which is incorporated by reference in this prospectus and elsewhere in the registration statement. Our financial statements are incorporated by reference in reliance on Marcum LLP’s report, which includes an explanatory paragraph as to Rani Therapeutics Holdings, Inc.’s ability to continue as a going concern, given on their authority as experts in accounting and auditing.</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104">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auto"/>
          </w:rPr>
          <w:t xml:space="preserve">our Quarterly Reports on Form 10-Q for the quarterly periods ended March 31, 2025, and June 30, 2025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06">
        <w:r>
          <w:rPr>
            <w:rFonts w:ascii="Times New Roman" w:cs="Times New Roman" w:eastAsia="Times New Roman" w:hAnsi="Times New Roman"/>
            <w:sz w:val="18"/>
            <w:szCs w:val="18"/>
            <w:u w:val="single" w:color="auto"/>
            <w:color w:val="0000EE"/>
          </w:rPr>
          <w:t>August 7, 2025</w:t>
        </w:r>
      </w:hyperlink>
      <w:hyperlink r:id="rId105">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w:t>
      </w:r>
      <w:hyperlink r:id="rId10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16, 2025;</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April 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26, 2025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09">
        <w:r>
          <w:rPr>
            <w:rFonts w:ascii="Times New Roman" w:cs="Times New Roman" w:eastAsia="Times New Roman" w:hAnsi="Times New Roman"/>
            <w:sz w:val="18"/>
            <w:szCs w:val="18"/>
            <w:u w:val="single" w:color="auto"/>
            <w:color w:val="0000EE"/>
          </w:rPr>
          <w:t>July 16, 2025</w:t>
        </w:r>
      </w:hyperlink>
      <w:hyperlink r:id="rId108">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2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w:t>
      </w:r>
      <w:hyperlink r:id="rId11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2024 filed with the SEC on March 31, 2025.</w:t>
      </w:r>
    </w:p>
    <w:p>
      <w:pPr>
        <w:spacing w:after="0" w:line="162" w:lineRule="exact"/>
        <w:rPr>
          <w:rFonts w:ascii="Times New Roman" w:cs="Times New Roman" w:eastAsia="Times New Roman" w:hAnsi="Times New Roman"/>
          <w:sz w:val="18"/>
          <w:szCs w:val="18"/>
          <w:color w:val="0000EE"/>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738505</wp:posOffset>
            </wp:positionV>
            <wp:extent cx="1988820" cy="9944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988820" cy="9944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1420" w:right="299"/>
        <w:spacing w:after="0" w:line="287" w:lineRule="auto"/>
        <w:rPr>
          <w:sz w:val="20"/>
          <w:szCs w:val="20"/>
          <w:color w:val="auto"/>
        </w:rPr>
      </w:pPr>
      <w:r>
        <w:rPr>
          <w:rFonts w:ascii="Times New Roman" w:cs="Times New Roman" w:eastAsia="Times New Roman" w:hAnsi="Times New Roman"/>
          <w:sz w:val="25"/>
          <w:szCs w:val="25"/>
          <w:b w:val="1"/>
          <w:bCs w:val="1"/>
          <w:color w:val="auto"/>
        </w:rPr>
        <w:t>12,476,637 Shares of Class A Common Stock Pre-Funded Warrants to Purchase 6,214,953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807720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Lead Placement Agent</w:t>
      </w:r>
    </w:p>
    <w:p>
      <w:pPr>
        <w:spacing w:after="0" w:line="1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Placement Agent</w:t>
      </w:r>
    </w:p>
    <w:p>
      <w:pPr>
        <w:spacing w:after="0" w:line="1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307340</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2"/>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408"/>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jpe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57" Type="http://schemas.openxmlformats.org/officeDocument/2006/relationships/hyperlink" Target="http://www.sec.gov/ix?doc=/Archives/edgar/data/1856725/000119312526126417/rani-20251231.htm" TargetMode="External"/><Relationship Id="rId58" Type="http://schemas.openxmlformats.org/officeDocument/2006/relationships/hyperlink" Target="http://www.sec.gov/ix?doc=/Archives/edgar/data/1856725/000119312526226703/rani-20260331.htm" TargetMode="External"/><Relationship Id="rId59" Type="http://schemas.openxmlformats.org/officeDocument/2006/relationships/hyperlink" Target="http://www.sec.gov/ix?doc=/Archives/edgar/data/1856725/000114036126015157/ny20067253x1_def14a.htm" TargetMode="External"/><Relationship Id="rId60" Type="http://schemas.openxmlformats.org/officeDocument/2006/relationships/hyperlink" Target="http://www.sec.gov/ix?doc=/Archives/edgar/data/1856725/000119312526001098/d848686d8k.htm" TargetMode="External"/><Relationship Id="rId61" Type="http://schemas.openxmlformats.org/officeDocument/2006/relationships/hyperlink" Target="http://www.sec.gov/ix?doc=/Archives/edgar/data/1856725/000119312526226691/rani-20260511.htm" TargetMode="External"/><Relationship Id="rId62" Type="http://schemas.openxmlformats.org/officeDocument/2006/relationships/hyperlink" Target="http://www.sec.gov/Archives/edgar/data/1856725/000119312526126417/rani-ex4_2.htm" TargetMode="External"/><Relationship Id="rId104" Type="http://schemas.openxmlformats.org/officeDocument/2006/relationships/hyperlink" Target="http://www.sec.gov/ix?doc=/Archives/edgar/data/1856725/000095017025047740/rani-20241231.htm" TargetMode="External"/><Relationship Id="rId105" Type="http://schemas.openxmlformats.org/officeDocument/2006/relationships/hyperlink" Target="http://www.sec.gov/ix?doc=/Archives/edgar/data/1856725/000095017025070382/rani-20250331.htm" TargetMode="External"/><Relationship Id="rId106" Type="http://schemas.openxmlformats.org/officeDocument/2006/relationships/hyperlink" Target="http://www.sec.gov/ix?doc=/Archives/edgar/data/1856725/000095017025105045/rani-20250630.htm" TargetMode="External"/><Relationship Id="rId107" Type="http://schemas.openxmlformats.org/officeDocument/2006/relationships/hyperlink" Target="http://www.sec.gov/ix?doc=/Archives/edgar/data/1856725/000114036125014078/ny20044394x1_def14a.htm" TargetMode="External"/><Relationship Id="rId108" Type="http://schemas.openxmlformats.org/officeDocument/2006/relationships/hyperlink" Target="http://www.sec.gov/ix?doc=/Archives/edgar/data/1856725/000095017025090384/rani-20250620.htm" TargetMode="External"/><Relationship Id="rId109" Type="http://schemas.openxmlformats.org/officeDocument/2006/relationships/hyperlink" Target="http://www.sec.gov/ix?doc=/Archives/edgar/data/1856725/000119312525159793/d917538d8k.htm" TargetMode="External"/><Relationship Id="rId110" Type="http://schemas.openxmlformats.org/officeDocument/2006/relationships/hyperlink" Target="http://www.sec.gov/Archives/edgar/data/1856725/000095017022005088/ran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2026-05-27T05:13:24Z</dcterms:created>
  <dcterms:modified xsi:type="dcterms:W3CDTF">2026-05-27T05:13:24Z</dcterms:modified>
</cp:coreProperties>
</file>