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12/29/2022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12/29/2022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8,600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5.9662</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6,706,054</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12/30/2022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8,600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5.9828</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6,714,654</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$5.75 to $6.23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$5.80 to $6.20 per share, inclusive. The reporting persons undertake to provide the Issuer, any security holder of the Issuer, or the staff of the Securities and Exchange Commission, upon request, full information regarding the number of shares purchased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00"/>
          </w:cols>
          <w:pgMar w:left="500" w:top="125" w:right="5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60"/>
          </w:cols>
          <w:pgMar w:left="500" w:top="125"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2023-01-03T19:14:29Z</dcterms:created>
  <dcterms:modified xsi:type="dcterms:W3CDTF">2023-01-03T19:14:29Z</dcterms:modified>
</cp:coreProperties>
</file>