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8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Groen Eric</w:t>
              </w:r>
            </w:hyperlink>
          </w:p>
        </w:tc>
        <w:tc>
          <w:tcPr>
            <w:tcW w:w="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Rani Therapeutics Holdings,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RANI</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RANI THERAPEUTICS LLC</w:t>
            </w:r>
          </w:p>
        </w:tc>
        <w:tc>
          <w:tcPr>
            <w:tcW w:w="2980" w:type="dxa"/>
            <w:vAlign w:val="bottom"/>
            <w:gridSpan w:val="3"/>
          </w:tcPr>
          <w:p>
            <w:pPr>
              <w:ind w:left="160"/>
              <w:spacing w:after="0"/>
              <w:rPr>
                <w:sz w:val="20"/>
                <w:szCs w:val="20"/>
                <w:color w:val="auto"/>
              </w:rPr>
            </w:pPr>
            <w:r>
              <w:rPr>
                <w:rFonts w:ascii="Arial" w:cs="Arial" w:eastAsia="Arial" w:hAnsi="Arial"/>
                <w:sz w:val="17"/>
                <w:szCs w:val="17"/>
                <w:color w:val="0000FF"/>
              </w:rPr>
              <w:t>03/22/2023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JOSE</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95131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2,498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5.95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24,216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withheld by and surrendered to the Issuer on March 22, 2023, to satisfy tax withholding obligations that arose in connection with the vesting of the restricted stock units granted to Mr. Groen on March 22, 2022.</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2,214 shares acquired under the Issuer's 2021 Employee Stock Purchase Plan on December 1,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Eric Groen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03/24/2023</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8630"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2023-03-24T18:52:21Z</dcterms:created>
  <dcterms:modified xsi:type="dcterms:W3CDTF">2023-03-24T18:52:21Z</dcterms:modified>
</cp:coreProperties>
</file>