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ind w:left="4745"/>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ind w:left="4245"/>
        <w:spacing w:after="0"/>
        <w:rPr>
          <w:sz w:val="20"/>
          <w:szCs w:val="20"/>
          <w:color w:val="auto"/>
        </w:rPr>
      </w:pPr>
      <w:r>
        <w:rPr>
          <w:rFonts w:ascii="Arial" w:cs="Arial" w:eastAsia="Arial" w:hAnsi="Arial"/>
          <w:sz w:val="19"/>
          <w:szCs w:val="19"/>
          <w:b w:val="1"/>
          <w:bCs w:val="1"/>
          <w:color w:val="auto"/>
        </w:rPr>
        <w:t>Pursuant to Section 13 or 15(d) of</w:t>
      </w:r>
    </w:p>
    <w:p>
      <w:pPr>
        <w:ind w:left="4185"/>
        <w:spacing w:after="0"/>
        <w:rPr>
          <w:sz w:val="20"/>
          <w:szCs w:val="20"/>
          <w:color w:val="auto"/>
        </w:rPr>
      </w:pPr>
      <w:r>
        <w:rPr>
          <w:rFonts w:ascii="Arial" w:cs="Arial" w:eastAsia="Arial" w:hAnsi="Arial"/>
          <w:sz w:val="19"/>
          <w:szCs w:val="19"/>
          <w:b w:val="1"/>
          <w:bCs w:val="1"/>
          <w:color w:val="auto"/>
        </w:rPr>
        <w:t>the Securities Exchange Act of 1934</w:t>
      </w:r>
    </w:p>
    <w:p>
      <w:pPr>
        <w:spacing w:after="0" w:line="75"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September 07,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Rani Therapeutics Holdings, Inc.</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25" w:type="dxa"/>
        <w:tblCellMar>
          <w:top w:w="0" w:type="dxa"/>
          <w:left w:w="0" w:type="dxa"/>
          <w:bottom w:w="0" w:type="dxa"/>
          <w:right w:w="0" w:type="dxa"/>
        </w:tblCellMar>
      </w:tblPr>
      <w:tr>
        <w:trPr>
          <w:trHeight w:val="204"/>
        </w:trPr>
        <w:tc>
          <w:tcPr>
            <w:tcW w:w="2800" w:type="dxa"/>
            <w:vAlign w:val="bottom"/>
          </w:tcPr>
          <w:p>
            <w:pPr>
              <w:jc w:val="center"/>
              <w:ind w:right="771"/>
              <w:spacing w:after="0"/>
              <w:rPr>
                <w:sz w:val="20"/>
                <w:szCs w:val="20"/>
                <w:color w:val="auto"/>
              </w:rPr>
            </w:pPr>
            <w:r>
              <w:rPr>
                <w:rFonts w:ascii="Arial" w:cs="Arial" w:eastAsia="Arial" w:hAnsi="Arial"/>
                <w:sz w:val="16"/>
                <w:szCs w:val="16"/>
                <w:b w:val="1"/>
                <w:bCs w:val="1"/>
                <w:color w:val="auto"/>
                <w:w w:val="91"/>
              </w:rPr>
              <w:t>Delaware</w:t>
            </w:r>
          </w:p>
        </w:tc>
        <w:tc>
          <w:tcPr>
            <w:tcW w:w="3280" w:type="dxa"/>
            <w:vAlign w:val="bottom"/>
          </w:tcPr>
          <w:p>
            <w:pPr>
              <w:jc w:val="right"/>
              <w:ind w:right="1351"/>
              <w:spacing w:after="0"/>
              <w:rPr>
                <w:sz w:val="20"/>
                <w:szCs w:val="20"/>
                <w:color w:val="auto"/>
              </w:rPr>
            </w:pPr>
            <w:r>
              <w:rPr>
                <w:rFonts w:ascii="Arial" w:cs="Arial" w:eastAsia="Arial" w:hAnsi="Arial"/>
                <w:sz w:val="16"/>
                <w:szCs w:val="16"/>
                <w:b w:val="1"/>
                <w:bCs w:val="1"/>
                <w:color w:val="auto"/>
              </w:rPr>
              <w:t>001-40672</w:t>
            </w:r>
          </w:p>
        </w:tc>
        <w:tc>
          <w:tcPr>
            <w:tcW w:w="2020" w:type="dxa"/>
            <w:vAlign w:val="bottom"/>
          </w:tcPr>
          <w:p>
            <w:pPr>
              <w:jc w:val="right"/>
              <w:ind w:right="33"/>
              <w:spacing w:after="0"/>
              <w:rPr>
                <w:sz w:val="20"/>
                <w:szCs w:val="20"/>
                <w:color w:val="auto"/>
              </w:rPr>
            </w:pPr>
            <w:r>
              <w:rPr>
                <w:rFonts w:ascii="Arial" w:cs="Arial" w:eastAsia="Arial" w:hAnsi="Arial"/>
                <w:sz w:val="16"/>
                <w:szCs w:val="16"/>
                <w:b w:val="1"/>
                <w:bCs w:val="1"/>
                <w:color w:val="auto"/>
              </w:rPr>
              <w:t>86-3114789</w:t>
            </w:r>
          </w:p>
        </w:tc>
      </w:tr>
      <w:tr>
        <w:trPr>
          <w:trHeight w:val="132"/>
        </w:trPr>
        <w:tc>
          <w:tcPr>
            <w:tcW w:w="2800" w:type="dxa"/>
            <w:vAlign w:val="bottom"/>
          </w:tcPr>
          <w:p>
            <w:pPr>
              <w:jc w:val="center"/>
              <w:ind w:right="751"/>
              <w:spacing w:after="0" w:line="133" w:lineRule="exact"/>
              <w:rPr>
                <w:sz w:val="20"/>
                <w:szCs w:val="20"/>
                <w:color w:val="auto"/>
              </w:rPr>
            </w:pPr>
            <w:r>
              <w:rPr>
                <w:rFonts w:ascii="Arial" w:cs="Arial" w:eastAsia="Arial" w:hAnsi="Arial"/>
                <w:sz w:val="12"/>
                <w:szCs w:val="12"/>
                <w:b w:val="1"/>
                <w:bCs w:val="1"/>
                <w:color w:val="auto"/>
                <w:w w:val="89"/>
              </w:rPr>
              <w:t>(State or other jurisdiction</w:t>
            </w:r>
          </w:p>
        </w:tc>
        <w:tc>
          <w:tcPr>
            <w:tcW w:w="3280" w:type="dxa"/>
            <w:vAlign w:val="bottom"/>
          </w:tcPr>
          <w:p>
            <w:pPr>
              <w:jc w:val="center"/>
              <w:ind w:right="191"/>
              <w:spacing w:after="0" w:line="133" w:lineRule="exact"/>
              <w:rPr>
                <w:sz w:val="20"/>
                <w:szCs w:val="20"/>
                <w:color w:val="auto"/>
              </w:rPr>
            </w:pPr>
            <w:r>
              <w:rPr>
                <w:rFonts w:ascii="Arial" w:cs="Arial" w:eastAsia="Arial" w:hAnsi="Arial"/>
                <w:sz w:val="12"/>
                <w:szCs w:val="12"/>
                <w:b w:val="1"/>
                <w:bCs w:val="1"/>
                <w:color w:val="auto"/>
                <w:w w:val="90"/>
              </w:rPr>
              <w:t>(Commission File Number)</w:t>
            </w:r>
          </w:p>
        </w:tc>
        <w:tc>
          <w:tcPr>
            <w:tcW w:w="2020" w:type="dxa"/>
            <w:vAlign w:val="bottom"/>
          </w:tcPr>
          <w:p>
            <w:pPr>
              <w:jc w:val="center"/>
              <w:ind w:left="1013"/>
              <w:spacing w:after="0" w:line="133" w:lineRule="exact"/>
              <w:rPr>
                <w:sz w:val="20"/>
                <w:szCs w:val="20"/>
                <w:color w:val="auto"/>
              </w:rPr>
            </w:pPr>
            <w:r>
              <w:rPr>
                <w:rFonts w:ascii="Arial" w:cs="Arial" w:eastAsia="Arial" w:hAnsi="Arial"/>
                <w:sz w:val="12"/>
                <w:szCs w:val="12"/>
                <w:b w:val="1"/>
                <w:bCs w:val="1"/>
                <w:color w:val="auto"/>
                <w:w w:val="95"/>
              </w:rPr>
              <w:t>(IRS Employer</w:t>
            </w:r>
          </w:p>
        </w:tc>
      </w:tr>
      <w:tr>
        <w:trPr>
          <w:trHeight w:val="151"/>
        </w:trPr>
        <w:tc>
          <w:tcPr>
            <w:tcW w:w="2800" w:type="dxa"/>
            <w:vAlign w:val="bottom"/>
          </w:tcPr>
          <w:p>
            <w:pPr>
              <w:jc w:val="center"/>
              <w:ind w:right="751"/>
              <w:spacing w:after="0"/>
              <w:rPr>
                <w:sz w:val="20"/>
                <w:szCs w:val="20"/>
                <w:color w:val="auto"/>
              </w:rPr>
            </w:pPr>
            <w:r>
              <w:rPr>
                <w:rFonts w:ascii="Arial" w:cs="Arial" w:eastAsia="Arial" w:hAnsi="Arial"/>
                <w:sz w:val="12"/>
                <w:szCs w:val="12"/>
                <w:b w:val="1"/>
                <w:bCs w:val="1"/>
                <w:color w:val="auto"/>
                <w:w w:val="89"/>
              </w:rPr>
              <w:t>of incorporation)</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2"/>
              </w:rPr>
              <w:t>Identification No.)</w:t>
            </w:r>
          </w:p>
        </w:tc>
      </w:tr>
      <w:tr>
        <w:trPr>
          <w:trHeight w:val="387"/>
        </w:trPr>
        <w:tc>
          <w:tcPr>
            <w:tcW w:w="2800" w:type="dxa"/>
            <w:vAlign w:val="bottom"/>
          </w:tcPr>
          <w:p>
            <w:pPr>
              <w:jc w:val="center"/>
              <w:ind w:right="751"/>
              <w:spacing w:after="0"/>
              <w:rPr>
                <w:sz w:val="20"/>
                <w:szCs w:val="20"/>
                <w:color w:val="auto"/>
              </w:rPr>
            </w:pPr>
            <w:r>
              <w:rPr>
                <w:rFonts w:ascii="Arial" w:cs="Arial" w:eastAsia="Arial" w:hAnsi="Arial"/>
                <w:sz w:val="16"/>
                <w:szCs w:val="16"/>
                <w:b w:val="1"/>
                <w:bCs w:val="1"/>
                <w:color w:val="auto"/>
                <w:w w:val="87"/>
              </w:rPr>
              <w:t>2051 Ringwood Avenue</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4"/>
        </w:trPr>
        <w:tc>
          <w:tcPr>
            <w:tcW w:w="2800" w:type="dxa"/>
            <w:vAlign w:val="bottom"/>
          </w:tcPr>
          <w:p>
            <w:pPr>
              <w:jc w:val="center"/>
              <w:ind w:right="751"/>
              <w:spacing w:after="0"/>
              <w:rPr>
                <w:sz w:val="20"/>
                <w:szCs w:val="20"/>
                <w:color w:val="auto"/>
              </w:rPr>
            </w:pPr>
            <w:r>
              <w:rPr>
                <w:rFonts w:ascii="Arial" w:cs="Arial" w:eastAsia="Arial" w:hAnsi="Arial"/>
                <w:sz w:val="16"/>
                <w:szCs w:val="16"/>
                <w:b w:val="1"/>
                <w:bCs w:val="1"/>
                <w:color w:val="auto"/>
                <w:w w:val="87"/>
              </w:rPr>
              <w:t>San Jose, California</w:t>
            </w:r>
          </w:p>
        </w:tc>
        <w:tc>
          <w:tcPr>
            <w:tcW w:w="328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Arial" w:cs="Arial" w:eastAsia="Arial" w:hAnsi="Arial"/>
                <w:sz w:val="16"/>
                <w:szCs w:val="16"/>
                <w:b w:val="1"/>
                <w:bCs w:val="1"/>
                <w:color w:val="auto"/>
              </w:rPr>
              <w:t>95131</w:t>
            </w:r>
          </w:p>
        </w:tc>
      </w:tr>
      <w:tr>
        <w:trPr>
          <w:trHeight w:val="154"/>
        </w:trPr>
        <w:tc>
          <w:tcPr>
            <w:tcW w:w="2800" w:type="dxa"/>
            <w:vAlign w:val="bottom"/>
          </w:tcPr>
          <w:p>
            <w:pPr>
              <w:jc w:val="center"/>
              <w:ind w:right="771"/>
              <w:spacing w:after="0"/>
              <w:rPr>
                <w:sz w:val="20"/>
                <w:szCs w:val="20"/>
                <w:color w:val="auto"/>
              </w:rPr>
            </w:pPr>
            <w:r>
              <w:rPr>
                <w:rFonts w:ascii="Arial" w:cs="Arial" w:eastAsia="Arial" w:hAnsi="Arial"/>
                <w:sz w:val="12"/>
                <w:szCs w:val="12"/>
                <w:b w:val="1"/>
                <w:bCs w:val="1"/>
                <w:color w:val="auto"/>
                <w:w w:val="87"/>
              </w:rPr>
              <w:t>(Address of principal executive offices)</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0"/>
              </w:rPr>
              <w:t>(Zip Code)</w:t>
            </w:r>
          </w:p>
        </w:tc>
      </w:tr>
    </w:tbl>
    <w:p>
      <w:pPr>
        <w:spacing w:after="0" w:line="375"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(408) 457-3700</w:t>
      </w:r>
    </w:p>
    <w:p>
      <w:pPr>
        <w:spacing w:after="0" w:line="348"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0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09"/>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00" w:type="dxa"/>
            <w:vAlign w:val="bottom"/>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0"/>
        </w:trPr>
        <w:tc>
          <w:tcPr>
            <w:tcW w:w="4620" w:type="dxa"/>
            <w:vAlign w:val="bottom"/>
          </w:tcPr>
          <w:p>
            <w:pPr>
              <w:jc w:val="center"/>
              <w:spacing w:after="0"/>
              <w:rPr>
                <w:sz w:val="20"/>
                <w:szCs w:val="20"/>
                <w:color w:val="auto"/>
              </w:rPr>
            </w:pPr>
            <w:r>
              <w:rPr>
                <w:rFonts w:ascii="Arial" w:cs="Arial" w:eastAsia="Arial" w:hAnsi="Arial"/>
                <w:sz w:val="16"/>
                <w:szCs w:val="16"/>
                <w:color w:val="auto"/>
                <w:w w:val="88"/>
              </w:rPr>
              <w:t>Class A common stock, par value $0.0001 per share</w:t>
            </w: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RANI</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Arial" w:cs="Arial" w:eastAsia="Arial" w:hAnsi="Arial"/>
                <w:sz w:val="16"/>
                <w:szCs w:val="16"/>
                <w:color w:val="auto"/>
                <w:w w:val="90"/>
              </w:rPr>
              <w:t>The Nasdaq Stock Market LLC</w:t>
            </w:r>
          </w:p>
        </w:tc>
      </w:tr>
    </w:tbl>
    <w:p>
      <w:pPr>
        <w:spacing w:after="0" w:line="177" w:lineRule="exact"/>
        <w:rPr>
          <w:sz w:val="24"/>
          <w:szCs w:val="24"/>
          <w:color w:val="auto"/>
        </w:rPr>
      </w:pPr>
    </w:p>
    <w:p>
      <w:pPr>
        <w:ind w:left="5" w:right="20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5"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7"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104" w:lineRule="exact"/>
        <w:rPr>
          <w:sz w:val="20"/>
          <w:szCs w:val="20"/>
          <w:color w:val="auto"/>
        </w:rPr>
      </w:pPr>
    </w:p>
    <w:p>
      <w:pPr>
        <w:ind w:right="120"/>
        <w:spacing w:after="0" w:line="301" w:lineRule="auto"/>
        <w:rPr>
          <w:sz w:val="20"/>
          <w:szCs w:val="20"/>
          <w:color w:val="auto"/>
        </w:rPr>
      </w:pPr>
      <w:r>
        <w:rPr>
          <w:rFonts w:ascii="Arial" w:cs="Arial" w:eastAsia="Arial" w:hAnsi="Arial"/>
          <w:sz w:val="14"/>
          <w:szCs w:val="14"/>
          <w:color w:val="auto"/>
        </w:rPr>
        <w:t>On September 7, 2023, Rani Therapeutics Holdings, Inc. (the “Company” or “Rani”) issued a press release to announce drug delivery results from three preclinical studies of its high-capacity device for the oral delivery of biologics and drugs. A copy of the press release is attached as Exhibit 99.1 to this Current Report on Form 8-K and is incorporated herein by reference. The Company is also making available a copy of a presentation (the “Presentation”) that the Company intends to use, in whole or in part, during discussions with external parties. A copy of the Presentation is attached as Exhibit 99.2 to this Current Report on Form 8-K and is incorporated by reference herein.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760" w:type="dxa"/>
            <w:vAlign w:val="bottom"/>
          </w:tcPr>
          <w:p>
            <w:pPr>
              <w:spacing w:after="0"/>
              <w:rPr>
                <w:sz w:val="16"/>
                <w:szCs w:val="16"/>
                <w:color w:val="auto"/>
              </w:rPr>
            </w:pPr>
          </w:p>
        </w:tc>
      </w:tr>
      <w:tr>
        <w:trPr>
          <w:trHeight w:val="209"/>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 Description</w:t>
            </w:r>
          </w:p>
        </w:tc>
      </w:tr>
      <w:tr>
        <w:trPr>
          <w:trHeight w:val="154"/>
        </w:trPr>
        <w:tc>
          <w:tcPr>
            <w:tcW w:w="800" w:type="dxa"/>
            <w:vAlign w:val="bottom"/>
          </w:tcPr>
          <w:p>
            <w:pPr>
              <w:spacing w:after="0" w:line="154" w:lineRule="exact"/>
              <w:rPr>
                <w:sz w:val="20"/>
                <w:szCs w:val="20"/>
                <w:color w:val="auto"/>
              </w:rPr>
            </w:pPr>
            <w:r>
              <w:rPr>
                <w:rFonts w:ascii="Arial" w:cs="Arial" w:eastAsia="Arial" w:hAnsi="Arial"/>
                <w:sz w:val="16"/>
                <w:szCs w:val="16"/>
                <w:color w:val="auto"/>
              </w:rPr>
              <w:t>99.1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gridSpan w:val="3"/>
          </w:tcPr>
          <w:p>
            <w:pPr>
              <w:spacing w:after="0" w:line="154" w:lineRule="exact"/>
              <w:rPr>
                <w:sz w:val="20"/>
                <w:szCs w:val="20"/>
                <w:color w:val="auto"/>
              </w:rPr>
            </w:pPr>
            <w:r>
              <w:rPr>
                <w:rFonts w:ascii="Arial" w:cs="Arial" w:eastAsia="Arial" w:hAnsi="Arial"/>
                <w:sz w:val="16"/>
                <w:szCs w:val="16"/>
                <w:color w:val="0000FF"/>
              </w:rPr>
              <w:t>Press Release dated September 7, 2023</w:t>
            </w:r>
          </w:p>
        </w:tc>
      </w:tr>
      <w:tr>
        <w:trPr>
          <w:trHeight w:val="181"/>
        </w:trPr>
        <w:tc>
          <w:tcPr>
            <w:tcW w:w="800" w:type="dxa"/>
            <w:vAlign w:val="bottom"/>
          </w:tcPr>
          <w:p>
            <w:pPr>
              <w:spacing w:after="0" w:line="181" w:lineRule="exact"/>
              <w:rPr>
                <w:sz w:val="20"/>
                <w:szCs w:val="20"/>
                <w:color w:val="auto"/>
              </w:rPr>
            </w:pPr>
            <w:r>
              <w:rPr>
                <w:rFonts w:ascii="Arial" w:cs="Arial" w:eastAsia="Arial" w:hAnsi="Arial"/>
                <w:sz w:val="16"/>
                <w:szCs w:val="16"/>
                <w:color w:val="auto"/>
              </w:rPr>
              <w:t>99.2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top w:val="single" w:sz="8" w:color="0000FF"/>
            </w:tcBorders>
            <w:gridSpan w:val="2"/>
          </w:tcPr>
          <w:p>
            <w:pPr>
              <w:spacing w:after="0" w:line="181" w:lineRule="exact"/>
              <w:rPr>
                <w:sz w:val="20"/>
                <w:szCs w:val="20"/>
                <w:color w:val="auto"/>
              </w:rPr>
            </w:pPr>
            <w:r>
              <w:rPr>
                <w:rFonts w:ascii="Arial" w:cs="Arial" w:eastAsia="Arial" w:hAnsi="Arial"/>
                <w:sz w:val="16"/>
                <w:szCs w:val="16"/>
                <w:color w:val="0000FF"/>
                <w:w w:val="94"/>
              </w:rPr>
              <w:t>Presentation dated September 2023</w:t>
            </w:r>
          </w:p>
        </w:tc>
        <w:tc>
          <w:tcPr>
            <w:tcW w:w="776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r>
      <w:tr>
        <w:trPr>
          <w:trHeight w:val="215"/>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490"/>
        </w:trPr>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Rani Therapeutics Holdings,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September 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19050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Svai Sanford</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269240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123"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13970</wp:posOffset>
            </wp:positionV>
            <wp:extent cx="855980" cy="661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5980" cy="66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Rani Therapeutics Announces Successful Drug Delivery of High-Capacity Pill in Preclinical Studies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Two preclinical studies of RaniPill® HC achieved 18/20 successful drug delivery of orally administered teriparatide resulting in a cumulative 90% success rate</w:t>
      </w:r>
    </w:p>
    <w:p>
      <w:pPr>
        <w:spacing w:after="0" w:line="147" w:lineRule="exact"/>
        <w:rPr>
          <w:sz w:val="20"/>
          <w:szCs w:val="20"/>
          <w:color w:val="auto"/>
        </w:rPr>
      </w:pPr>
    </w:p>
    <w:p>
      <w:pPr>
        <w:ind w:left="2220" w:hanging="85"/>
        <w:spacing w:after="0"/>
        <w:tabs>
          <w:tab w:leader="none" w:pos="222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Rani will continue preclinical testing to confirm preliminary reliability rate and optimize device performance</w:t>
      </w:r>
    </w:p>
    <w:p>
      <w:pPr>
        <w:spacing w:after="0" w:line="123" w:lineRule="exact"/>
        <w:rPr>
          <w:rFonts w:ascii="Arial" w:cs="Arial" w:eastAsia="Arial" w:hAnsi="Arial"/>
          <w:sz w:val="16"/>
          <w:szCs w:val="16"/>
          <w:i w:val="1"/>
          <w:iCs w:val="1"/>
          <w:color w:val="auto"/>
        </w:rPr>
      </w:pPr>
    </w:p>
    <w:p>
      <w:pPr>
        <w:ind w:left="2620" w:hanging="84"/>
        <w:spacing w:after="0"/>
        <w:tabs>
          <w:tab w:leader="none" w:pos="2620"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Increased payload of up to 20mg enables potential delivery of 90+ additional drug candidates -</w:t>
      </w:r>
    </w:p>
    <w:p>
      <w:pPr>
        <w:spacing w:after="0" w:line="131" w:lineRule="exact"/>
        <w:rPr>
          <w:sz w:val="20"/>
          <w:szCs w:val="20"/>
          <w:color w:val="auto"/>
        </w:rPr>
      </w:pPr>
    </w:p>
    <w:p>
      <w:pPr>
        <w:ind w:right="40"/>
        <w:spacing w:after="0" w:line="314" w:lineRule="auto"/>
        <w:rPr>
          <w:sz w:val="20"/>
          <w:szCs w:val="20"/>
          <w:color w:val="auto"/>
        </w:rPr>
      </w:pPr>
      <w:r>
        <w:rPr>
          <w:rFonts w:ascii="Arial" w:cs="Arial" w:eastAsia="Arial" w:hAnsi="Arial"/>
          <w:sz w:val="14"/>
          <w:szCs w:val="14"/>
          <w:b w:val="1"/>
          <w:bCs w:val="1"/>
          <w:color w:val="auto"/>
        </w:rPr>
        <w:t xml:space="preserve">SAN JOSE, Calif., September 7, 2023 </w:t>
      </w:r>
      <w:r>
        <w:rPr>
          <w:rFonts w:ascii="Arial" w:cs="Arial" w:eastAsia="Arial" w:hAnsi="Arial"/>
          <w:sz w:val="14"/>
          <w:szCs w:val="14"/>
          <w:color w:val="auto"/>
        </w:rPr>
        <w:t>-- Rani Therapeutics Holdings, Inc. (“Rani Therapeutics” or “Rani”) (Nasdaq: RANI), a clinical-stage biotherapeutics company focused</w:t>
      </w:r>
      <w:r>
        <w:rPr>
          <w:rFonts w:ascii="Arial" w:cs="Arial" w:eastAsia="Arial" w:hAnsi="Arial"/>
          <w:sz w:val="14"/>
          <w:szCs w:val="14"/>
          <w:b w:val="1"/>
          <w:bCs w:val="1"/>
          <w:color w:val="auto"/>
        </w:rPr>
        <w:t xml:space="preserve"> </w:t>
      </w:r>
      <w:r>
        <w:rPr>
          <w:rFonts w:ascii="Arial" w:cs="Arial" w:eastAsia="Arial" w:hAnsi="Arial"/>
          <w:sz w:val="14"/>
          <w:szCs w:val="14"/>
          <w:color w:val="auto"/>
        </w:rPr>
        <w:t>on the oral delivery of biologics and drugs, today announced three new positive preclinical studies which support the development of a high-capacity oral biologics device known as the RaniPill® HC, a version of the RaniPill® capsule that is capable of delivering up to a 500%-plus higher drug payload than Rani’s existing oral biologics capsule.</w:t>
      </w:r>
    </w:p>
    <w:p>
      <w:pPr>
        <w:spacing w:after="0" w:line="7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are delighted to share that the orally administered RaniPill® HC was able to demonstrate successful drug delivery and high reliability across multiple preclinical studies, further supporting our development of the RaniPill® HC,” said Talat Imran, Chief Executive Officer of Rani. “The RaniPill® HC is designed to enable the potential delivery of 90+ additional drug candidates, opening up a significant market opportunity for Rani Therapeutics. We are excited about the difference the RaniPill® HC could make to alleviate the burden of painful injections for patients and provide a new solution for providers, and look forward to bringing the technology into the clinic through the initiation of a Phase 1 study of adalimumab RT-105.”</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Data Highlights: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Teriparatide Canine Studies</w:t>
      </w:r>
    </w:p>
    <w:p>
      <w:pPr>
        <w:spacing w:after="0" w:line="135"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Rani conducted two preclinical studies of the RaniPill® HC containing 40ug of teriparatide. In the first study, two RaniPill® HC capsules were orally administered to 5 awake canine subjects sequentially, with a second RaniPill® HC capsule administered after the deployment of the previous device was confirmed. In the second study, a single RaniPill® HC capsule was administered to 10 awake canines.</w:t>
      </w:r>
    </w:p>
    <w:p>
      <w:pPr>
        <w:spacing w:after="0" w:line="95" w:lineRule="exact"/>
        <w:rPr>
          <w:sz w:val="20"/>
          <w:szCs w:val="20"/>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RaniPill® HC achieved 18/20 successful drug delivery of teriparatide in the two studies, resulting in a cumulative 90% success rate.</w:t>
      </w:r>
    </w:p>
    <w:p>
      <w:pPr>
        <w:spacing w:after="0" w:line="135" w:lineRule="exact"/>
        <w:rPr>
          <w:rFonts w:ascii="Arial" w:cs="Arial" w:eastAsia="Arial" w:hAnsi="Arial"/>
          <w:sz w:val="16"/>
          <w:szCs w:val="16"/>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Successful drug delivery was confirmed by positive drug signal for teriparatide in serum.</w:t>
      </w:r>
    </w:p>
    <w:p>
      <w:pPr>
        <w:spacing w:after="0" w:line="135" w:lineRule="exact"/>
        <w:rPr>
          <w:rFonts w:ascii="Arial" w:cs="Arial" w:eastAsia="Arial" w:hAnsi="Arial"/>
          <w:sz w:val="16"/>
          <w:szCs w:val="16"/>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Devices used in these studies were separate iterations, and may not comprise all the same components expected in a final version.</w:t>
      </w:r>
    </w:p>
    <w:p>
      <w:pPr>
        <w:spacing w:after="0" w:line="123" w:lineRule="exact"/>
        <w:rPr>
          <w:rFonts w:ascii="Arial" w:cs="Arial" w:eastAsia="Arial" w:hAnsi="Arial"/>
          <w:sz w:val="16"/>
          <w:szCs w:val="16"/>
          <w:color w:val="auto"/>
        </w:rPr>
      </w:pPr>
    </w:p>
    <w:p>
      <w:pPr>
        <w:ind w:left="740" w:hanging="370"/>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Preliminary preclinical testing supports the potential for RaniPill® HC to have high reliability.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Fe57 Canine Study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Rani also conducted an additional preclinical study of RaniPill® HC containing Fe57 (iron) in 2 canine subjects.</w:t>
      </w:r>
    </w:p>
    <w:p>
      <w:pPr>
        <w:spacing w:after="0" w:line="124" w:lineRule="exact"/>
        <w:rPr>
          <w:sz w:val="20"/>
          <w:szCs w:val="20"/>
          <w:color w:val="auto"/>
        </w:rPr>
      </w:pPr>
    </w:p>
    <w:p>
      <w:pPr>
        <w:ind w:left="740" w:hanging="370"/>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RaniPill® HC containing Fe57 showed a positive drug signal comparable to subcutaneous injection.</w:t>
      </w:r>
    </w:p>
    <w:p>
      <w:pPr>
        <w:spacing w:after="0" w:line="135" w:lineRule="exact"/>
        <w:rPr>
          <w:rFonts w:ascii="Arial" w:cs="Arial" w:eastAsia="Arial" w:hAnsi="Arial"/>
          <w:sz w:val="16"/>
          <w:szCs w:val="16"/>
          <w:color w:val="auto"/>
        </w:rPr>
      </w:pPr>
    </w:p>
    <w:p>
      <w:pPr>
        <w:ind w:left="740" w:hanging="370"/>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Initial analysis of drug delivery via the RaniPill® HC shows a potential for mimicking parenteral (subcutaneous)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73660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Anticipated Next Steps &amp; Milestones:</w:t>
      </w:r>
    </w:p>
    <w:p>
      <w:pPr>
        <w:spacing w:after="0" w:line="139" w:lineRule="exact"/>
        <w:rPr>
          <w:sz w:val="20"/>
          <w:szCs w:val="20"/>
          <w:color w:val="auto"/>
        </w:rPr>
      </w:pPr>
    </w:p>
    <w:p>
      <w:pPr>
        <w:ind w:left="740" w:hanging="370"/>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preclinical testing of the RaniPill® HC to confirm the preliminary reliability rate and optimize device performance.</w:t>
      </w:r>
    </w:p>
    <w:p>
      <w:pPr>
        <w:spacing w:after="0" w:line="123" w:lineRule="exact"/>
        <w:rPr>
          <w:rFonts w:ascii="Arial" w:cs="Arial" w:eastAsia="Arial" w:hAnsi="Arial"/>
          <w:sz w:val="16"/>
          <w:szCs w:val="16"/>
          <w:color w:val="auto"/>
        </w:rPr>
      </w:pPr>
    </w:p>
    <w:p>
      <w:pPr>
        <w:ind w:left="740" w:hanging="370"/>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Introduce RaniPill® HC into the clinic with the initiation of a Phase 1 trial of RT-105 containing adalimumab.</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Rani Therapeutics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is progressing two RaniPill® capsules, the RaniPill® GO and the RaniPill® HC. Rani has successfully conducted several preclinical and clinical studies to evaluate safety, tolerability and bioavailability using RaniPill</w:t>
      </w:r>
      <w:r>
        <w:rPr>
          <w:rFonts w:ascii="Arial" w:cs="Arial" w:eastAsia="Arial" w:hAnsi="Arial"/>
          <w:sz w:val="19"/>
          <w:szCs w:val="19"/>
          <w:color w:val="auto"/>
          <w:vertAlign w:val="superscript"/>
        </w:rPr>
        <w:t>®</w:t>
      </w:r>
      <w:r>
        <w:rPr>
          <w:rFonts w:ascii="Arial" w:cs="Arial" w:eastAsia="Arial" w:hAnsi="Arial"/>
          <w:sz w:val="14"/>
          <w:szCs w:val="14"/>
          <w:color w:val="auto"/>
        </w:rPr>
        <w:t xml:space="preserve"> capsule technology. For more information, visit ranitherapeutics.com.</w:t>
      </w: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potential initiation of a Phase 1 trial of RT-105, Rani’s development and advancement of its RaniPill® HC and RaniPill® GO capsule technology, the ability to confirm reliability and optimize performance of the RaniPill® HC, the market opportunity for Rani utilizing the RaniPill® HC including the potential to enable Rani to address 90+ additional product candidates, customer acceptance of the RaniPill® capsule technology, the potential benefits of the RaniPill® capsule technology, and Rani’s growth as a company. Because such statements are subject to risks and uncertainties, actual results may differ materially from those expressed or implied by such forward-looking statements. Words such as “could,” “look forward,” “potential,” “enables,” “designed to,” “continue,” “anticipated,” “expected”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investors@ranitherapeutics.com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276225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12" w:right="3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2023-09-07T16:18:24Z</dcterms:created>
  <dcterms:modified xsi:type="dcterms:W3CDTF">2023-09-07T16:18:24Z</dcterms:modified>
</cp:coreProperties>
</file>