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13D/A</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753018 100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Luis Felipe Correa González</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South Lake One LLC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Avenida Presidente Riesco 5711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Oficina 1603,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Las Condes, Santiago, Chile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+56 22 798-9600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2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 240.13d-7(b) for other parties to whom copies are to be sent.</w:t>
      </w:r>
    </w:p>
    <w:p>
      <w:pPr>
        <w:spacing w:after="0" w:line="162"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ind w:left="10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4636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463665"/>
                    </a:xfrm>
                    <a:prstGeom prst="rect">
                      <a:avLst/>
                    </a:prstGeom>
                    <a:noFill/>
                  </pic:spPr>
                </pic:pic>
              </a:graphicData>
            </a:graphic>
          </wp:anchor>
        </w:drawing>
        <w:t>NAME OF REPORTING PERSONS</w:t>
      </w:r>
    </w:p>
    <w:p>
      <w:pPr>
        <w:spacing w:after="0" w:line="27" w:lineRule="exact"/>
        <w:rPr>
          <w:sz w:val="20"/>
          <w:szCs w:val="20"/>
          <w:color w:val="auto"/>
        </w:rPr>
      </w:pPr>
    </w:p>
    <w:p>
      <w:pPr>
        <w:ind w:left="1020" w:right="4620" w:hanging="598"/>
        <w:spacing w:after="0" w:line="271" w:lineRule="auto"/>
        <w:tabs>
          <w:tab w:leader="none" w:pos="1020" w:val="left"/>
        </w:tabs>
        <w:numPr>
          <w:ilvl w:val="0"/>
          <w:numId w:val="2"/>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I.R.S. IDENTIFICATION NOS. OF ABOVE PERSONS (ENTITIES ONLY) South Cone Investments Limited Partnership</w:t>
      </w:r>
    </w:p>
    <w:p>
      <w:pPr>
        <w:spacing w:after="0" w:line="5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1020" w:hanging="598"/>
        <w:spacing w:after="0" w:line="207" w:lineRule="exact"/>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15" w:lineRule="exact"/>
        <w:rPr>
          <w:rFonts w:ascii="Times New Roman" w:cs="Times New Roman" w:eastAsia="Times New Roman" w:hAnsi="Times New Roman"/>
          <w:sz w:val="18"/>
          <w:szCs w:val="18"/>
          <w:color w:val="auto"/>
        </w:rPr>
      </w:pPr>
    </w:p>
    <w:p>
      <w:pPr>
        <w:ind w:left="102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ind w:left="1020" w:hanging="598"/>
        <w:spacing w:after="0" w:line="199" w:lineRule="auto"/>
        <w:tabs>
          <w:tab w:leader="none" w:pos="1020" w:val="left"/>
        </w:tabs>
        <w:numPr>
          <w:ilvl w:val="0"/>
          <w:numId w:val="4"/>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SEC USE ONLY</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6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 w:type="dxa"/>
            <w:vAlign w:val="bottom"/>
            <w:vMerge w:val="continue"/>
          </w:tcPr>
          <w:p>
            <w:pPr>
              <w:spacing w:after="0"/>
              <w:rPr>
                <w:sz w:val="18"/>
                <w:szCs w:val="18"/>
                <w:color w:val="auto"/>
              </w:rPr>
            </w:pPr>
          </w:p>
        </w:tc>
        <w:tc>
          <w:tcPr>
            <w:tcW w:w="12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OO</w:t>
            </w:r>
          </w:p>
        </w:tc>
        <w:tc>
          <w:tcPr>
            <w:tcW w:w="90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75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6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1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75"/>
        </w:trPr>
        <w:tc>
          <w:tcPr>
            <w:tcW w:w="52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75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75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6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20" w:type="dxa"/>
            <w:vAlign w:val="bottom"/>
            <w:vMerge w:val="continue"/>
          </w:tcPr>
          <w:p>
            <w:pPr>
              <w:spacing w:after="0"/>
              <w:rPr>
                <w:sz w:val="18"/>
                <w:szCs w:val="18"/>
                <w:color w:val="auto"/>
              </w:rPr>
            </w:pPr>
          </w:p>
        </w:tc>
        <w:tc>
          <w:tcPr>
            <w:tcW w:w="12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Canada</w:t>
            </w:r>
          </w:p>
        </w:tc>
        <w:tc>
          <w:tcPr>
            <w:tcW w:w="90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75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vMerge w:val="continue"/>
          </w:tcPr>
          <w:p>
            <w:pPr>
              <w:spacing w:after="0"/>
              <w:rPr>
                <w:sz w:val="18"/>
                <w:szCs w:val="18"/>
                <w:color w:val="auto"/>
              </w:rPr>
            </w:pPr>
          </w:p>
        </w:tc>
        <w:tc>
          <w:tcPr>
            <w:tcW w:w="7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12,131,554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5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7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900" w:type="dxa"/>
            <w:vAlign w:val="bottom"/>
            <w:tcBorders>
              <w:bottom w:val="single" w:sz="8" w:color="auto"/>
              <w:right w:val="single" w:sz="8" w:color="auto"/>
            </w:tcBorders>
          </w:tcPr>
          <w:p>
            <w:pPr>
              <w:spacing w:after="0"/>
              <w:rPr>
                <w:sz w:val="4"/>
                <w:szCs w:val="4"/>
                <w:color w:val="auto"/>
              </w:rPr>
            </w:pPr>
          </w:p>
        </w:tc>
        <w:tc>
          <w:tcPr>
            <w:tcW w:w="75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720" w:type="dxa"/>
            <w:vAlign w:val="bottom"/>
            <w:tcBorders>
              <w:right w:val="single" w:sz="8" w:color="auto"/>
            </w:tcBorders>
            <w:gridSpan w:val="2"/>
            <w:vMerge w:val="continue"/>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0" w:type="dxa"/>
            <w:vAlign w:val="bottom"/>
            <w:tcBorders>
              <w:right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98"/>
              </w:rPr>
              <w:t>SHARES</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7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900" w:type="dxa"/>
            <w:vAlign w:val="bottom"/>
            <w:tcBorders>
              <w:right w:val="single" w:sz="8" w:color="auto"/>
            </w:tcBorders>
          </w:tcPr>
          <w:p>
            <w:pPr>
              <w:spacing w:after="0"/>
              <w:rPr>
                <w:sz w:val="18"/>
                <w:szCs w:val="18"/>
                <w:color w:val="auto"/>
              </w:rPr>
            </w:pP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Borders>
              <w:right w:val="single" w:sz="8" w:color="auto"/>
            </w:tcBorders>
            <w:gridSpan w:val="2"/>
            <w:vMerge w:val="restart"/>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OWNED BY</w:t>
            </w:r>
          </w:p>
        </w:tc>
        <w:tc>
          <w:tcPr>
            <w:tcW w:w="900" w:type="dxa"/>
            <w:vAlign w:val="bottom"/>
            <w:tcBorders>
              <w:bottom w:val="single" w:sz="8" w:color="auto"/>
              <w:right w:val="single" w:sz="8" w:color="auto"/>
            </w:tcBorders>
          </w:tcPr>
          <w:p>
            <w:pPr>
              <w:spacing w:after="0"/>
              <w:rPr>
                <w:sz w:val="9"/>
                <w:szCs w:val="9"/>
                <w:color w:val="auto"/>
              </w:rPr>
            </w:pPr>
          </w:p>
        </w:tc>
        <w:tc>
          <w:tcPr>
            <w:tcW w:w="75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720" w:type="dxa"/>
            <w:vAlign w:val="bottom"/>
            <w:tcBorders>
              <w:right w:val="single" w:sz="8" w:color="auto"/>
            </w:tcBorders>
            <w:gridSpan w:val="2"/>
            <w:vMerge w:val="continue"/>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7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0" w:type="dxa"/>
            <w:vAlign w:val="bottom"/>
            <w:tcBorders>
              <w:right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97"/>
              </w:rPr>
              <w:t>EACH</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5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tcBorders>
              <w:right w:val="single" w:sz="8" w:color="auto"/>
            </w:tcBorders>
            <w:vMerge w:val="continue"/>
          </w:tcPr>
          <w:p>
            <w:pPr>
              <w:spacing w:after="0"/>
              <w:rPr>
                <w:sz w:val="18"/>
                <w:szCs w:val="18"/>
                <w:color w:val="auto"/>
              </w:rPr>
            </w:pPr>
          </w:p>
        </w:tc>
        <w:tc>
          <w:tcPr>
            <w:tcW w:w="7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12,131,554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20" w:type="dxa"/>
            <w:vAlign w:val="bottom"/>
          </w:tcPr>
          <w:p>
            <w:pPr>
              <w:spacing w:after="0"/>
              <w:rPr>
                <w:sz w:val="20"/>
                <w:szCs w:val="20"/>
                <w:color w:val="auto"/>
              </w:rPr>
            </w:pPr>
          </w:p>
        </w:tc>
        <w:tc>
          <w:tcPr>
            <w:tcW w:w="1200" w:type="dxa"/>
            <w:vAlign w:val="bottom"/>
            <w:tcBorders>
              <w:right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98"/>
              </w:rPr>
              <w:t>PERSON</w:t>
            </w:r>
          </w:p>
        </w:tc>
        <w:tc>
          <w:tcPr>
            <w:tcW w:w="900" w:type="dxa"/>
            <w:vAlign w:val="bottom"/>
            <w:tcBorders>
              <w:bottom w:val="single" w:sz="8" w:color="auto"/>
              <w:right w:val="single" w:sz="8" w:color="auto"/>
            </w:tcBorders>
          </w:tcPr>
          <w:p>
            <w:pPr>
              <w:spacing w:after="0"/>
              <w:rPr>
                <w:sz w:val="20"/>
                <w:szCs w:val="20"/>
                <w:color w:val="auto"/>
              </w:rPr>
            </w:pPr>
          </w:p>
        </w:tc>
        <w:tc>
          <w:tcPr>
            <w:tcW w:w="75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3"/>
                <w:szCs w:val="23"/>
                <w:color w:val="auto"/>
              </w:rPr>
            </w:pPr>
          </w:p>
        </w:tc>
        <w:tc>
          <w:tcPr>
            <w:tcW w:w="120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vMerge w:val="continue"/>
          </w:tcPr>
          <w:p>
            <w:pPr>
              <w:spacing w:after="0"/>
              <w:rPr>
                <w:sz w:val="18"/>
                <w:szCs w:val="18"/>
                <w:color w:val="auto"/>
              </w:rPr>
            </w:pPr>
          </w:p>
        </w:tc>
        <w:tc>
          <w:tcPr>
            <w:tcW w:w="7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5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2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5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11</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12,131,554</w:t>
      </w:r>
    </w:p>
    <w:p>
      <w:pPr>
        <w:spacing w:after="0" w:line="72" w:lineRule="exact"/>
        <w:rPr>
          <w:sz w:val="20"/>
          <w:szCs w:val="20"/>
          <w:color w:val="auto"/>
        </w:rPr>
      </w:pPr>
    </w:p>
    <w:tbl>
      <w:tblPr>
        <w:tblLayout w:type="fixed"/>
        <w:tblInd w:w="380" w:type="dxa"/>
        <w:tblCellMar>
          <w:top w:w="0" w:type="dxa"/>
          <w:left w:w="0" w:type="dxa"/>
          <w:bottom w:w="0" w:type="dxa"/>
          <w:right w:w="0" w:type="dxa"/>
        </w:tblCellMar>
      </w:tblPr>
      <w:tr>
        <w:trPr>
          <w:trHeight w:val="303"/>
        </w:trPr>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12</w:t>
            </w:r>
          </w:p>
        </w:tc>
        <w:tc>
          <w:tcPr>
            <w:tcW w:w="9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13</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46.9%</w:t>
      </w:r>
      <w:r>
        <w:rPr>
          <w:rFonts w:ascii="Times New Roman" w:cs="Times New Roman" w:eastAsia="Times New Roman" w:hAnsi="Times New Roman"/>
          <w:sz w:val="29"/>
          <w:szCs w:val="29"/>
          <w:color w:val="auto"/>
          <w:vertAlign w:val="superscript"/>
        </w:rPr>
        <w:t>(1)</w:t>
      </w:r>
    </w:p>
    <w:p>
      <w:pPr>
        <w:spacing w:after="0" w:line="4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14</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PN</w:t>
      </w:r>
    </w:p>
    <w:p>
      <w:pPr>
        <w:spacing w:after="0" w:line="274" w:lineRule="exact"/>
        <w:rPr>
          <w:sz w:val="20"/>
          <w:szCs w:val="20"/>
          <w:color w:val="auto"/>
        </w:rPr>
      </w:pPr>
    </w:p>
    <w:p>
      <w:pPr>
        <w:ind w:left="340" w:right="2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calculation is based on 25,880,064 shares of Class A Common Stock of the Issuer issued and outstanding as of November 3, 2023, as reported by the Issuer on its Form 10-Q filed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November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 w:name="page3"/>
    <w:bookmarkEnd w:id="2"/>
    <w:p>
      <w:pPr>
        <w:ind w:left="10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4636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6463665"/>
                    </a:xfrm>
                    <a:prstGeom prst="rect">
                      <a:avLst/>
                    </a:prstGeom>
                    <a:noFill/>
                  </pic:spPr>
                </pic:pic>
              </a:graphicData>
            </a:graphic>
          </wp:anchor>
        </w:drawing>
        <w:t>NAME OF REPORTING PERSONS</w:t>
      </w:r>
    </w:p>
    <w:p>
      <w:pPr>
        <w:spacing w:after="0" w:line="27" w:lineRule="exact"/>
        <w:rPr>
          <w:sz w:val="20"/>
          <w:szCs w:val="20"/>
          <w:color w:val="auto"/>
        </w:rPr>
      </w:pPr>
    </w:p>
    <w:p>
      <w:pPr>
        <w:ind w:left="1020" w:right="4620" w:hanging="598"/>
        <w:spacing w:after="0" w:line="271" w:lineRule="auto"/>
        <w:tabs>
          <w:tab w:leader="none" w:pos="1020" w:val="left"/>
        </w:tabs>
        <w:numPr>
          <w:ilvl w:val="0"/>
          <w:numId w:val="6"/>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I.R.S. IDENTIFICATION NOS. OF ABOVE PERSONS (ENTITIES ONLY) South Lake One LLC</w:t>
      </w:r>
    </w:p>
    <w:p>
      <w:pPr>
        <w:spacing w:after="0" w:line="5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1020" w:hanging="598"/>
        <w:spacing w:after="0" w:line="207" w:lineRule="exact"/>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15" w:lineRule="exact"/>
        <w:rPr>
          <w:rFonts w:ascii="Times New Roman" w:cs="Times New Roman" w:eastAsia="Times New Roman" w:hAnsi="Times New Roman"/>
          <w:sz w:val="18"/>
          <w:szCs w:val="18"/>
          <w:color w:val="auto"/>
        </w:rPr>
      </w:pPr>
    </w:p>
    <w:p>
      <w:pPr>
        <w:ind w:left="102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ind w:left="1020" w:hanging="598"/>
        <w:spacing w:after="0" w:line="199" w:lineRule="auto"/>
        <w:tabs>
          <w:tab w:leader="none" w:pos="1020" w:val="left"/>
        </w:tabs>
        <w:numPr>
          <w:ilvl w:val="0"/>
          <w:numId w:val="8"/>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SEC USE ONLY</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62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 w:type="dxa"/>
            <w:vAlign w:val="bottom"/>
            <w:vMerge w:val="continue"/>
          </w:tcPr>
          <w:p>
            <w:pPr>
              <w:spacing w:after="0"/>
              <w:rPr>
                <w:sz w:val="18"/>
                <w:szCs w:val="18"/>
                <w:color w:val="auto"/>
              </w:rPr>
            </w:pPr>
          </w:p>
        </w:tc>
        <w:tc>
          <w:tcPr>
            <w:tcW w:w="13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OO</w:t>
            </w:r>
          </w:p>
        </w:tc>
        <w:tc>
          <w:tcPr>
            <w:tcW w:w="7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75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62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1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75"/>
        </w:trPr>
        <w:tc>
          <w:tcPr>
            <w:tcW w:w="52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5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spacing w:after="0"/>
              <w:rPr>
                <w:sz w:val="14"/>
                <w:szCs w:val="14"/>
                <w:color w:val="auto"/>
              </w:rPr>
            </w:pPr>
          </w:p>
        </w:tc>
        <w:tc>
          <w:tcPr>
            <w:tcW w:w="75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62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20" w:type="dxa"/>
            <w:vAlign w:val="bottom"/>
            <w:vMerge w:val="continue"/>
          </w:tcPr>
          <w:p>
            <w:pPr>
              <w:spacing w:after="0"/>
              <w:rPr>
                <w:sz w:val="18"/>
                <w:szCs w:val="18"/>
                <w:color w:val="auto"/>
              </w:rPr>
            </w:pPr>
          </w:p>
        </w:tc>
        <w:tc>
          <w:tcPr>
            <w:tcW w:w="13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Delaware</w:t>
            </w:r>
          </w:p>
        </w:tc>
        <w:tc>
          <w:tcPr>
            <w:tcW w:w="7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5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Borders>
              <w:right w:val="single" w:sz="8" w:color="auto"/>
            </w:tcBorders>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rPr>
              <w:t>7</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7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12,131,554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5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7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75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720" w:type="dxa"/>
            <w:vAlign w:val="bottom"/>
            <w:tcBorders>
              <w:right w:val="single" w:sz="8" w:color="auto"/>
            </w:tcBorders>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0" w:type="dxa"/>
            <w:vAlign w:val="bottom"/>
            <w:tcBorders>
              <w:right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98"/>
              </w:rPr>
              <w:t>SHARES</w:t>
            </w:r>
          </w:p>
        </w:tc>
        <w:tc>
          <w:tcPr>
            <w:tcW w:w="180" w:type="dxa"/>
            <w:vAlign w:val="bottom"/>
          </w:tcPr>
          <w:p>
            <w:pPr>
              <w:spacing w:after="0"/>
              <w:rPr>
                <w:sz w:val="18"/>
                <w:szCs w:val="18"/>
                <w:color w:val="auto"/>
              </w:rPr>
            </w:pPr>
          </w:p>
        </w:tc>
        <w:tc>
          <w:tcPr>
            <w:tcW w:w="72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8</w:t>
            </w:r>
          </w:p>
        </w:tc>
        <w:tc>
          <w:tcPr>
            <w:tcW w:w="7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Borders>
              <w:right w:val="single" w:sz="8" w:color="auto"/>
            </w:tcBorders>
            <w:gridSpan w:val="2"/>
            <w:vMerge w:val="restart"/>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OWNED BY</w:t>
            </w: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75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720" w:type="dxa"/>
            <w:vAlign w:val="bottom"/>
            <w:tcBorders>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0" w:type="dxa"/>
            <w:vAlign w:val="bottom"/>
            <w:tcBorders>
              <w:right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97"/>
              </w:rPr>
              <w:t>EACH</w:t>
            </w:r>
          </w:p>
        </w:tc>
        <w:tc>
          <w:tcPr>
            <w:tcW w:w="180" w:type="dxa"/>
            <w:vAlign w:val="bottom"/>
          </w:tcPr>
          <w:p>
            <w:pPr>
              <w:spacing w:after="0"/>
              <w:rPr>
                <w:sz w:val="18"/>
                <w:szCs w:val="18"/>
                <w:color w:val="auto"/>
              </w:rPr>
            </w:pPr>
          </w:p>
        </w:tc>
        <w:tc>
          <w:tcPr>
            <w:tcW w:w="720" w:type="dxa"/>
            <w:vAlign w:val="bottom"/>
            <w:tcBorders>
              <w:right w:val="single" w:sz="8" w:color="auto"/>
            </w:tcBorders>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rPr>
              <w:t>9</w:t>
            </w:r>
          </w:p>
        </w:tc>
        <w:tc>
          <w:tcPr>
            <w:tcW w:w="75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8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7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12,131,554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20" w:type="dxa"/>
            <w:vAlign w:val="bottom"/>
          </w:tcPr>
          <w:p>
            <w:pPr>
              <w:spacing w:after="0"/>
              <w:rPr>
                <w:sz w:val="20"/>
                <w:szCs w:val="20"/>
                <w:color w:val="auto"/>
              </w:rPr>
            </w:pPr>
          </w:p>
        </w:tc>
        <w:tc>
          <w:tcPr>
            <w:tcW w:w="1200" w:type="dxa"/>
            <w:vAlign w:val="bottom"/>
            <w:tcBorders>
              <w:right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98"/>
              </w:rPr>
              <w:t>PERSON</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75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3"/>
                <w:szCs w:val="23"/>
                <w:color w:val="auto"/>
              </w:rPr>
            </w:pPr>
          </w:p>
        </w:tc>
        <w:tc>
          <w:tcPr>
            <w:tcW w:w="120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Borders>
              <w:right w:val="single" w:sz="8" w:color="auto"/>
            </w:tcBorders>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7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5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2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75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11</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12,131,554</w:t>
      </w:r>
    </w:p>
    <w:p>
      <w:pPr>
        <w:spacing w:after="0" w:line="72" w:lineRule="exact"/>
        <w:rPr>
          <w:sz w:val="20"/>
          <w:szCs w:val="20"/>
          <w:color w:val="auto"/>
        </w:rPr>
      </w:pPr>
    </w:p>
    <w:tbl>
      <w:tblPr>
        <w:tblLayout w:type="fixed"/>
        <w:tblInd w:w="380" w:type="dxa"/>
        <w:tblCellMar>
          <w:top w:w="0" w:type="dxa"/>
          <w:left w:w="0" w:type="dxa"/>
          <w:bottom w:w="0" w:type="dxa"/>
          <w:right w:w="0" w:type="dxa"/>
        </w:tblCellMar>
      </w:tblPr>
      <w:tr>
        <w:trPr>
          <w:trHeight w:val="303"/>
        </w:trPr>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12</w:t>
            </w:r>
          </w:p>
        </w:tc>
        <w:tc>
          <w:tcPr>
            <w:tcW w:w="9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13</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46.9%</w:t>
      </w:r>
      <w:r>
        <w:rPr>
          <w:rFonts w:ascii="Times New Roman" w:cs="Times New Roman" w:eastAsia="Times New Roman" w:hAnsi="Times New Roman"/>
          <w:sz w:val="29"/>
          <w:szCs w:val="29"/>
          <w:color w:val="auto"/>
          <w:vertAlign w:val="superscript"/>
        </w:rPr>
        <w:t>(2)</w:t>
      </w:r>
    </w:p>
    <w:p>
      <w:pPr>
        <w:spacing w:after="0" w:line="4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14</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OO</w:t>
      </w:r>
    </w:p>
    <w:p>
      <w:pPr>
        <w:spacing w:after="0" w:line="274" w:lineRule="exact"/>
        <w:rPr>
          <w:sz w:val="20"/>
          <w:szCs w:val="20"/>
          <w:color w:val="auto"/>
        </w:rPr>
      </w:pPr>
    </w:p>
    <w:p>
      <w:pPr>
        <w:ind w:left="340" w:right="2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calculation is based on 25,880,064 shares of Class A Common Stock of the Issuer issued and outstanding as of November 3, 2023, as reported by the Issuer on its Form 10-Q filed with the SEC on November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 w:name="page4"/>
    <w:bookmarkEnd w:id="3"/>
    <w:p>
      <w:pPr>
        <w:ind w:left="10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4636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6463665"/>
                    </a:xfrm>
                    <a:prstGeom prst="rect">
                      <a:avLst/>
                    </a:prstGeom>
                    <a:noFill/>
                  </pic:spPr>
                </pic:pic>
              </a:graphicData>
            </a:graphic>
          </wp:anchor>
        </w:drawing>
        <w:t>NAME OF REPORTING PERSONS</w:t>
      </w:r>
    </w:p>
    <w:p>
      <w:pPr>
        <w:spacing w:after="0" w:line="27" w:lineRule="exact"/>
        <w:rPr>
          <w:sz w:val="20"/>
          <w:szCs w:val="20"/>
          <w:color w:val="auto"/>
        </w:rPr>
      </w:pPr>
    </w:p>
    <w:p>
      <w:pPr>
        <w:ind w:left="1020" w:right="4620" w:hanging="598"/>
        <w:spacing w:after="0" w:line="271" w:lineRule="auto"/>
        <w:tabs>
          <w:tab w:leader="none" w:pos="1020" w:val="left"/>
        </w:tabs>
        <w:numPr>
          <w:ilvl w:val="0"/>
          <w:numId w:val="10"/>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I.R.S. IDENTIFICATION NOS. OF ABOVE PERSONS (ENTITIES ONLY) South Lake Management LLC</w:t>
      </w:r>
    </w:p>
    <w:p>
      <w:pPr>
        <w:spacing w:after="0" w:line="5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1020" w:hanging="598"/>
        <w:spacing w:after="0" w:line="207" w:lineRule="exact"/>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15" w:lineRule="exact"/>
        <w:rPr>
          <w:rFonts w:ascii="Times New Roman" w:cs="Times New Roman" w:eastAsia="Times New Roman" w:hAnsi="Times New Roman"/>
          <w:sz w:val="18"/>
          <w:szCs w:val="18"/>
          <w:color w:val="auto"/>
        </w:rPr>
      </w:pPr>
    </w:p>
    <w:p>
      <w:pPr>
        <w:ind w:left="102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ind w:left="1020" w:hanging="598"/>
        <w:spacing w:after="0" w:line="199" w:lineRule="auto"/>
        <w:tabs>
          <w:tab w:leader="none" w:pos="1020" w:val="left"/>
        </w:tabs>
        <w:numPr>
          <w:ilvl w:val="0"/>
          <w:numId w:val="12"/>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SEC USE ONLY</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62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 w:type="dxa"/>
            <w:vAlign w:val="bottom"/>
            <w:vMerge w:val="continue"/>
          </w:tcPr>
          <w:p>
            <w:pPr>
              <w:spacing w:after="0"/>
              <w:rPr>
                <w:sz w:val="18"/>
                <w:szCs w:val="18"/>
                <w:color w:val="auto"/>
              </w:rPr>
            </w:pPr>
          </w:p>
        </w:tc>
        <w:tc>
          <w:tcPr>
            <w:tcW w:w="13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OO</w:t>
            </w:r>
          </w:p>
        </w:tc>
        <w:tc>
          <w:tcPr>
            <w:tcW w:w="7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75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62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1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75"/>
        </w:trPr>
        <w:tc>
          <w:tcPr>
            <w:tcW w:w="52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5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spacing w:after="0"/>
              <w:rPr>
                <w:sz w:val="14"/>
                <w:szCs w:val="14"/>
                <w:color w:val="auto"/>
              </w:rPr>
            </w:pPr>
          </w:p>
        </w:tc>
        <w:tc>
          <w:tcPr>
            <w:tcW w:w="75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62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20" w:type="dxa"/>
            <w:vAlign w:val="bottom"/>
            <w:vMerge w:val="continue"/>
          </w:tcPr>
          <w:p>
            <w:pPr>
              <w:spacing w:after="0"/>
              <w:rPr>
                <w:sz w:val="18"/>
                <w:szCs w:val="18"/>
                <w:color w:val="auto"/>
              </w:rPr>
            </w:pPr>
          </w:p>
        </w:tc>
        <w:tc>
          <w:tcPr>
            <w:tcW w:w="13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Delaware</w:t>
            </w:r>
          </w:p>
        </w:tc>
        <w:tc>
          <w:tcPr>
            <w:tcW w:w="7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5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Borders>
              <w:right w:val="single" w:sz="8" w:color="auto"/>
            </w:tcBorders>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rPr>
              <w:t>7</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7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12,131,554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5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7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75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720" w:type="dxa"/>
            <w:vAlign w:val="bottom"/>
            <w:tcBorders>
              <w:right w:val="single" w:sz="8" w:color="auto"/>
            </w:tcBorders>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0" w:type="dxa"/>
            <w:vAlign w:val="bottom"/>
            <w:tcBorders>
              <w:right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98"/>
              </w:rPr>
              <w:t>SHARES</w:t>
            </w:r>
          </w:p>
        </w:tc>
        <w:tc>
          <w:tcPr>
            <w:tcW w:w="180" w:type="dxa"/>
            <w:vAlign w:val="bottom"/>
          </w:tcPr>
          <w:p>
            <w:pPr>
              <w:spacing w:after="0"/>
              <w:rPr>
                <w:sz w:val="18"/>
                <w:szCs w:val="18"/>
                <w:color w:val="auto"/>
              </w:rPr>
            </w:pPr>
          </w:p>
        </w:tc>
        <w:tc>
          <w:tcPr>
            <w:tcW w:w="72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8</w:t>
            </w:r>
          </w:p>
        </w:tc>
        <w:tc>
          <w:tcPr>
            <w:tcW w:w="7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Borders>
              <w:right w:val="single" w:sz="8" w:color="auto"/>
            </w:tcBorders>
            <w:gridSpan w:val="2"/>
            <w:vMerge w:val="restart"/>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OWNED BY</w:t>
            </w: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75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720" w:type="dxa"/>
            <w:vAlign w:val="bottom"/>
            <w:tcBorders>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0" w:type="dxa"/>
            <w:vAlign w:val="bottom"/>
            <w:tcBorders>
              <w:right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97"/>
              </w:rPr>
              <w:t>EACH</w:t>
            </w:r>
          </w:p>
        </w:tc>
        <w:tc>
          <w:tcPr>
            <w:tcW w:w="180" w:type="dxa"/>
            <w:vAlign w:val="bottom"/>
          </w:tcPr>
          <w:p>
            <w:pPr>
              <w:spacing w:after="0"/>
              <w:rPr>
                <w:sz w:val="18"/>
                <w:szCs w:val="18"/>
                <w:color w:val="auto"/>
              </w:rPr>
            </w:pPr>
          </w:p>
        </w:tc>
        <w:tc>
          <w:tcPr>
            <w:tcW w:w="720" w:type="dxa"/>
            <w:vAlign w:val="bottom"/>
            <w:tcBorders>
              <w:right w:val="single" w:sz="8" w:color="auto"/>
            </w:tcBorders>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rPr>
              <w:t>9</w:t>
            </w:r>
          </w:p>
        </w:tc>
        <w:tc>
          <w:tcPr>
            <w:tcW w:w="75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8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7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12,131,554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20" w:type="dxa"/>
            <w:vAlign w:val="bottom"/>
          </w:tcPr>
          <w:p>
            <w:pPr>
              <w:spacing w:after="0"/>
              <w:rPr>
                <w:sz w:val="20"/>
                <w:szCs w:val="20"/>
                <w:color w:val="auto"/>
              </w:rPr>
            </w:pPr>
          </w:p>
        </w:tc>
        <w:tc>
          <w:tcPr>
            <w:tcW w:w="1200" w:type="dxa"/>
            <w:vAlign w:val="bottom"/>
            <w:tcBorders>
              <w:right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98"/>
              </w:rPr>
              <w:t>PERSON</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75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3"/>
                <w:szCs w:val="23"/>
                <w:color w:val="auto"/>
              </w:rPr>
            </w:pPr>
          </w:p>
        </w:tc>
        <w:tc>
          <w:tcPr>
            <w:tcW w:w="120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Borders>
              <w:right w:val="single" w:sz="8" w:color="auto"/>
            </w:tcBorders>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7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5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2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75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11</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12,131,554</w:t>
      </w:r>
    </w:p>
    <w:p>
      <w:pPr>
        <w:spacing w:after="0" w:line="72" w:lineRule="exact"/>
        <w:rPr>
          <w:sz w:val="20"/>
          <w:szCs w:val="20"/>
          <w:color w:val="auto"/>
        </w:rPr>
      </w:pPr>
    </w:p>
    <w:tbl>
      <w:tblPr>
        <w:tblLayout w:type="fixed"/>
        <w:tblInd w:w="380" w:type="dxa"/>
        <w:tblCellMar>
          <w:top w:w="0" w:type="dxa"/>
          <w:left w:w="0" w:type="dxa"/>
          <w:bottom w:w="0" w:type="dxa"/>
          <w:right w:w="0" w:type="dxa"/>
        </w:tblCellMar>
      </w:tblPr>
      <w:tr>
        <w:trPr>
          <w:trHeight w:val="303"/>
        </w:trPr>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12</w:t>
            </w:r>
          </w:p>
        </w:tc>
        <w:tc>
          <w:tcPr>
            <w:tcW w:w="9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13</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46.9%</w:t>
      </w:r>
      <w:r>
        <w:rPr>
          <w:rFonts w:ascii="Times New Roman" w:cs="Times New Roman" w:eastAsia="Times New Roman" w:hAnsi="Times New Roman"/>
          <w:sz w:val="29"/>
          <w:szCs w:val="29"/>
          <w:color w:val="auto"/>
          <w:vertAlign w:val="superscript"/>
        </w:rPr>
        <w:t>(3)</w:t>
      </w:r>
    </w:p>
    <w:p>
      <w:pPr>
        <w:spacing w:after="0" w:line="4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14</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OO</w:t>
      </w:r>
    </w:p>
    <w:p>
      <w:pPr>
        <w:spacing w:after="0" w:line="274" w:lineRule="exact"/>
        <w:rPr>
          <w:sz w:val="20"/>
          <w:szCs w:val="20"/>
          <w:color w:val="auto"/>
        </w:rPr>
      </w:pPr>
    </w:p>
    <w:p>
      <w:pPr>
        <w:ind w:left="340" w:right="2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calculation is based on 25,880,064 shares of Class A Common Stock of the Issuer issued and outstanding as of November 3, 2023, as reported by the Issuer on its Form 10-Q filed with the SEC on November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 w:name="page5"/>
    <w:bookmarkEnd w:id="4"/>
    <w:p>
      <w:pPr>
        <w:jc w:val="both"/>
        <w:spacing w:after="0" w:line="255" w:lineRule="auto"/>
        <w:rPr>
          <w:sz w:val="20"/>
          <w:szCs w:val="20"/>
          <w:color w:val="auto"/>
        </w:rPr>
      </w:pPr>
      <w:r>
        <w:rPr>
          <w:rFonts w:ascii="Times New Roman" w:cs="Times New Roman" w:eastAsia="Times New Roman" w:hAnsi="Times New Roman"/>
          <w:sz w:val="18"/>
          <w:szCs w:val="18"/>
          <w:color w:val="auto"/>
        </w:rPr>
        <w:t>This Amendment No. 3 (“</w:t>
      </w:r>
      <w:r>
        <w:rPr>
          <w:rFonts w:ascii="Times New Roman" w:cs="Times New Roman" w:eastAsia="Times New Roman" w:hAnsi="Times New Roman"/>
          <w:sz w:val="18"/>
          <w:szCs w:val="18"/>
          <w:u w:val="single" w:color="auto"/>
          <w:color w:val="auto"/>
        </w:rPr>
        <w:t>Amendment No. 3</w:t>
      </w:r>
      <w:r>
        <w:rPr>
          <w:rFonts w:ascii="Times New Roman" w:cs="Times New Roman" w:eastAsia="Times New Roman" w:hAnsi="Times New Roman"/>
          <w:sz w:val="18"/>
          <w:szCs w:val="18"/>
          <w:color w:val="auto"/>
        </w:rPr>
        <w:t>”), supplements and amends the Statement on Schedule 13D filed on August 9, 2021, as amended by Amendment No. 1 filed on February 1, 2022, and as further amended by Amendment No. 2 filed on March 15, 2023 (collectively, the “</w:t>
      </w:r>
      <w:r>
        <w:rPr>
          <w:rFonts w:ascii="Times New Roman" w:cs="Times New Roman" w:eastAsia="Times New Roman" w:hAnsi="Times New Roman"/>
          <w:sz w:val="18"/>
          <w:szCs w:val="18"/>
          <w:u w:val="single" w:color="auto"/>
          <w:color w:val="auto"/>
        </w:rPr>
        <w:t>Prior 13D Filings</w:t>
      </w:r>
      <w:r>
        <w:rPr>
          <w:rFonts w:ascii="Times New Roman" w:cs="Times New Roman" w:eastAsia="Times New Roman" w:hAnsi="Times New Roman"/>
          <w:sz w:val="18"/>
          <w:szCs w:val="18"/>
          <w:color w:val="auto"/>
        </w:rPr>
        <w:t>”), relating to the beneficial ownership of certain shares of Class A common stock, $0.0001 par value per share (the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Rani Therapeutics Holdings, Inc.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 Delaware corporation. Information reported in the Prior 13D Filings remains in effect except to the extent that it is amended, restated or superseded by information contained in this Amendment No. 3. Unless otherwise indicated, capitalized terms used but not otherwise defined herein shall have the meaning assigned to such terms in the Prior 13D Filings. Responses to each item of this Amendment No. 3 are incorporated by reference into the response to each other item, as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Prior 13D Filings, South Lake One purchased an aggregate of 5,353,004 shares of Class A Common Stock for an aggregate purchase price of approximately $11.2 million through (i) multiple open-market purchases during March 2023, April 2023, and May 2023 for an aggregate purchase price of approximately $0.6 million and (ii) a private secondary purchase of 5,265,165 shares of Class A Common Stock on November 24, 2023 for approximately $10.6 million, in each case as previously reported on a Form 4 filed with the SEC.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funds used by South Lake One to purchase the Class A Common Stock were obtained from its working capital.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the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above in Item 3 of this Amendment No. 3 is incorporated herein by reference.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Reporting Persons acquired and hold the shares of Class A Common Stock reported herein for investment purposes. The Reporting Persons intend to review their investment on a regular basis and, as a result thereof, may at any time or from time to time determine to, directly or indirectly (a) acquire additional securities of the Issuer, through open market purchases, privately negotiated transactions or otherwise, (b) dispose of all or a portion of the securities of the Issuer owned by it in the open market, in privately negotiated transactions or otherwise, (c) enter into privately negotiated derivative transactions with institutional counterparties to hedge the market risk of some or all of its positions in the securities of the Issuer or (d) take any other available course of action, which could involve one or more of the types of transactions or have one or more of the results described in clauses (a) through</w:t>
      </w:r>
    </w:p>
    <w:p>
      <w:pPr>
        <w:spacing w:after="0" w:line="5" w:lineRule="exact"/>
        <w:rPr>
          <w:sz w:val="20"/>
          <w:szCs w:val="20"/>
          <w:color w:val="auto"/>
        </w:rPr>
      </w:pPr>
    </w:p>
    <w:p>
      <w:pPr>
        <w:jc w:val="both"/>
        <w:ind w:firstLine="8"/>
        <w:spacing w:after="0" w:line="251" w:lineRule="auto"/>
        <w:tabs>
          <w:tab w:leader="none" w:pos="2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Item 4 of Schedule 13D. Any such acquisition or disposition or other transaction would be made in compliance with all applicable laws and regulations. Notwithstanding anything contained herein, the Reporting Persons specifically reserve the right to change their intention with respect to any or all of such matters. In reaching any decision as to its course of action (as well as to the specific elements thereof), the Reporting Persons currently expect that it would take into consideration a variety of factors, including, but not limited to, the following: (i) the Issuer’s business and prospects; (ii) other developments concerning the Issuer and its businesses generally; (iii) other business opportunities available to the Reporting Persons; (iv) changes in law and government regulations; (v) general economic conditions; and (vi) financial and stock market conditions, including the market price of the securities of the Issuer. Except as set forth herein or in the Prior 13D Filings, the Reporting Persons have no present plans or proposals that relate to or that would result in any of the actions specified in clauses (a) through (j) of Item 4 of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color w:val="auto"/>
        </w:rPr>
        <w:t>Item 5. Interest in Securities of the Issuer.</w:t>
      </w:r>
    </w:p>
    <w:p>
      <w:pPr>
        <w:sectPr>
          <w:pgSz w:w="11900" w:h="16838" w:orient="portrait"/>
          <w:cols w:equalWidth="0" w:num="1">
            <w:col w:w="11240"/>
          </w:cols>
          <w:pgMar w:left="320" w:top="900" w:right="33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(b)</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South Lake Management indirectly holds an aggregate of 12,131,554 shares of Class A Common Stock of the Issuer. Each share of Class A Common Stock is entitled to one vote. South Lake Management beneficially owns 46.9% of the outstanding Class A Common Stock of the Issuer.</w:t>
      </w:r>
    </w:p>
    <w:p>
      <w:pPr>
        <w:spacing w:after="0" w:line="176" w:lineRule="exact"/>
        <w:rPr>
          <w:sz w:val="20"/>
          <w:szCs w:val="20"/>
          <w:color w:val="auto"/>
        </w:rPr>
      </w:pPr>
    </w:p>
    <w:p>
      <w:pPr>
        <w:sectPr>
          <w:pgSz w:w="11900" w:h="16838" w:orient="portrait"/>
          <w:cols w:equalWidth="0" w:num="2">
            <w:col w:w="600" w:space="700"/>
            <w:col w:w="9940"/>
          </w:cols>
          <w:pgMar w:left="320" w:top="900" w:right="339" w:bottom="1440" w:gutter="0" w:footer="0" w:header="0"/>
          <w:type w:val="continuous"/>
        </w:sect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South Cone indirectly holds an aggregate of 12,131,554 shares of Class A Common Stock of the Issuer. Each share of Class A Common Stock is entitled to one vote. South Cone beneficially owns 46.9% of the outstanding Class A Common Stock of the Issuer.</w:t>
      </w:r>
    </w:p>
    <w:p>
      <w:pPr>
        <w:spacing w:after="0" w:line="16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South Lake One directly holds an aggregate of 12,131,554 shares of Class A Common Stock of the Issuer. Each share of Class A Common Stock is entitled to one vote. South Lake One directly owns 46.9% of the outstanding Class A Common Stock of the Issuer.</w:t>
      </w:r>
    </w:p>
    <w:p>
      <w:pPr>
        <w:spacing w:after="0" w:line="16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South Lake Management, through South Cone, indirectly controls South Lake One, which has sole voting power and sole dispositive power with respect to 12,131,554 shares of Class A Common Stock of the Issuer held directly by it. South Lake One is wholly owned by South Cone, which is controlled by its general partner, South Lake Management, which is controlled by its Board of Managers.</w:t>
      </w:r>
    </w:p>
    <w:p>
      <w:pPr>
        <w:spacing w:after="0" w:line="176"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shares of Class A Common Stock owned by the Reporting Persons as a percentage of the outstanding shares of Class A Common Stock of the Issuer presented in this Amendment No. 3 is based upon 25,880,064 shares of Class A Common Stock issued and outstanding as of November 3, 2023, as reported by the Issuer on its Form 10-Q filed with the SEC on November 8, 2023.</w:t>
      </w:r>
    </w:p>
    <w:p>
      <w:pPr>
        <w:sectPr>
          <w:pgSz w:w="11900" w:h="16838" w:orient="portrait"/>
          <w:cols w:equalWidth="0" w:num="1">
            <w:col w:w="11240"/>
          </w:cols>
          <w:pgMar w:left="320" w:top="900" w:right="339" w:bottom="1440" w:gutter="0" w:footer="0" w:header="0"/>
          <w:type w:val="continuous"/>
        </w:sectPr>
      </w:pPr>
    </w:p>
    <w:p>
      <w:pPr>
        <w:spacing w:after="0" w:line="176" w:lineRule="exact"/>
        <w:rPr>
          <w:sz w:val="20"/>
          <w:szCs w:val="20"/>
          <w:color w:val="auto"/>
        </w:rPr>
      </w:pPr>
    </w:p>
    <w:p>
      <w:pPr>
        <w:jc w:val="both"/>
        <w:ind w:left="1300" w:hanging="1292"/>
        <w:spacing w:after="0" w:line="26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24, 2023, South Lake One acquired 5,265,165 shares of Class A Common Stock of the Issuer for a purchase price of $2.01 per share in connection with a single private secondary sale at the prevailing market price. The information set forth in Item 3 and Item 4 of this Amendment No. 3 is incorporated by reference herein.</w:t>
      </w:r>
    </w:p>
    <w:p>
      <w:pPr>
        <w:spacing w:after="0" w:line="175"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Materials to be Filed as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 — Joint Filing Agreement, dated December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each of the Prior Reporting Person’s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8, 2023</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South Lake Management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Isidoro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Isidoro Quiroga Cortés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Luis Felipe Correa González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Luis Felipe Correa González</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South Cone Investments Limited Partnership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South Lake Management LLC,</w:t>
      </w:r>
    </w:p>
    <w:p>
      <w:pPr>
        <w:spacing w:after="0" w:line="3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as General Partner</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/s/ Isidoro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Isidoro Quiroga Cortés</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/s/ Luis Felipe Correa González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Luis Felipe Correa González</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South Lake One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Isidoro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Isidoro Quiroga Cortés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Luis Felipe Correa González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Luis Felipe Correa González</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13D JOINT FILING AGREEMENT</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Rule 13d-1(k) under the Securities Exchange Act of 1934, as amended, and subject to the limitations set forth therein, the parties set forth below agree to jointly file the Schedule 13D to which this Joint Filing Agreement is attached and have duly executed this Joint Filing Agreement as of December 8, 2023.</w:t>
      </w:r>
    </w:p>
    <w:p>
      <w:pPr>
        <w:spacing w:after="0" w:line="3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South Lake Management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Isidoro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Isidoro Quiroga Cortés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Luis Felipe Correa González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Luis Felipe Correa González</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South Cone Investments Limited Partnership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South Lake Management LLC,</w:t>
      </w:r>
    </w:p>
    <w:p>
      <w:pPr>
        <w:spacing w:after="0" w:line="3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as General Partner</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/s/ Isidoro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Isidoro Quiroga Cortés</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/s/ Luis Felipe Correa González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Luis Felipe Correa González</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South Lake One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Isidoro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Isidoro Quiroga Cortés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Luis Felipe Correa González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Luis Felipe Correa González</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bullet"/>
      <w:start w:val="1"/>
    </w:lvl>
  </w:abstractNum>
  <w:abstractNum w:abstractNumId="2">
    <w:nsid w:val="5BD062C2"/>
    <w:multiLevelType w:val="hybridMultilevel"/>
    <w:lvl w:ilvl="0">
      <w:lvlJc w:val="left"/>
      <w:lvlText w:val="2"/>
      <w:numFmt w:val="bullet"/>
      <w:start w:val="1"/>
    </w:lvl>
  </w:abstractNum>
  <w:abstractNum w:abstractNumId="3">
    <w:nsid w:val="12200854"/>
    <w:multiLevelType w:val="hybridMultilevel"/>
    <w:lvl w:ilvl="0">
      <w:lvlJc w:val="left"/>
      <w:lvlText w:val="3"/>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bullet"/>
      <w:start w:val="1"/>
    </w:lvl>
  </w:abstractNum>
  <w:abstractNum w:abstractNumId="6">
    <w:nsid w:val="1F16E9E8"/>
    <w:multiLevelType w:val="hybridMultilevel"/>
    <w:lvl w:ilvl="0">
      <w:lvlJc w:val="left"/>
      <w:lvlText w:val="2"/>
      <w:numFmt w:val="bullet"/>
      <w:start w:val="1"/>
    </w:lvl>
  </w:abstractNum>
  <w:abstractNum w:abstractNumId="7">
    <w:nsid w:val="1190CDE7"/>
    <w:multiLevelType w:val="hybridMultilevel"/>
    <w:lvl w:ilvl="0">
      <w:lvlJc w:val="left"/>
      <w:lvlText w:val="3"/>
      <w:numFmt w:val="bullet"/>
      <w:start w:val="1"/>
    </w:lvl>
  </w:abstractNum>
  <w:abstractNum w:abstractNumId="8">
    <w:nsid w:val="66EF438D"/>
    <w:multiLevelType w:val="hybridMultilevel"/>
    <w:lvl w:ilvl="0">
      <w:lvlJc w:val="left"/>
      <w:lvlText w:val="(%1)"/>
      <w:numFmt w:val="decimal"/>
      <w:start w:val="2"/>
    </w:lvl>
  </w:abstractNum>
  <w:abstractNum w:abstractNumId="9">
    <w:nsid w:val="140E0F76"/>
    <w:multiLevelType w:val="hybridMultilevel"/>
    <w:lvl w:ilvl="0">
      <w:lvlJc w:val="left"/>
      <w:lvlText w:val="1"/>
      <w:numFmt w:val="bullet"/>
      <w:start w:val="1"/>
    </w:lvl>
  </w:abstractNum>
  <w:abstractNum w:abstractNumId="10">
    <w:nsid w:val="3352255A"/>
    <w:multiLevelType w:val="hybridMultilevel"/>
    <w:lvl w:ilvl="0">
      <w:lvlJc w:val="left"/>
      <w:lvlText w:val="2"/>
      <w:numFmt w:val="bullet"/>
      <w:start w:val="1"/>
    </w:lvl>
  </w:abstractNum>
  <w:abstractNum w:abstractNumId="11">
    <w:nsid w:val="109CF92E"/>
    <w:multiLevelType w:val="hybridMultilevel"/>
    <w:lvl w:ilvl="0">
      <w:lvlJc w:val="left"/>
      <w:lvlText w:val="3"/>
      <w:numFmt w:val="bullet"/>
      <w:start w:val="1"/>
    </w:lvl>
  </w:abstractNum>
  <w:abstractNum w:abstractNumId="12">
    <w:nsid w:val="DED7263"/>
    <w:multiLevelType w:val="hybridMultilevel"/>
    <w:lvl w:ilvl="0">
      <w:lvlJc w:val="left"/>
      <w:lvlText w:val="(%1)"/>
      <w:numFmt w:val="decimal"/>
      <w:start w:val="3"/>
    </w:lvl>
  </w:abstractNum>
  <w:abstractNum w:abstractNumId="13">
    <w:nsid w:val="7FDCC233"/>
    <w:multiLevelType w:val="hybridMultilevel"/>
    <w:lvl w:ilvl="0">
      <w:lvlJc w:val="left"/>
      <w:lvlText w:val="(%1)"/>
      <w:numFmt w:val="lowerLetter"/>
      <w:start w:val="10"/>
    </w:lvl>
  </w:abstractNum>
  <w:abstractNum w:abstractNumId="14">
    <w:nsid w:val="1BEFD79F"/>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2023-12-08T15:38:41Z</dcterms:created>
  <dcterms:modified xsi:type="dcterms:W3CDTF">2023-12-08T15:38:41Z</dcterms:modified>
</cp:coreProperties>
</file>