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rani-20230630.htm"/>
      <w:bookmarkStart w:id="1" w:name="ksrani20230630"/>
      <w:bookmarkEnd w:id="0"/>
      <w:bookmarkEnd w:id="1"/>
      <w:r>
        <w:rPr/>
        <w:t> </w:t>
      </w:r>
    </w:p>
    <w:p>
      <w:pPr>
        <w:pStyle w:val="TextBody"/>
        <w:bidi w:val="0"/>
        <w:spacing w:before="0" w:after="0"/>
        <w:ind w:left="0" w:right="0" w:hanging="0"/>
        <w:jc w:val="left"/>
        <w:rPr/>
      </w:pPr>
      <w:r>
        <w:rPr/>
        <w:t> </w:t>
      </w:r>
    </w:p>
    <w:p>
      <w:pPr>
        <w:pStyle w:val="TextBody"/>
        <w:pBdr>
          <w:top w:val="double" w:sz="6" w:space="1" w:color="000000"/>
        </w:pBdr>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ind w:left="0" w:right="0" w:hanging="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ind w:left="0" w:right="0" w:hanging="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40" w:after="100"/>
        <w:ind w:left="4320" w:right="4320" w:hanging="0"/>
        <w:jc w:val="center"/>
        <w:rPr/>
      </w:pPr>
      <w:r>
        <w:rPr/>
        <w:t> </w:t>
      </w:r>
    </w:p>
    <w:p>
      <w:pPr>
        <w:pStyle w:val="TextBody"/>
        <w:bidi w:val="0"/>
        <w:spacing w:before="120" w:after="0"/>
        <w:ind w:left="0" w:right="0" w:hanging="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40" w:after="100"/>
        <w:ind w:left="4320" w:right="4320" w:hanging="0"/>
        <w:jc w:val="center"/>
        <w:rPr/>
      </w:pPr>
      <w:r>
        <w:rPr/>
        <w:t> </w:t>
      </w:r>
    </w:p>
    <w:p>
      <w:pPr>
        <w:pStyle w:val="TextBody"/>
        <w:bidi w:val="0"/>
        <w:spacing w:before="90" w:after="0"/>
        <w:ind w:left="0" w:right="0" w:hanging="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20" w:after="0"/>
        <w:ind w:left="0" w:right="0" w:hanging="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ind w:left="0" w:right="0" w:hanging="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20" w:after="0"/>
        <w:ind w:left="0" w:right="0" w:hanging="0"/>
        <w:jc w:val="center"/>
        <w:rPr>
          <w:rFonts w:ascii="Times New Roman;serif" w:hAnsi="Times New Roman;serif"/>
          <w:b/>
          <w:sz w:val="20"/>
        </w:rPr>
      </w:pPr>
      <w:r>
        <w:rPr>
          <w:rFonts w:ascii="Times New Roman;serif" w:hAnsi="Times New Roman;serif"/>
          <w:b/>
          <w:sz w:val="20"/>
        </w:rPr>
        <w:t>For the transition period from ________________ to ________________</w:t>
      </w:r>
    </w:p>
    <w:p>
      <w:pPr>
        <w:pStyle w:val="TextBody"/>
        <w:bidi w:val="0"/>
        <w:spacing w:before="120" w:after="0"/>
        <w:ind w:left="0" w:right="0" w:hanging="0"/>
        <w:jc w:val="center"/>
        <w:rPr>
          <w:rFonts w:ascii="Times New Roman;serif" w:hAnsi="Times New Roman;serif"/>
          <w:b/>
          <w:sz w:val="20"/>
        </w:rPr>
      </w:pPr>
      <w:r>
        <w:rPr>
          <w:rFonts w:ascii="Times New Roman;serif" w:hAnsi="Times New Roman;serif"/>
          <w:b/>
          <w:sz w:val="20"/>
        </w:rPr>
        <w:t>Commission File Number: 001-40672</w:t>
      </w:r>
    </w:p>
    <w:p>
      <w:pPr>
        <w:pStyle w:val="TextBody"/>
        <w:pBdr>
          <w:bottom w:val="single" w:sz="4" w:space="1" w:color="000000"/>
        </w:pBdr>
        <w:bidi w:val="0"/>
        <w:spacing w:before="40" w:after="100"/>
        <w:ind w:left="4320" w:right="4320" w:hanging="0"/>
        <w:jc w:val="center"/>
        <w:rPr/>
      </w:pPr>
      <w:r>
        <w:rPr/>
        <w:t> </w:t>
      </w:r>
    </w:p>
    <w:p>
      <w:pPr>
        <w:pStyle w:val="TextBody"/>
        <w:bidi w:val="0"/>
        <w:spacing w:before="0" w:after="0"/>
        <w:ind w:left="0" w:right="0" w:hanging="0"/>
        <w:jc w:val="center"/>
        <w:rPr>
          <w:rFonts w:ascii="Times New Roman;serif" w:hAnsi="Times New Roman;serif"/>
          <w:b/>
          <w:sz w:val="48"/>
        </w:rPr>
      </w:pPr>
      <w:r>
        <w:rPr>
          <w:rFonts w:ascii="Times New Roman;serif" w:hAnsi="Times New Roman;serif"/>
          <w:b/>
          <w:sz w:val="48"/>
        </w:rPr>
        <w:t>RANI THERAPEUTICS HOLDINGS, INC.</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40" w:after="0"/>
        <w:ind w:left="4320" w:right="4320" w:hanging="0"/>
        <w:jc w:val="center"/>
        <w:rPr/>
      </w:pPr>
      <w:r>
        <w:rPr/>
        <w:t> </w:t>
      </w:r>
    </w:p>
    <w:p>
      <w:pPr>
        <w:pStyle w:val="TextBody"/>
        <w:bidi w:val="0"/>
        <w:spacing w:before="0" w:after="0"/>
        <w:ind w:left="0" w:right="0" w:hanging="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86-3114789</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2051 Ringwood Avenue</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San Jose, California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95131</w:t>
            </w:r>
          </w:p>
        </w:tc>
      </w:tr>
      <w:tr>
        <w:trPr/>
        <w:tc>
          <w:tcPr>
            <w:tcW w:w="24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ind w:left="0" w:right="0" w:hanging="0"/>
        <w:jc w:val="center"/>
        <w:rPr>
          <w:rFonts w:ascii="Times New Roman;serif" w:hAnsi="Times New Roman;serif"/>
          <w:b/>
          <w:sz w:val="20"/>
        </w:rPr>
      </w:pPr>
      <w:r>
        <w:rPr>
          <w:rFonts w:ascii="Times New Roman;serif" w:hAnsi="Times New Roman;serif"/>
          <w:b/>
          <w:sz w:val="20"/>
        </w:rPr>
        <w:t>Registrant’s telephone number, including area code: (408) 457-3700</w:t>
      </w:r>
    </w:p>
    <w:p>
      <w:pPr>
        <w:pStyle w:val="TextBody"/>
        <w:pBdr>
          <w:bottom w:val="single" w:sz="4" w:space="1" w:color="000000"/>
        </w:pBdr>
        <w:bidi w:val="0"/>
        <w:spacing w:before="40" w:after="0"/>
        <w:ind w:left="4320" w:right="4320" w:hanging="0"/>
        <w:jc w:val="center"/>
        <w:rPr/>
      </w:pPr>
      <w:r>
        <w:rPr/>
        <w:t> </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ind w:left="0" w:right="0" w:hanging="0"/>
        <w:jc w:val="left"/>
        <w:rPr/>
      </w:pPr>
      <w:r>
        <w:rPr/>
        <w:t> </w:t>
      </w:r>
    </w:p>
    <w:tbl>
      <w:tblPr>
        <w:tblW w:w="8260" w:type="dxa"/>
        <w:jc w:val="left"/>
        <w:tblInd w:w="0" w:type="dxa"/>
        <w:tblLayout w:type="fixed"/>
        <w:tblCellMar>
          <w:top w:w="28" w:type="dxa"/>
          <w:left w:w="28" w:type="dxa"/>
          <w:bottom w:w="28" w:type="dxa"/>
          <w:right w:w="28" w:type="dxa"/>
        </w:tblCellMar>
      </w:tblPr>
      <w:tblGrid>
        <w:gridCol w:w="3826"/>
        <w:gridCol w:w="146"/>
        <w:gridCol w:w="826"/>
        <w:gridCol w:w="146"/>
        <w:gridCol w:w="331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8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RANI</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120" w:after="0"/>
        <w:ind w:left="0" w:right="0" w:firstLine="576"/>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ind w:left="0" w:right="0" w:firstLine="576"/>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20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76"/>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r>
        <w:rPr>
          <w:rFonts w:ascii="Times New Roman" w:hAnsi="Times New Roman"/>
          <w:sz w:val="20"/>
        </w:rPr>
        <w:t xml:space="preserve"> </w:t>
      </w:r>
    </w:p>
    <w:p>
      <w:pPr>
        <w:pStyle w:val="TextBody"/>
        <w:bidi w:val="0"/>
        <w:spacing w:before="80" w:after="0"/>
        <w:ind w:left="0" w:right="0" w:firstLine="576"/>
        <w:jc w:val="left"/>
        <w:rPr>
          <w:rFonts w:ascii="Times New Roman" w:hAnsi="Times New Roman"/>
          <w:sz w:val="20"/>
        </w:rPr>
      </w:pPr>
      <w:r>
        <w:rPr>
          <w:rFonts w:ascii="Times New Roman;serif" w:hAnsi="Times New Roman;serif"/>
          <w:b w:val="false"/>
          <w:sz w:val="18"/>
        </w:rPr>
        <w:t>As of August 8, 2023, the registrant had 25,531,772</w:t>
      </w:r>
      <w:r>
        <w:rPr>
          <w:rFonts w:ascii="Times New Roman" w:hAnsi="Times New Roman"/>
          <w:sz w:val="20"/>
        </w:rPr>
        <w:t xml:space="preserve"> </w:t>
      </w:r>
      <w:r>
        <w:rPr>
          <w:rFonts w:ascii="Times New Roman;serif" w:hAnsi="Times New Roman;serif"/>
          <w:b w:val="false"/>
          <w:sz w:val="18"/>
        </w:rPr>
        <w:t>shares of Class A common stock, $0.0001 par value per share, outstanding, 24,116,444</w:t>
      </w:r>
      <w:r>
        <w:rPr>
          <w:rFonts w:ascii="Times New Roman" w:hAnsi="Times New Roman"/>
          <w:sz w:val="20"/>
        </w:rPr>
        <w:t xml:space="preserve"> </w:t>
      </w:r>
      <w:r>
        <w:rPr>
          <w:rFonts w:ascii="Times New Roman;serif" w:hAnsi="Times New Roman;serif"/>
          <w:b w:val="false"/>
          <w:sz w:val="18"/>
        </w:rPr>
        <w:t>shares of Class B common stock, $0.0001 par value per share, outstanding and no</w:t>
      </w:r>
      <w:r>
        <w:rPr>
          <w:rFonts w:ascii="Times New Roman" w:hAnsi="Times New Roman"/>
          <w:sz w:val="20"/>
        </w:rPr>
        <w:t xml:space="preserve"> </w:t>
      </w:r>
      <w:r>
        <w:rPr>
          <w:rFonts w:ascii="Times New Roman;serif" w:hAnsi="Times New Roman;serif"/>
          <w:b w:val="false"/>
          <w:sz w:val="18"/>
        </w:rPr>
        <w:t>shares of Class C common stock, $0.0001 par value per share, outstanding. Certain holders of units of the registrant’s consolidated subsidiary, Rani Therapeutics, LLC, who do not hold shares of the registrant’s Class B common stock can exchange their units of Rani Therapeutics, LLC for 1,376,851 shares of the registrant’s Class A common stock.</w:t>
      </w:r>
    </w:p>
    <w:p>
      <w:pPr>
        <w:pStyle w:val="TextBody"/>
        <w:pBdr>
          <w:bottom w:val="double" w:sz="6" w:space="1" w:color="000000"/>
        </w:pBdr>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ind w:left="0" w:right="0" w:hanging="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252" w:type="dxa"/>
            <w:gridSpan w:val="2"/>
            <w:tcBorders/>
            <w:vAlign w:val="center"/>
          </w:tcPr>
          <w:p>
            <w:pPr>
              <w:pStyle w:val="TableContents"/>
              <w:bidi w:val="0"/>
              <w:spacing w:before="0" w:after="0"/>
              <w:ind w:left="0" w:right="0" w:hanging="0"/>
              <w:jc w:val="left"/>
              <w:rPr/>
            </w:pPr>
            <w:hyperlink w:anchor="special_note_regarding_forward_looking_s">
              <w:r>
                <w:rPr>
                  <w:rStyle w:val="InternetLink"/>
                  <w:rFonts w:ascii="Times New Roman;serif" w:hAnsi="Times New Roman;serif"/>
                  <w:b w:val="false"/>
                  <w:sz w:val="20"/>
                  <w:u w:val="single"/>
                </w:rPr>
                <w:t>Special Note Regarding Forward-Looking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INFORMATION</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RANI THERAPEUTICS HOLDINGS, INC.</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balance_sheet_llc">
              <w:r>
                <w:rPr>
                  <w:rStyle w:val="InternetLink"/>
                  <w:rFonts w:ascii="Times New Roman;serif" w:hAnsi="Times New Roman;serif"/>
                  <w:b w:val="false"/>
                  <w:sz w:val="20"/>
                  <w:u w:val="single"/>
                </w:rPr>
                <w:t>Financial Statements (Unaudited)</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balance_sheet_llc">
              <w:r>
                <w:rPr>
                  <w:rStyle w:val="InternetLink"/>
                  <w:rFonts w:ascii="Times New Roman;serif" w:hAnsi="Times New Roman;serif"/>
                  <w:b w:val="false"/>
                  <w:sz w:val="20"/>
                  <w:u w:val="single"/>
                </w:rPr>
                <w:t>Condensed Consolidated Balance Sheets</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statements_of_operations">
              <w:r>
                <w:rPr>
                  <w:rStyle w:val="InternetLink"/>
                  <w:rFonts w:ascii="Times New Roman;serif" w:hAnsi="Times New Roman;serif"/>
                  <w:b w:val="false"/>
                  <w:sz w:val="20"/>
                  <w:u w:val="single"/>
                </w:rPr>
                <w:t>Condensed Consolidated Statements of Operations</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serif" w:hAnsi="Times New Roman;serif"/>
                  <w:b w:val="false"/>
                  <w:sz w:val="20"/>
                  <w:u w:val="single"/>
                </w:rPr>
                <w:t>Condensed Consolidated Statements of Comprehensive Loss</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statements_of_changes_llc">
              <w:r>
                <w:rPr>
                  <w:rStyle w:val="InternetLink"/>
                  <w:rFonts w:ascii="Times New Roman;serif" w:hAnsi="Times New Roman;serif"/>
                  <w:b w:val="false"/>
                  <w:sz w:val="20"/>
                  <w:u w:val="single"/>
                </w:rPr>
                <w:t>Condensed Consolidated Statements of Changes in Stockholders’ Equity</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cash_flows_llc">
              <w:r>
                <w:rPr>
                  <w:rStyle w:val="InternetLink"/>
                  <w:rFonts w:ascii="Times New Roman;serif" w:hAnsi="Times New Roman;serif"/>
                  <w:b w:val="false"/>
                  <w:sz w:val="20"/>
                  <w:u w:val="single"/>
                </w:rPr>
                <w:t>Condensed Consolidated Statements of Cash Flows</w:t>
              </w:r>
            </w:hyperlink>
          </w:p>
        </w:tc>
        <w:tc>
          <w:tcPr>
            <w:tcW w:w="511" w:type="dxa"/>
            <w:tcBorders/>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9</w:t>
            </w:r>
          </w:p>
        </w:tc>
      </w:tr>
      <w:tr>
        <w:trPr/>
        <w:tc>
          <w:tcPr>
            <w:tcW w:w="886" w:type="dxa"/>
            <w:tcBorders/>
            <w:vAlign w:val="center"/>
          </w:tcPr>
          <w:p>
            <w:pPr>
              <w:pStyle w:val="TableContents"/>
              <w:bidi w:val="0"/>
              <w:spacing w:before="0" w:after="0"/>
              <w:ind w:left="137" w:right="0" w:hanging="0"/>
              <w:jc w:val="left"/>
              <w:rPr/>
            </w:pPr>
            <w:r>
              <w:rPr/>
              <w:t> </w:t>
            </w:r>
          </w:p>
        </w:tc>
        <w:tc>
          <w:tcPr>
            <w:tcW w:w="7366" w:type="dxa"/>
            <w:tcBorders/>
            <w:vAlign w:val="center"/>
          </w:tcPr>
          <w:p>
            <w:pPr>
              <w:pStyle w:val="TableContents"/>
              <w:bidi w:val="0"/>
              <w:spacing w:before="0" w:after="0"/>
              <w:ind w:left="0" w:right="0" w:hanging="0"/>
              <w:jc w:val="left"/>
              <w:rPr/>
            </w:pPr>
            <w:hyperlink w:anchor="notes_llc">
              <w:r>
                <w:rPr>
                  <w:rStyle w:val="InternetLink"/>
                  <w:rFonts w:ascii="Times New Roman;serif" w:hAnsi="Times New Roman;serif"/>
                  <w:b w:val="false"/>
                  <w:sz w:val="20"/>
                  <w:u w:val="single"/>
                </w:rPr>
                <w:t>Notes to Unaudited Condensed Consolidated Financial Statements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3_quantitative">
              <w:r>
                <w:rPr>
                  <w:rStyle w:val="InternetLink"/>
                  <w:rFonts w:ascii="Times New Roman;serif" w:hAnsi="Times New Roman;serif"/>
                  <w:b w:val="false"/>
                  <w:sz w:val="20"/>
                  <w:u w:val="single"/>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4_controlsandprocedures">
              <w:r>
                <w:rPr>
                  <w:rStyle w:val="InternetLink"/>
                  <w:rFonts w:ascii="Times New Roman;serif" w:hAnsi="Times New Roman;serif"/>
                  <w:b w:val="false"/>
                  <w:sz w:val="20"/>
                  <w:u w:val="single"/>
                </w:rPr>
                <w:t>Controls and Procedures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bidi w:val="0"/>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 </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8252"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bl>
    <w:p>
      <w:pPr>
        <w:pStyle w:val="TextBody"/>
        <w:bidi w:val="0"/>
        <w:spacing w:before="0" w:after="0"/>
        <w:ind w:left="0" w:right="0" w:hanging="0"/>
        <w:jc w:val="left"/>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Unless otherwise stated or the context otherwise requires, the terms “we,” “us,” and “our,” and similar references refer to Rani Therapeutics Holdings, Inc. (“Rani Holdings”) and its consolidated subsidiary, Rani Therapeutics, LLC (“Rani LLC”) and, prior to December 15, 2022, Rani Management Systems, Inc. (“RMS”). RMS was dissolved as of December 15, 2022.</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serif" w:hAnsi="Times New Roman;serif"/>
          <w:b/>
          <w:sz w:val="20"/>
        </w:rPr>
      </w:pPr>
      <w:bookmarkStart w:id="2" w:name="special_note_regarding_forward_looking_s"/>
      <w:bookmarkEnd w:id="2"/>
      <w:r>
        <w:rPr>
          <w:rFonts w:ascii="Times New Roman;serif" w:hAnsi="Times New Roman;serif"/>
          <w:b/>
          <w:sz w:val="20"/>
        </w:rPr>
        <w:t>SPECIAL NOTE REGARDING FORWARD-LOOKING STATEMENTS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pStyle w:val="TextBody"/>
        <w:bidi w:val="0"/>
        <w:spacing w:before="0" w:after="0"/>
        <w:ind w:left="0" w:right="0" w:hanging="0"/>
        <w:jc w:val="left"/>
        <w:rPr/>
      </w:pPr>
      <w:r>
        <w:rPr/>
        <w:t> </w:t>
      </w:r>
    </w:p>
    <w:p>
      <w:pPr>
        <w:pStyle w:val="TextBody"/>
        <w:bidi w:val="0"/>
        <w:spacing w:before="0" w:after="0"/>
        <w:ind w:left="979" w:right="0" w:hanging="0"/>
        <w:jc w:val="left"/>
        <w:rPr/>
      </w:pPr>
      <w:r>
        <w:rPr/>
        <w: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progress and focus of our current and future clinical trials in the United States and abroad, and the reporting of data from those trials;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advance product candidates into and successfully complete clinical trials;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beneficial characteristics, safety, efficacy, and therapeutic effects of our product candidates;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potential and ability to successfully manufacture and supply our product candidates for clinical trials and for commercial use, if approved;</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currently used for our product candidates;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further develop and expand our platform technology;</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utilize our technology platform to generate and advance additional product candidates;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accuracy of our estimates regarding expenses, future revenue, capital requirements, and needs for additional financing;</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financial performance;</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relating to commercializing our product candidates, if approved;</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selectively enter into strategic partnership and the expected potential benefits thereof;</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implementation of our strategic plans for our business and product candidates;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continue to scale and optimize our manufacturing processes by expanding our use of automation;</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of the number of patients in the United States who suffer from the indications we target and the number of patients that will enroll in our clinical trials;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of the market opportunity for our product candidates in each of the indications we target;</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continue to innovate and expand our intellectual property by developing novel formulations and new applications of the RaniPill capsule;</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and ability to obtain or protect intellectual property rights, including extensions of existing patent terms where available;</w:t>
      </w:r>
    </w:p>
    <w:p>
      <w:pPr>
        <w:pStyle w:val="TextBody"/>
        <w:bidi w:val="0"/>
        <w:spacing w:before="120" w:after="0"/>
        <w:ind w:left="97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including our technology platform and product candidates;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sufficiency of our existing cash and cash equivalents to fund our future operating expenses and capital expenditure requirements;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relating to our competitors and our industry, including competing product candidates and therapies;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pStyle w:val="TextBody"/>
        <w:bidi w:val="0"/>
        <w:spacing w:before="120" w:after="0"/>
        <w:ind w:left="97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expectations regarding the period during which we will qualify as an emerging growth company under the Jumpstart Our Business Startups Act of 2012 (the “JOBS Act”).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These forward-looking statements are subject to a number of risks, uncertainties, and assumptions described in the section titled “Risk Factors” and elsewhere in our Annual Report on Form 10-K filed with the Securities and Exchange Commission on March 22, 2023.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 w:hAnsi="Times New Roman"/>
          <w:sz w:val="20"/>
        </w:rPr>
      </w:pPr>
      <w:bookmarkStart w:id="3" w:name="balance_sheet_llc"/>
      <w:bookmarkEnd w:id="3"/>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(in thousands, except par value)</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159"/>
        <w:gridCol w:w="146"/>
        <w:gridCol w:w="213"/>
        <w:gridCol w:w="745"/>
        <w:gridCol w:w="166"/>
        <w:gridCol w:w="146"/>
        <w:gridCol w:w="220"/>
        <w:gridCol w:w="816"/>
        <w:gridCol w:w="594"/>
      </w:tblGrid>
      <w:tr>
        <w:trPr/>
        <w:tc>
          <w:tcPr>
            <w:tcW w:w="7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1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15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pPr>
            <w:r>
              <w:rPr/>
              <w:t> </w:t>
            </w:r>
          </w:p>
        </w:tc>
        <w:tc>
          <w:tcPr>
            <w:tcW w:w="594" w:type="dxa"/>
            <w:tcBorders/>
            <w:vAlign w:val="center"/>
          </w:tcPr>
          <w:p>
            <w:pPr>
              <w:pStyle w:val="TableContents"/>
              <w:bidi w:val="0"/>
              <w:spacing w:before="0" w:after="0"/>
              <w:ind w:left="0" w:right="0" w:hanging="0"/>
              <w:jc w:val="center"/>
              <w:rPr/>
            </w:pPr>
            <w:r>
              <w:rPr/>
              <w:t> </w:t>
            </w:r>
          </w:p>
        </w:tc>
      </w:tr>
      <w:tr>
        <w:trPr/>
        <w:tc>
          <w:tcPr>
            <w:tcW w:w="715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71,475</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100,924</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6,038</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15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4,815</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29,149</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34,023</w:t>
            </w:r>
          </w:p>
        </w:tc>
        <w:tc>
          <w:tcPr>
            <w:tcW w:w="594" w:type="dxa"/>
            <w:tcBorders/>
            <w:vAlign w:val="center"/>
          </w:tcPr>
          <w:p>
            <w:pPr>
              <w:pStyle w:val="TableContents"/>
              <w:bidi w:val="0"/>
              <w:spacing w:before="0" w:after="0"/>
              <w:ind w:left="0" w:right="0" w:hanging="0"/>
              <w:jc w:val="left"/>
              <w:rPr/>
            </w:pPr>
            <w:r>
              <w:rPr/>
              <w:t> </w:t>
            </w:r>
          </w:p>
        </w:tc>
      </w:tr>
      <w:tr>
        <w:trPr/>
        <w:tc>
          <w:tcPr>
            <w:tcW w:w="715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10)</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95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715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- 20,000</w:t>
            </w:r>
            <w:r>
              <w:rPr>
                <w:rFonts w:ascii="Times New Roman" w:hAnsi="Times New Roman"/>
                <w:sz w:val="20"/>
              </w:rPr>
              <w:t> </w:t>
            </w:r>
            <w:r>
              <w:rPr>
                <w:rFonts w:ascii="Times New Roman;serif" w:hAnsi="Times New Roman;serif"/>
                <w:b w:val="false"/>
                <w:sz w:val="20"/>
              </w:rPr>
              <w:t>shares authorized; none</w:t>
            </w:r>
            <w:r>
              <w:rPr>
                <w:rFonts w:ascii="Times New Roman" w:hAnsi="Times New Roman"/>
                <w:sz w:val="20"/>
              </w:rPr>
              <w:t> </w:t>
            </w:r>
            <w:r>
              <w:rPr>
                <w:rFonts w:ascii="Times New Roman;serif" w:hAnsi="Times New Roman;serif"/>
                <w:b w:val="false"/>
                <w:sz w:val="20"/>
              </w:rPr>
              <w:t>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715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Class A common stock, $0.0001</w:t>
            </w:r>
            <w:r>
              <w:rPr>
                <w:rFonts w:ascii="Times New Roman" w:hAnsi="Times New Roman"/>
                <w:sz w:val="20"/>
              </w:rPr>
              <w:t> </w:t>
            </w:r>
            <w:r>
              <w:rPr>
                <w:rFonts w:ascii="Times New Roman;serif" w:hAnsi="Times New Roman;serif"/>
                <w:b w:val="false"/>
                <w:sz w:val="20"/>
              </w:rPr>
              <w:t>par value - 800,000</w:t>
            </w:r>
            <w:r>
              <w:rPr>
                <w:rFonts w:ascii="Times New Roman" w:hAnsi="Times New Roman"/>
                <w:sz w:val="20"/>
              </w:rPr>
              <w:t> </w:t>
            </w:r>
            <w:r>
              <w:rPr>
                <w:rFonts w:ascii="Times New Roman;serif" w:hAnsi="Times New Roman;serif"/>
                <w:b w:val="false"/>
                <w:sz w:val="20"/>
              </w:rPr>
              <w:t>shares authorized; 25,517</w:t>
            </w:r>
            <w:r>
              <w:rPr>
                <w:rFonts w:ascii="Times New Roman" w:hAnsi="Times New Roman"/>
                <w:sz w:val="20"/>
              </w:rPr>
              <w:t> </w:t>
            </w:r>
            <w:r>
              <w:rPr>
                <w:rFonts w:ascii="Times New Roman;serif" w:hAnsi="Times New Roman;serif"/>
                <w:b w:val="false"/>
                <w:sz w:val="20"/>
              </w:rPr>
              <w:t>and 25,295</w:t>
            </w:r>
            <w:r>
              <w:rPr>
                <w:rFonts w:ascii="Times New Roman" w:hAnsi="Times New Roman"/>
                <w:sz w:val="20"/>
              </w:rPr>
              <w:t> </w:t>
            </w:r>
            <w:r>
              <w:rPr>
                <w:rFonts w:ascii="Times New Roman;serif" w:hAnsi="Times New Roman;serif"/>
                <w:b w:val="false"/>
                <w:sz w:val="20"/>
              </w:rPr>
              <w:t>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4" w:type="dxa"/>
            <w:tcBorders/>
            <w:vAlign w:val="center"/>
          </w:tcPr>
          <w:p>
            <w:pPr>
              <w:pStyle w:val="TableContents"/>
              <w:bidi w:val="0"/>
              <w:spacing w:before="0" w:after="0"/>
              <w:ind w:left="0" w:right="0" w:hanging="0"/>
              <w:jc w:val="left"/>
              <w:rPr/>
            </w:pPr>
            <w:r>
              <w:rPr/>
              <w:t> </w:t>
            </w:r>
          </w:p>
        </w:tc>
      </w:tr>
      <w:tr>
        <w:trPr/>
        <w:tc>
          <w:tcPr>
            <w:tcW w:w="715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Class B common stock, $0.0001</w:t>
            </w:r>
            <w:r>
              <w:rPr>
                <w:rFonts w:ascii="Times New Roman" w:hAnsi="Times New Roman"/>
                <w:sz w:val="20"/>
              </w:rPr>
              <w:t> </w:t>
            </w:r>
            <w:r>
              <w:rPr>
                <w:rFonts w:ascii="Times New Roman;serif" w:hAnsi="Times New Roman;serif"/>
                <w:b w:val="false"/>
                <w:sz w:val="20"/>
              </w:rPr>
              <w:t>par value - 40,000</w:t>
            </w:r>
            <w:r>
              <w:rPr>
                <w:rFonts w:ascii="Times New Roman" w:hAnsi="Times New Roman"/>
                <w:sz w:val="20"/>
              </w:rPr>
              <w:t> </w:t>
            </w:r>
            <w:r>
              <w:rPr>
                <w:rFonts w:ascii="Times New Roman;serif" w:hAnsi="Times New Roman;serif"/>
                <w:b w:val="false"/>
                <w:sz w:val="20"/>
              </w:rPr>
              <w:t>shares authorized; 24,116</w:t>
            </w:r>
            <w:r>
              <w:rPr>
                <w:rFonts w:ascii="Times New Roman" w:hAnsi="Times New Roman"/>
                <w:sz w:val="20"/>
              </w:rPr>
              <w:t> </w:t>
            </w:r>
            <w:r>
              <w:rPr>
                <w:rFonts w:ascii="Times New Roman;serif" w:hAnsi="Times New Roman;serif"/>
                <w:b w:val="false"/>
                <w:sz w:val="20"/>
              </w:rPr>
              <w:t>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4" w:type="dxa"/>
            <w:tcBorders/>
            <w:vAlign w:val="center"/>
          </w:tcPr>
          <w:p>
            <w:pPr>
              <w:pStyle w:val="TableContents"/>
              <w:bidi w:val="0"/>
              <w:spacing w:before="0" w:after="0"/>
              <w:ind w:left="0" w:right="0" w:hanging="0"/>
              <w:jc w:val="left"/>
              <w:rPr/>
            </w:pPr>
            <w:r>
              <w:rPr/>
              <w:t> </w:t>
            </w:r>
          </w:p>
        </w:tc>
      </w:tr>
      <w:tr>
        <w:trPr/>
        <w:tc>
          <w:tcPr>
            <w:tcW w:w="715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Class C common stock, $0.0001</w:t>
            </w:r>
            <w:r>
              <w:rPr>
                <w:rFonts w:ascii="Times New Roman" w:hAnsi="Times New Roman"/>
                <w:sz w:val="20"/>
              </w:rPr>
              <w:t> </w:t>
            </w:r>
            <w:r>
              <w:rPr>
                <w:rFonts w:ascii="Times New Roman;serif" w:hAnsi="Times New Roman;serif"/>
                <w:b w:val="false"/>
                <w:sz w:val="20"/>
              </w:rPr>
              <w:t>par value - 20,000</w:t>
            </w:r>
            <w:r>
              <w:rPr>
                <w:rFonts w:ascii="Times New Roman" w:hAnsi="Times New Roman"/>
                <w:sz w:val="20"/>
              </w:rPr>
              <w:t> </w:t>
            </w:r>
            <w:r>
              <w:rPr>
                <w:rFonts w:ascii="Times New Roman;serif" w:hAnsi="Times New Roman;serif"/>
                <w:b w:val="false"/>
                <w:sz w:val="20"/>
              </w:rPr>
              <w:t>shares authorized; none</w:t>
            </w:r>
            <w:r>
              <w:rPr>
                <w:rFonts w:ascii="Times New Roman" w:hAnsi="Times New Roman"/>
                <w:sz w:val="20"/>
              </w:rPr>
              <w:t> </w:t>
            </w:r>
            <w:r>
              <w:rPr>
                <w:rFonts w:ascii="Times New Roman;serif" w:hAnsi="Times New Roman;serif"/>
                <w:b w:val="false"/>
                <w:sz w:val="20"/>
              </w:rPr>
              <w:t>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75,842</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5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(38,919</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36,855</w:t>
            </w:r>
          </w:p>
        </w:tc>
        <w:tc>
          <w:tcPr>
            <w:tcW w:w="594" w:type="dxa"/>
            <w:tcBorders/>
            <w:vAlign w:val="center"/>
          </w:tcPr>
          <w:p>
            <w:pPr>
              <w:pStyle w:val="TableContents"/>
              <w:bidi w:val="0"/>
              <w:spacing w:before="0" w:after="0"/>
              <w:ind w:left="0" w:right="0" w:firstLine="200"/>
              <w:jc w:val="left"/>
              <w:rPr/>
            </w:pPr>
            <w:r>
              <w:rPr/>
              <w:t> </w:t>
            </w:r>
          </w:p>
        </w:tc>
      </w:tr>
      <w:tr>
        <w:trPr/>
        <w:tc>
          <w:tcPr>
            <w:tcW w:w="715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37,149</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74,004</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15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108,027</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serif" w:hAnsi="Times New Roman;serif"/>
          <w:b/>
          <w:caps/>
          <w:sz w:val="20"/>
        </w:rPr>
      </w:pPr>
      <w:bookmarkStart w:id="4" w:name="statements_of_operations"/>
      <w:bookmarkEnd w:id="4"/>
      <w:r>
        <w:rPr>
          <w:rFonts w:ascii="Times New Roman;serif" w:hAnsi="Times New Roman;serif"/>
          <w:b/>
          <w:caps/>
          <w:sz w:val="20"/>
        </w:rPr>
        <w:t>CONDENSED Consolidated Statements of Operations</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(in thousands, except per share amounts)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4519"/>
        <w:gridCol w:w="146"/>
        <w:gridCol w:w="213"/>
        <w:gridCol w:w="744"/>
        <w:gridCol w:w="167"/>
        <w:gridCol w:w="147"/>
        <w:gridCol w:w="213"/>
        <w:gridCol w:w="744"/>
        <w:gridCol w:w="166"/>
        <w:gridCol w:w="146"/>
        <w:gridCol w:w="211"/>
        <w:gridCol w:w="736"/>
        <w:gridCol w:w="166"/>
        <w:gridCol w:w="146"/>
        <w:gridCol w:w="211"/>
        <w:gridCol w:w="736"/>
        <w:gridCol w:w="794"/>
      </w:tblGrid>
      <w:tr>
        <w:trPr/>
        <w:tc>
          <w:tcPr>
            <w:tcW w:w="4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2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firstLine="200"/>
              <w:jc w:val="righ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11,086</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17,118</w:t>
            </w:r>
          </w:p>
        </w:tc>
        <w:tc>
          <w:tcPr>
            <w:tcW w:w="794" w:type="dxa"/>
            <w:tcBorders/>
            <w:vAlign w:val="center"/>
          </w:tcPr>
          <w:p>
            <w:pPr>
              <w:pStyle w:val="TableContents"/>
              <w:bidi w:val="0"/>
              <w:spacing w:before="0" w:after="0"/>
              <w:ind w:left="0" w:right="0" w:firstLine="200"/>
              <w:jc w:val="lef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12,509</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1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51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7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7"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 </w:t>
            </w:r>
          </w:p>
        </w:tc>
        <w:tc>
          <w:tcPr>
            <w:tcW w:w="9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794" w:type="dxa"/>
            <w:tcBorders/>
            <w:vAlign w:val="center"/>
          </w:tcPr>
          <w:p>
            <w:pPr>
              <w:pStyle w:val="TableContents"/>
              <w:bidi w:val="0"/>
              <w:spacing w:before="0" w:after="0"/>
              <w:ind w:left="0" w:right="0" w:firstLine="200"/>
              <w:jc w:val="righ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794" w:type="dxa"/>
            <w:tcBorders/>
            <w:vAlign w:val="center"/>
          </w:tcPr>
          <w:p>
            <w:pPr>
              <w:pStyle w:val="TableContents"/>
              <w:bidi w:val="0"/>
              <w:spacing w:before="0" w:after="0"/>
              <w:ind w:left="0" w:right="0" w:firstLine="200"/>
              <w:jc w:val="left"/>
              <w:rPr/>
            </w:pPr>
            <w:r>
              <w:rPr/>
              <w:t> </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and other, net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519"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(29,577</w:t>
            </w:r>
          </w:p>
        </w:tc>
        <w:tc>
          <w:tcPr>
            <w:tcW w:w="7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79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(9,361</w:t>
            </w:r>
          </w:p>
        </w:tc>
        <w:tc>
          <w:tcPr>
            <w:tcW w:w="1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(15,947</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(9,303</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(13,847</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per Class A common share attributable to Rani Therapeutics Holdings, Inc., basic and diluted</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Class A common shares outstanding—basic and diluted</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25,345</w:t>
            </w:r>
          </w:p>
        </w:tc>
        <w:tc>
          <w:tcPr>
            <w:tcW w:w="1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22,930</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 w:hAnsi="Times New Roman"/>
          <w:sz w:val="20"/>
        </w:rPr>
      </w:pPr>
      <w:bookmarkStart w:id="5" w:name="statements_of_comprehensive_loss"/>
      <w:bookmarkEnd w:id="5"/>
      <w:r>
        <w:rPr>
          <w:rFonts w:ascii="Times New Roman;serif" w:hAnsi="Times New Roman;serif"/>
          <w:b/>
          <w:caps/>
          <w:sz w:val="20"/>
        </w:rPr>
        <w:t>CONDENSED Consolidated Statements of Comprehensive Loss</w:t>
      </w:r>
      <w:r>
        <w:rPr>
          <w:rFonts w:ascii="Times New Roman" w:hAnsi="Times New Roman"/>
          <w:caps/>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4976"/>
        <w:gridCol w:w="146"/>
        <w:gridCol w:w="215"/>
        <w:gridCol w:w="752"/>
        <w:gridCol w:w="169"/>
        <w:gridCol w:w="148"/>
        <w:gridCol w:w="215"/>
        <w:gridCol w:w="752"/>
        <w:gridCol w:w="166"/>
        <w:gridCol w:w="146"/>
        <w:gridCol w:w="211"/>
        <w:gridCol w:w="736"/>
        <w:gridCol w:w="166"/>
        <w:gridCol w:w="146"/>
        <w:gridCol w:w="211"/>
        <w:gridCol w:w="736"/>
        <w:gridCol w:w="314"/>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left"/>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right"/>
              <w:rPr/>
            </w:pPr>
            <w:r>
              <w:rPr/>
              <w:t> </w:t>
            </w:r>
          </w:p>
        </w:tc>
        <w:tc>
          <w:tcPr>
            <w:tcW w:w="148" w:type="dxa"/>
            <w:tcBorders/>
            <w:vAlign w:val="center"/>
          </w:tcPr>
          <w:p>
            <w:pPr>
              <w:pStyle w:val="TableContents"/>
              <w:bidi w:val="0"/>
              <w:spacing w:before="0" w:after="0"/>
              <w:ind w:left="0" w:right="0" w:hanging="0"/>
              <w:jc w:val="left"/>
              <w:rPr/>
            </w:pPr>
            <w:r>
              <w:rPr/>
              <w:t> </w:t>
            </w:r>
          </w:p>
        </w:tc>
        <w:tc>
          <w:tcPr>
            <w:tcW w:w="96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14" w:type="dxa"/>
            <w:tcBorders/>
            <w:vAlign w:val="center"/>
          </w:tcPr>
          <w:p>
            <w:pPr>
              <w:pStyle w:val="TableContents"/>
              <w:bidi w:val="0"/>
              <w:spacing w:before="0" w:after="0"/>
              <w:ind w:left="0" w:right="0" w:firstLine="100"/>
              <w:jc w:val="right"/>
              <w:rPr/>
            </w:pPr>
            <w:r>
              <w:rPr/>
              <w:t> </w:t>
            </w:r>
          </w:p>
        </w:tc>
      </w:tr>
      <w:tr>
        <w:trPr/>
        <w:tc>
          <w:tcPr>
            <w:tcW w:w="49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unrealized (loss) gain on marketable securities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(18,771</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97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Comprehensive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(9,415</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(15,947</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(9,356</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(13,847</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serif" w:hAnsi="Times New Roman;serif"/>
          <w:b/>
          <w:caps/>
          <w:sz w:val="20"/>
        </w:rPr>
      </w:pPr>
      <w:bookmarkStart w:id="6" w:name="statements_of_changes_llc"/>
      <w:bookmarkEnd w:id="6"/>
      <w:r>
        <w:rPr>
          <w:rFonts w:ascii="Times New Roman;serif" w:hAnsi="Times New Roman;serif"/>
          <w:b/>
          <w:caps/>
          <w:sz w:val="20"/>
        </w:rPr>
        <w:t>CONDENSED Consolidated Statements of Changes in STOCKHOLDERS’ Equity</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061"/>
        <w:gridCol w:w="146"/>
        <w:gridCol w:w="146"/>
        <w:gridCol w:w="436"/>
        <w:gridCol w:w="146"/>
        <w:gridCol w:w="146"/>
        <w:gridCol w:w="170"/>
        <w:gridCol w:w="356"/>
        <w:gridCol w:w="146"/>
        <w:gridCol w:w="146"/>
        <w:gridCol w:w="146"/>
        <w:gridCol w:w="436"/>
        <w:gridCol w:w="146"/>
        <w:gridCol w:w="146"/>
        <w:gridCol w:w="170"/>
        <w:gridCol w:w="356"/>
        <w:gridCol w:w="146"/>
        <w:gridCol w:w="146"/>
        <w:gridCol w:w="181"/>
        <w:gridCol w:w="481"/>
        <w:gridCol w:w="151"/>
        <w:gridCol w:w="146"/>
        <w:gridCol w:w="313"/>
        <w:gridCol w:w="655"/>
        <w:gridCol w:w="151"/>
        <w:gridCol w:w="146"/>
        <w:gridCol w:w="207"/>
        <w:gridCol w:w="603"/>
        <w:gridCol w:w="151"/>
        <w:gridCol w:w="146"/>
        <w:gridCol w:w="264"/>
        <w:gridCol w:w="699"/>
        <w:gridCol w:w="151"/>
        <w:gridCol w:w="146"/>
        <w:gridCol w:w="210"/>
        <w:gridCol w:w="611"/>
        <w:gridCol w:w="202"/>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Class A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Class B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1" w:type="dxa"/>
            <w:gridSpan w:val="2"/>
            <w:tcBorders/>
            <w:vAlign w:val="center"/>
          </w:tcPr>
          <w:p>
            <w:pPr>
              <w:pStyle w:val="TableContents"/>
              <w:bidi w:val="0"/>
              <w:spacing w:before="0" w:after="0"/>
              <w:ind w:left="0" w:right="0" w:hanging="0"/>
              <w:jc w:val="center"/>
              <w:rPr/>
            </w:pPr>
            <w:r>
              <w:rPr/>
              <w:t> </w:t>
            </w:r>
          </w:p>
        </w:tc>
        <w:tc>
          <w:tcPr>
            <w:tcW w:w="202" w:type="dxa"/>
            <w:tcBorders/>
            <w:vAlign w:val="center"/>
          </w:tcPr>
          <w:p>
            <w:pPr>
              <w:pStyle w:val="TableContents"/>
              <w:bidi w:val="0"/>
              <w:spacing w:before="0" w:after="0"/>
              <w:ind w:left="0" w:right="0" w:hanging="0"/>
              <w:jc w:val="center"/>
              <w:rPr/>
            </w:pPr>
            <w:r>
              <w:rPr/>
              <w:t> </w:t>
            </w:r>
          </w:p>
        </w:tc>
      </w:tr>
      <w:tr>
        <w:trPr/>
        <w:tc>
          <w:tcPr>
            <w:tcW w:w="10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 Paid In 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 Other Comprehensive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 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Non-Controlling Interest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 Stockholders' Equity</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75,842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(38,919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74,004</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 under employee equity plans, net of shares withheld for tax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Non-controlling interest adjustment for changes in proportionate ownership in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4,415</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(8,460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(16,832</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78,018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(47,291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30,867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61,589</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Issuance of common stock under employee equity plans, net of shares withheld for tax settlement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Non-controlling interest adjustment for changes in proportionate ownership in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pPr>
            <w:r>
              <w:rPr/>
              <w:t>—</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202" w:type="dxa"/>
            <w:tcBorders/>
            <w:vAlign w:val="center"/>
          </w:tcPr>
          <w:p>
            <w:pPr>
              <w:pStyle w:val="TableContents"/>
              <w:bidi w:val="0"/>
              <w:spacing w:before="0" w:after="0"/>
              <w:ind w:left="0" w:right="0" w:hanging="0"/>
              <w:jc w:val="left"/>
              <w:rPr/>
            </w:pPr>
            <w:r>
              <w:rPr/>
              <w:t> </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(9,361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(18,664</w:t>
            </w:r>
          </w:p>
        </w:tc>
        <w:tc>
          <w:tcPr>
            <w:tcW w:w="20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06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80,746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(56,594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24,075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48,169</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872"/>
        <w:gridCol w:w="146"/>
        <w:gridCol w:w="146"/>
        <w:gridCol w:w="436"/>
        <w:gridCol w:w="151"/>
        <w:gridCol w:w="146"/>
        <w:gridCol w:w="170"/>
        <w:gridCol w:w="356"/>
        <w:gridCol w:w="146"/>
        <w:gridCol w:w="146"/>
        <w:gridCol w:w="146"/>
        <w:gridCol w:w="436"/>
        <w:gridCol w:w="151"/>
        <w:gridCol w:w="146"/>
        <w:gridCol w:w="170"/>
        <w:gridCol w:w="356"/>
        <w:gridCol w:w="146"/>
        <w:gridCol w:w="146"/>
        <w:gridCol w:w="223"/>
        <w:gridCol w:w="593"/>
        <w:gridCol w:w="151"/>
        <w:gridCol w:w="146"/>
        <w:gridCol w:w="227"/>
        <w:gridCol w:w="659"/>
        <w:gridCol w:w="151"/>
        <w:gridCol w:w="146"/>
        <w:gridCol w:w="268"/>
        <w:gridCol w:w="782"/>
        <w:gridCol w:w="151"/>
        <w:gridCol w:w="146"/>
        <w:gridCol w:w="237"/>
        <w:gridCol w:w="712"/>
        <w:gridCol w:w="201"/>
      </w:tblGrid>
      <w:tr>
        <w:trPr/>
        <w:tc>
          <w:tcPr>
            <w:tcW w:w="1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87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Class A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Class B 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r>
      <w:tr>
        <w:trPr/>
        <w:tc>
          <w:tcPr>
            <w:tcW w:w="187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Additional Paid In 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Accumulated 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Non-Controlling Interest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 Stockholders' Equity</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29,290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74,156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121,567</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Effect of exchanges of Paired Interests and non-corresponding Class A Units of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(4,517</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Non-controlling interest adjustment for changes in proportionate ownership in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2,905</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(13,828</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24,387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67,933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(14,554</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57,260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110,644</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Forfeiture of 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Effect of exchanges of Paired Interests and non-corresponding Class A Units of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Non-controlling interest adjustment for changes in proportionate ownership in Rani LLC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Equity-based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7"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3,982</w:t>
            </w:r>
          </w:p>
        </w:tc>
        <w:tc>
          <w:tcPr>
            <w:tcW w:w="201" w:type="dxa"/>
            <w:tcBorders/>
            <w:vAlign w:val="center"/>
          </w:tcPr>
          <w:p>
            <w:pPr>
              <w:pStyle w:val="TableContents"/>
              <w:bidi w:val="0"/>
              <w:spacing w:before="0" w:after="0"/>
              <w:ind w:left="0" w:right="0" w:hanging="0"/>
              <w:jc w:val="left"/>
              <w:rPr/>
            </w:pPr>
            <w:r>
              <w:rPr/>
              <w:t> </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(7,624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(8,342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(15,966</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872"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24,494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24,663</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69,986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(22,178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50,841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98,654</w:t>
            </w:r>
          </w:p>
        </w:tc>
        <w:tc>
          <w:tcPr>
            <w:tcW w:w="2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40" w:after="0"/>
        <w:ind w:left="0" w:right="0" w:hanging="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 w:hAnsi="Times New Roman"/>
          <w:sz w:val="20"/>
        </w:rPr>
      </w:pPr>
      <w:bookmarkStart w:id="7" w:name="cash_flows_llc"/>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6908"/>
        <w:gridCol w:w="146"/>
        <w:gridCol w:w="219"/>
        <w:gridCol w:w="765"/>
        <w:gridCol w:w="172"/>
        <w:gridCol w:w="151"/>
        <w:gridCol w:w="219"/>
        <w:gridCol w:w="812"/>
        <w:gridCol w:w="813"/>
      </w:tblGrid>
      <w:tr>
        <w:trPr/>
        <w:tc>
          <w:tcPr>
            <w:tcW w:w="6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10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200"/>
              <w:jc w:val="righ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9,556</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6,881</w:t>
            </w:r>
          </w:p>
        </w:tc>
        <w:tc>
          <w:tcPr>
            <w:tcW w:w="813" w:type="dxa"/>
            <w:tcBorders/>
            <w:vAlign w:val="center"/>
          </w:tcPr>
          <w:p>
            <w:pPr>
              <w:pStyle w:val="TableContents"/>
              <w:bidi w:val="0"/>
              <w:spacing w:before="0" w:after="0"/>
              <w:ind w:left="0" w:right="0" w:firstLine="200"/>
              <w:jc w:val="lef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813" w:type="dxa"/>
            <w:tcBorders/>
            <w:vAlign w:val="center"/>
          </w:tcPr>
          <w:p>
            <w:pPr>
              <w:pStyle w:val="TableContents"/>
              <w:bidi w:val="0"/>
              <w:spacing w:before="0" w:after="0"/>
              <w:ind w:left="0" w:right="0" w:firstLine="200"/>
              <w:jc w:val="lef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operating lease expense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813" w:type="dxa"/>
            <w:tcBorders/>
            <w:vAlign w:val="center"/>
          </w:tcPr>
          <w:p>
            <w:pPr>
              <w:pStyle w:val="TableContents"/>
              <w:bidi w:val="0"/>
              <w:spacing w:before="0" w:after="0"/>
              <w:ind w:left="0" w:right="0" w:firstLine="200"/>
              <w:jc w:val="lef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debt discount and issuance costs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firstLine="200"/>
              <w:jc w:val="lef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accretion and amortization of investments in marketable securities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firstLine="200"/>
              <w:jc w:val="left"/>
              <w:rPr/>
            </w:pPr>
            <w:r>
              <w:rPr/>
              <w:t> </w:t>
            </w:r>
          </w:p>
        </w:tc>
      </w:tr>
      <w:tr>
        <w:trPr/>
        <w:tc>
          <w:tcPr>
            <w:tcW w:w="69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firstLine="400"/>
              <w:jc w:val="right"/>
              <w:rPr/>
            </w:pPr>
            <w:r>
              <w:rPr/>
              <w:t> </w:t>
            </w:r>
          </w:p>
        </w:tc>
      </w:tr>
      <w:tr>
        <w:trPr/>
        <w:tc>
          <w:tcPr>
            <w:tcW w:w="69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860</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813" w:type="dxa"/>
            <w:tcBorders/>
            <w:vAlign w:val="center"/>
          </w:tcPr>
          <w:p>
            <w:pPr>
              <w:pStyle w:val="TableContents"/>
              <w:bidi w:val="0"/>
              <w:spacing w:before="0" w:after="0"/>
              <w:ind w:left="0" w:right="0" w:firstLine="400"/>
              <w:jc w:val="left"/>
              <w:rPr/>
            </w:pPr>
            <w:r>
              <w:rPr/>
              <w:t> </w:t>
            </w:r>
          </w:p>
        </w:tc>
      </w:tr>
      <w:tr>
        <w:trPr/>
        <w:tc>
          <w:tcPr>
            <w:tcW w:w="69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w:t>
            </w:r>
          </w:p>
        </w:tc>
        <w:tc>
          <w:tcPr>
            <w:tcW w:w="813" w:type="dxa"/>
            <w:tcBorders/>
            <w:vAlign w:val="center"/>
          </w:tcPr>
          <w:p>
            <w:pPr>
              <w:pStyle w:val="TableContents"/>
              <w:bidi w:val="0"/>
              <w:spacing w:before="0" w:after="0"/>
              <w:ind w:left="0" w:right="0" w:firstLine="400"/>
              <w:jc w:val="left"/>
              <w:rPr/>
            </w:pPr>
            <w:r>
              <w:rPr/>
              <w:t> </w:t>
            </w:r>
          </w:p>
        </w:tc>
      </w:tr>
      <w:tr>
        <w:trPr/>
        <w:tc>
          <w:tcPr>
            <w:tcW w:w="69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1,453</w:t>
            </w:r>
          </w:p>
        </w:tc>
        <w:tc>
          <w:tcPr>
            <w:tcW w:w="813" w:type="dxa"/>
            <w:tcBorders/>
            <w:vAlign w:val="center"/>
          </w:tcPr>
          <w:p>
            <w:pPr>
              <w:pStyle w:val="TableContents"/>
              <w:bidi w:val="0"/>
              <w:spacing w:before="0" w:after="0"/>
              <w:ind w:left="0" w:right="0" w:firstLine="400"/>
              <w:jc w:val="left"/>
              <w:rPr/>
            </w:pPr>
            <w:r>
              <w:rPr/>
              <w:t> </w:t>
            </w:r>
          </w:p>
        </w:tc>
      </w:tr>
      <w:tr>
        <w:trPr/>
        <w:tc>
          <w:tcPr>
            <w:tcW w:w="690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w:t>
            </w:r>
          </w:p>
        </w:tc>
        <w:tc>
          <w:tcPr>
            <w:tcW w:w="813"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6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(24,455</w:t>
            </w:r>
          </w:p>
        </w:tc>
        <w:tc>
          <w:tcPr>
            <w:tcW w:w="17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1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(19,688</w:t>
            </w:r>
          </w:p>
        </w:tc>
        <w:tc>
          <w:tcPr>
            <w:tcW w:w="8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(52,505</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58,000</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4,912</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employee stock purchase plan</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72"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813" w:type="dxa"/>
            <w:tcBorders/>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 withholdings paid on behalf of employees for net share settlement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pPr>
            <w:r>
              <w:rPr/>
              <w:t>—</w:t>
            </w:r>
          </w:p>
        </w:tc>
        <w:tc>
          <w:tcPr>
            <w:tcW w:w="813" w:type="dxa"/>
            <w:tcBorders/>
            <w:vAlign w:val="center"/>
          </w:tcPr>
          <w:p>
            <w:pPr>
              <w:pStyle w:val="TableContents"/>
              <w:bidi w:val="0"/>
              <w:spacing w:before="0" w:after="0"/>
              <w:ind w:left="0" w:right="0" w:firstLine="600"/>
              <w:jc w:val="left"/>
              <w:rPr/>
            </w:pPr>
            <w:r>
              <w:rPr/>
              <w:t> </w:t>
            </w:r>
          </w:p>
        </w:tc>
      </w:tr>
      <w:tr>
        <w:trPr/>
        <w:tc>
          <w:tcPr>
            <w:tcW w:w="69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6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7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1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8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600"/>
              <w:jc w:val="left"/>
              <w:rPr/>
            </w:pPr>
            <w:r>
              <w:rPr/>
              <w:t> </w:t>
            </w:r>
          </w:p>
        </w:tc>
      </w:tr>
      <w:tr>
        <w:trPr/>
        <w:tc>
          <w:tcPr>
            <w:tcW w:w="6908"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 equivalents</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7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(19,455</w:t>
            </w:r>
          </w:p>
        </w:tc>
        <w:tc>
          <w:tcPr>
            <w:tcW w:w="1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 w:type="dxa"/>
            <w:tcBorders/>
            <w:vAlign w:val="center"/>
          </w:tcPr>
          <w:p>
            <w:pPr>
              <w:pStyle w:val="TableContents"/>
              <w:bidi w:val="0"/>
              <w:spacing w:before="0" w:after="0"/>
              <w:ind w:left="0" w:right="0" w:hanging="0"/>
              <w:jc w:val="right"/>
              <w:rPr/>
            </w:pPr>
            <w:r>
              <w:rPr/>
              <w:t> </w:t>
            </w:r>
          </w:p>
        </w:tc>
        <w:tc>
          <w:tcPr>
            <w:tcW w:w="219"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(20,272</w:t>
            </w:r>
          </w:p>
        </w:tc>
        <w:tc>
          <w:tcPr>
            <w:tcW w:w="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27,507</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117,453</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equivalents, end of period</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97,181</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disclosures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984" w:type="dxa"/>
            <w:gridSpan w:val="2"/>
            <w:tcBorders/>
            <w:vAlign w:val="center"/>
          </w:tcPr>
          <w:p>
            <w:pPr>
              <w:pStyle w:val="TableContents"/>
              <w:bidi w:val="0"/>
              <w:spacing w:before="0" w:after="0"/>
              <w:ind w:left="0" w:right="0" w:hanging="0"/>
              <w:jc w:val="right"/>
              <w:rPr/>
            </w:pPr>
            <w:r>
              <w:rPr/>
              <w:t> </w:t>
            </w:r>
          </w:p>
        </w:tc>
        <w:tc>
          <w:tcPr>
            <w:tcW w:w="172"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031" w:type="dxa"/>
            <w:gridSpan w:val="2"/>
            <w:tcBorders/>
            <w:vAlign w:val="center"/>
          </w:tcPr>
          <w:p>
            <w:pPr>
              <w:pStyle w:val="TableContents"/>
              <w:bidi w:val="0"/>
              <w:spacing w:before="0" w:after="0"/>
              <w:ind w:left="0" w:right="0" w:hanging="0"/>
              <w:jc w:val="right"/>
              <w:rPr/>
            </w:pPr>
            <w:r>
              <w:rPr/>
              <w:t> </w:t>
            </w:r>
          </w:p>
        </w:tc>
        <w:tc>
          <w:tcPr>
            <w:tcW w:w="813" w:type="dxa"/>
            <w:tcBorders/>
            <w:vAlign w:val="center"/>
          </w:tcPr>
          <w:p>
            <w:pPr>
              <w:pStyle w:val="TableContents"/>
              <w:bidi w:val="0"/>
              <w:spacing w:before="0" w:after="0"/>
              <w:ind w:left="0" w:right="0" w:hanging="0"/>
              <w:jc w:val="righ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operating lease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receivable included in prepaid expenses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purchases included in accounts payable and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Exchanges of Paired Interests and non-corresponding Class A Units of Rani LLC</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righ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74,567</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consolidated financial statements.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RANI THERAPEUTICS HOLDINGS, INC.</w:t>
      </w:r>
    </w:p>
    <w:p>
      <w:pPr>
        <w:pStyle w:val="TextBody"/>
        <w:bidi w:val="0"/>
        <w:spacing w:before="0" w:after="0"/>
        <w:ind w:left="0" w:right="0" w:hanging="0"/>
        <w:jc w:val="center"/>
        <w:rPr>
          <w:rFonts w:ascii="Times New Roman" w:hAnsi="Times New Roman"/>
          <w:sz w:val="20"/>
        </w:rPr>
      </w:pPr>
      <w:bookmarkStart w:id="8" w:name="notes_llc"/>
      <w:bookmarkEnd w:id="8"/>
      <w:r>
        <w:rPr>
          <w:rFonts w:ascii="Times New Roman;serif" w:hAnsi="Times New Roman;serif"/>
          <w:b/>
          <w:caps/>
          <w:sz w:val="20"/>
        </w:rPr>
        <w:t>Notes to THE UNAUDITED CONDENSED Consolidated Financial Statements</w:t>
      </w:r>
      <w:r>
        <w:rPr>
          <w:rFonts w:ascii="Times New Roman" w:hAnsi="Times New Roman"/>
          <w:caps/>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1. Organization and Nature of Business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Description of Business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(prior to December 15, 2022), are collectively referred to herein as “Rani” or the “Company.” RMS was dissolved on December 15, 2022.</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Organizational Transactions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connection with the IPO, the Company was party to the following organizational transactions (the “Organizational Transactions”):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economic nonvoting Class A units (“Class A Units”)</w:t>
      </w:r>
      <w:r>
        <w:rPr>
          <w:rFonts w:ascii="Times New Roman;serif" w:hAnsi="Times New Roman;serif"/>
          <w:sz w:val="20"/>
        </w:rPr>
        <w:t xml:space="preserve"> </w:t>
      </w:r>
      <w:r>
        <w:rPr>
          <w:rFonts w:ascii="Times New Roman;serif" w:hAnsi="Times New Roman;serif"/>
          <w:b w:val="false"/>
          <w:sz w:val="20"/>
        </w:rPr>
        <w:t>and an equal number of voting noneconomic Class B units (“Class B Units”) and (ii) all non-vested incentive units (“Profits Interests”) into Class A Units. In connection with the closing of the IPO, each LLC interest was exchanged 1 for 0.5282 as determined and predicated on the initial public offering price of the Company’s Class A common stock;</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w:t>
      </w:r>
      <w:r>
        <w:rPr>
          <w:rFonts w:ascii="Times New Roman;serif" w:hAnsi="Times New Roman;serif"/>
          <w:sz w:val="20"/>
        </w:rPr>
        <w:t xml:space="preserve"> </w:t>
      </w:r>
      <w:r>
        <w:rPr>
          <w:rFonts w:ascii="Times New Roman;serif" w:hAnsi="Times New Roman;serif"/>
          <w:b w:val="false"/>
          <w:sz w:val="20"/>
        </w:rPr>
        <w:t>and (iv) preferred stock;</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Exchanged 12,047,925</w:t>
      </w:r>
      <w:r>
        <w:rPr>
          <w:rFonts w:ascii="Times New Roman;serif" w:hAnsi="Times New Roman;serif"/>
          <w:sz w:val="20"/>
        </w:rPr>
        <w:t xml:space="preserve"> </w:t>
      </w:r>
      <w:r>
        <w:rPr>
          <w:rFonts w:ascii="Times New Roman;serif" w:hAnsi="Times New Roman;serif"/>
          <w:b w:val="false"/>
          <w:sz w:val="20"/>
        </w:rPr>
        <w:t>shares of Class A common stock for existing Class A Units of Rani LLC held by certain individuals and entities (the “Former LLC Owners”) on a one-for-one basis;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Issued 29,290,391</w:t>
      </w:r>
      <w:r>
        <w:rPr>
          <w:rFonts w:ascii="Times New Roman;serif" w:hAnsi="Times New Roman;serif"/>
          <w:sz w:val="20"/>
        </w:rPr>
        <w:t xml:space="preserve"> </w:t>
      </w:r>
      <w:r>
        <w:rPr>
          <w:rFonts w:ascii="Times New Roman;serif" w:hAnsi="Times New Roman;serif"/>
          <w:b w:val="false"/>
          <w:sz w:val="20"/>
        </w:rPr>
        <w:t>shares of Class B common stock to certain individuals and entities that continued to hold Class A Units in Rani LLC after the IPO (the “Continuing LLC Owners”) in return for an equal amount of Rani LLC Class B Units;</w:t>
      </w:r>
    </w:p>
    <w:p>
      <w:pPr>
        <w:pStyle w:val="TextBody"/>
        <w:bidi w:val="0"/>
        <w:spacing w:before="120" w:after="0"/>
        <w:ind w:left="48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Entered into a Registration Rights Agreement with certain of the Continuing LLC Owners.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June 30, 2023, certain individuals who continue to own interests in Rani LLC but do not hold shares of the Company’s Class B common stock (“non-corresponding Class A Units”) have the ability to exchange their non-corresponding Class A Units of Rani LLC for 1,387,471</w:t>
      </w:r>
      <w:r>
        <w:rPr>
          <w:rFonts w:ascii="Times New Roman" w:hAnsi="Times New Roman"/>
          <w:sz w:val="20"/>
        </w:rPr>
        <w:t xml:space="preserve"> </w:t>
      </w:r>
      <w:r>
        <w:rPr>
          <w:rFonts w:ascii="Times New Roman;serif" w:hAnsi="Times New Roman;serif"/>
          <w:b w:val="false"/>
          <w:sz w:val="20"/>
        </w:rPr>
        <w:t>shares of the Company’s Class A common stock.</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Liquidity</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Company has incurred recurring losses since its inception, including net losses of $35.5</w:t>
      </w:r>
      <w:r>
        <w:rPr>
          <w:rFonts w:ascii="Times New Roman" w:hAnsi="Times New Roman"/>
          <w:sz w:val="20"/>
        </w:rPr>
        <w:t xml:space="preserve"> </w:t>
      </w:r>
      <w:r>
        <w:rPr>
          <w:rFonts w:ascii="Times New Roman;serif" w:hAnsi="Times New Roman;serif"/>
          <w:b w:val="false"/>
          <w:sz w:val="20"/>
        </w:rPr>
        <w:t>million for the six months ended June 30, 2023. As of June 30, 2023, the Company had an accumulated deficit of $56.6</w:t>
      </w:r>
      <w:r>
        <w:rPr>
          <w:rFonts w:ascii="Times New Roman" w:hAnsi="Times New Roman"/>
          <w:sz w:val="20"/>
        </w:rPr>
        <w:t xml:space="preserve"> </w:t>
      </w:r>
      <w:r>
        <w:rPr>
          <w:rFonts w:ascii="Times New Roman;serif" w:hAnsi="Times New Roman;serif"/>
          <w:b w:val="false"/>
          <w:sz w:val="20"/>
        </w:rPr>
        <w:t>million and for the six months ended June 30, 2023</w:t>
      </w:r>
      <w:r>
        <w:rPr>
          <w:rFonts w:ascii="Times New Roman" w:hAnsi="Times New Roman"/>
          <w:sz w:val="20"/>
        </w:rPr>
        <w:t xml:space="preserve"> </w:t>
      </w:r>
      <w:r>
        <w:rPr>
          <w:rFonts w:ascii="Times New Roman;serif" w:hAnsi="Times New Roman;serif"/>
          <w:b w:val="false"/>
          <w:sz w:val="20"/>
        </w:rPr>
        <w:t>had negative cash flows from operations of $24.5</w:t>
      </w:r>
      <w:r>
        <w:rPr>
          <w:rFonts w:ascii="Times New Roman" w:hAnsi="Times New Roman"/>
          <w:sz w:val="20"/>
        </w:rPr>
        <w:t xml:space="preserve"> </w:t>
      </w:r>
      <w:r>
        <w:rPr>
          <w:rFonts w:ascii="Times New Roman;serif" w:hAnsi="Times New Roman;serif"/>
          <w:b w:val="false"/>
          <w:sz w:val="20"/>
        </w:rPr>
        <w:t>million. The Company expects to continue to generate operating losses and negative operating cash flows for the foreseeable future as it continues to develop the RaniPill capsule. The Company</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val="false"/>
          <w:sz w:val="20"/>
        </w:rPr>
        <w:t>expects that its cash, cash equivalents and marketable securities of $74.6</w:t>
      </w:r>
      <w:r>
        <w:rPr>
          <w:rFonts w:ascii="Times New Roman" w:hAnsi="Times New Roman"/>
          <w:sz w:val="20"/>
        </w:rPr>
        <w:t xml:space="preserve"> </w:t>
      </w:r>
      <w:r>
        <w:rPr>
          <w:rFonts w:ascii="Times New Roman;serif" w:hAnsi="Times New Roman;serif"/>
          <w:b w:val="false"/>
          <w:sz w:val="20"/>
        </w:rPr>
        <w:t>million as of June 30, 2023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of its product candidates. If the Company obtains regulatory approval for the RaniPill capsule, it expects to incur significant expenses related to developing its internal commercialization capability to support manufacturing, product sales, marketing, and distribution.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Current global economic conditions or other factors could also adversely impact the Company’s ability to access capital when and as needed.</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These condensed consolidated financial statements have been prepared in accordance with accounting principles generally accepted in the United States of America (“U.S. GAAP”). Certain prior period amounts have been reclassified to be consistent with current period presentation.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pStyle w:val="TextBody"/>
        <w:bidi w:val="0"/>
        <w:spacing w:before="0" w:after="0"/>
        <w:ind w:left="0" w:right="0" w:firstLine="979"/>
        <w:jc w:val="left"/>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Unaudited Interim Condensed Consolidated Financial Statements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six months ended June 30, 2023 are not necessarily indicative of the results that may be expected for the year ending December 31, 2023 or for any future period.</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consolidated balance sheet as of December 31, 2022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2022</w:t>
      </w:r>
      <w:r>
        <w:rPr>
          <w:rFonts w:ascii="Times New Roman" w:hAnsi="Times New Roman"/>
          <w:sz w:val="20"/>
        </w:rPr>
        <w:t xml:space="preserve"> </w:t>
      </w:r>
      <w:r>
        <w:rPr>
          <w:rFonts w:ascii="Times New Roman;serif" w:hAnsi="Times New Roman;serif"/>
          <w:b w:val="false"/>
          <w:sz w:val="20"/>
        </w:rPr>
        <w:t>consolidated financial statements and notes included in the Company’s Annual Report on Form 10-K filed with the SEC on March 22,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pStyle w:val="TextBody"/>
        <w:bidi w:val="0"/>
        <w:spacing w:before="0" w:after="0"/>
        <w:ind w:left="0" w:right="0" w:hanging="0"/>
        <w:jc w:val="both"/>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serif" w:hAnsi="Times New Roman;serif"/>
          <w:b/>
          <w:i/>
          <w:sz w:val="20"/>
        </w:rPr>
      </w:pPr>
      <w:r>
        <w:rPr>
          <w:rFonts w:ascii="Times New Roman;serif" w:hAnsi="Times New Roman;serif"/>
          <w:b/>
          <w:i/>
          <w:sz w:val="20"/>
        </w:rPr>
        <w:t>Significant Accounting Policies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 description of the Company’s significant accounting policies is included in the audited consolidated financial statements within its Annual Report on Form 10-K for the year ended December 31, 2022. Except as noted below, there have been no material changes in the Company’s significant accounting policies during the six months ended June 30, 2023.</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Concentrations of Credit Risk and Other Risks and Uncertainties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Cash, Cash Equivalents and Restricted Cash Equivalents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six months ended June 30, 2023 and 2022:</w:t>
      </w:r>
    </w:p>
    <w:tbl>
      <w:tblPr>
        <w:tblW w:w="7441" w:type="dxa"/>
        <w:jc w:val="left"/>
        <w:tblInd w:w="0" w:type="dxa"/>
        <w:tblLayout w:type="fixed"/>
        <w:tblCellMar>
          <w:top w:w="28" w:type="dxa"/>
          <w:left w:w="28" w:type="dxa"/>
          <w:bottom w:w="28" w:type="dxa"/>
          <w:right w:w="28" w:type="dxa"/>
        </w:tblCellMar>
      </w:tblPr>
      <w:tblGrid>
        <w:gridCol w:w="4936"/>
        <w:gridCol w:w="146"/>
        <w:gridCol w:w="222"/>
        <w:gridCol w:w="603"/>
        <w:gridCol w:w="154"/>
        <w:gridCol w:w="154"/>
        <w:gridCol w:w="222"/>
        <w:gridCol w:w="713"/>
        <w:gridCol w:w="29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 of Period:</w:t>
            </w:r>
          </w:p>
        </w:tc>
        <w:tc>
          <w:tcPr>
            <w:tcW w:w="146" w:type="dxa"/>
            <w:tcBorders/>
            <w:vAlign w:val="center"/>
          </w:tcPr>
          <w:p>
            <w:pPr>
              <w:pStyle w:val="TableContents"/>
              <w:bidi w:val="0"/>
              <w:spacing w:before="0" w:after="0"/>
              <w:ind w:left="0" w:right="0" w:hanging="0"/>
              <w:jc w:val="left"/>
              <w:rPr/>
            </w:pPr>
            <w:r>
              <w:rPr/>
              <w:t> </w:t>
            </w:r>
          </w:p>
        </w:tc>
        <w:tc>
          <w:tcPr>
            <w:tcW w:w="825" w:type="dxa"/>
            <w:gridSpan w:val="2"/>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3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7,552</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97,181</w:t>
            </w:r>
          </w:p>
        </w:tc>
        <w:tc>
          <w:tcPr>
            <w:tcW w:w="291" w:type="dxa"/>
            <w:tcBorders/>
            <w:vAlign w:val="center"/>
          </w:tcPr>
          <w:p>
            <w:pPr>
              <w:pStyle w:val="TableContents"/>
              <w:bidi w:val="0"/>
              <w:spacing w:before="0" w:after="0"/>
              <w:ind w:left="0" w:right="0" w:hanging="0"/>
              <w:jc w:val="left"/>
              <w:rPr/>
            </w:pPr>
            <w:r>
              <w:rPr/>
              <w:t> </w:t>
            </w:r>
          </w:p>
        </w:tc>
      </w:tr>
      <w:tr>
        <w:trPr/>
        <w:tc>
          <w:tcPr>
            <w:tcW w:w="4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93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 equivalents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8,052</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97,181</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Company regularly reviews its investments for declines in fair value below their amortized cost basis to determine whether the impairment is due to credit-related factors or noncredit-related factors. The Company's review includes the creditworthiness of the security issuers, the severity of the unrealized losses, whether the Company has the intent to sell the securities and whether it is more likely than not that the Company will be required to sell the securities before the recovery of its amortized cost bases. When the Company determines that a portion of the unrealized loss is due to an expected credit loss, the Company recognizes the loss amount in Other income (expense), net, with a corresponding allowance against the carrying value of the security the Company holds. The portion of the unrealized loss related to factors other than credit losses is recognized in Accumulated other comprehensive loss. The Company has made an accounting policy election to not measure an allowance for credit loss for accrued interest receivables and will recognize a credit loss for accrued interest receivables when the loss becomes probable and estimable. As of June 30, 2023, interest income receivable recorded as a component of prepaid expenses and other current assets on the condensed consolidated balance sheet totaled $0.2</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Fair Value of Financial Instruments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sz w:val="20"/>
        </w:rPr>
        <w:t xml:space="preserve"> </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sz w:val="20"/>
        </w:rPr>
        <w:t>Level 1—Quoted prices in active markets for identical assets or liabilities.</w:t>
      </w:r>
      <w:r>
        <w:rPr>
          <w:rFonts w:ascii="Times New Roman" w:hAnsi="Times New Roman"/>
          <w:sz w:val="20"/>
        </w:rPr>
        <w:t xml:space="preserve"> </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sz w:val="20"/>
        </w:rPr>
        <w:t xml:space="preserve"> </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As of June 30, 2023 and 2022, the carrying values of current assets and liabilities approximates fair value due to their short-term nature, respectively. The fair value of the Company’s long-term debt approximated its carrying value based on borrowing rates currently available to the Company for debt with similar terms and maturities (Level 2 inputs).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A financial instrument’s level within the fair value hierarchy is based on the lowest level of any input that is significant to the fair value of the instrument.</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12).</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Comprehensive Loss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Comprehensive loss is defined as a change in equity of a business enterprise during a period, resulting from transactions and other events and/or circumstances from non-owner sources. Other comprehensive loss represents changes in fair value of the Company's available-for-sale marketable securities.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Net Loss Per Class A Common Share Attributable to Rani Holdings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Non-Controlling Interest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Non-controlling interest ("NCI") represents the portion of income or loss, net assets and comprehensive loss of the Company's consolidated subsidiary that is not allocable to Rani Holdings based on the Company's percentage of ownership of Rani LLC.</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2021, based on the Organizational Transactions, Rani Holdings became the sole managing member of Rani LLC. As of June 30, 2023, Rani Holdings held approximately 50% of the Class A Units of Rani LLC, and approximately 50% of the outstanding Class A Units of Rani LLC are held by the Continuing LLC Owners. Therefore, the Company reports NCI based on the Class A Units of Rani LLC held by the Continuing LLC Owners on its condensed consolidated balance sheet as of June 30, 2023. Income or loss attributed to the NCI in Rani LLC is based on the Class A Units outstanding during the period for which the income or loss is generated and is presented on the condensed consolidated statements of operations and comprehensive loss.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June 30, 2023, there were 5,173,947</w:t>
      </w:r>
      <w:r>
        <w:rPr>
          <w:rFonts w:ascii="Times New Roman" w:hAnsi="Times New Roman"/>
          <w:sz w:val="20"/>
        </w:rPr>
        <w:t xml:space="preserve"> </w:t>
      </w:r>
      <w:r>
        <w:rPr>
          <w:rFonts w:ascii="Times New Roman;serif" w:hAnsi="Times New Roman;serif"/>
          <w:b w:val="false"/>
          <w:sz w:val="20"/>
        </w:rPr>
        <w:t>exchanges of Paired Interests and 158,051</w:t>
      </w:r>
      <w:r>
        <w:rPr>
          <w:rFonts w:ascii="Times New Roman" w:hAnsi="Times New Roman"/>
          <w:sz w:val="20"/>
        </w:rPr>
        <w:t xml:space="preserve"> </w:t>
      </w:r>
      <w:r>
        <w:rPr>
          <w:rFonts w:ascii="Times New Roman;serif" w:hAnsi="Times New Roman;serif"/>
          <w:b w:val="false"/>
          <w:sz w:val="20"/>
        </w:rPr>
        <w:t>exchanges of non-corresponding Class A Units of Rani LLC for an equal number of shares of the Company's Class A common stock.</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3. Cash Equivalents, Restricted Cash Equivalents and Marketable Securities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following tables summarizes the amortized cost and fair value of the Company's cash equivalents, restricted cash equivalents and marketable securities by major investment category (in thousands):</w:t>
      </w:r>
    </w:p>
    <w:p>
      <w:pPr>
        <w:pStyle w:val="TextBody"/>
        <w:bidi w:val="0"/>
        <w:spacing w:before="0" w:after="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46"/>
        <w:gridCol w:w="146"/>
        <w:gridCol w:w="259"/>
        <w:gridCol w:w="830"/>
        <w:gridCol w:w="146"/>
        <w:gridCol w:w="146"/>
        <w:gridCol w:w="434"/>
        <w:gridCol w:w="714"/>
        <w:gridCol w:w="146"/>
        <w:gridCol w:w="146"/>
        <w:gridCol w:w="355"/>
        <w:gridCol w:w="811"/>
        <w:gridCol w:w="166"/>
        <w:gridCol w:w="146"/>
        <w:gridCol w:w="313"/>
        <w:gridCol w:w="1006"/>
        <w:gridCol w:w="395"/>
      </w:tblGrid>
      <w:tr>
        <w:trPr/>
        <w:tc>
          <w:tcPr>
            <w:tcW w:w="4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0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18"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100"/>
              <w:jc w:val="righ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395" w:type="dxa"/>
            <w:tcBorders/>
            <w:vAlign w:val="center"/>
          </w:tcPr>
          <w:p>
            <w:pPr>
              <w:pStyle w:val="TableContents"/>
              <w:bidi w:val="0"/>
              <w:spacing w:before="0" w:after="0"/>
              <w:ind w:left="0" w:right="0" w:firstLine="200"/>
              <w:jc w:val="lef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395" w:type="dxa"/>
            <w:tcBorders/>
            <w:vAlign w:val="center"/>
          </w:tcPr>
          <w:p>
            <w:pPr>
              <w:pStyle w:val="TableContents"/>
              <w:bidi w:val="0"/>
              <w:spacing w:before="0" w:after="0"/>
              <w:ind w:left="0" w:right="0" w:firstLine="100"/>
              <w:jc w:val="lef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 and restricted cash equivalents</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7,153</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0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9"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 and agencies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52,244</w:t>
            </w:r>
          </w:p>
        </w:tc>
        <w:tc>
          <w:tcPr>
            <w:tcW w:w="395" w:type="dxa"/>
            <w:tcBorders/>
            <w:vAlign w:val="center"/>
          </w:tcPr>
          <w:p>
            <w:pPr>
              <w:pStyle w:val="TableContents"/>
              <w:bidi w:val="0"/>
              <w:spacing w:before="0" w:after="0"/>
              <w:ind w:left="0" w:right="0" w:firstLine="200"/>
              <w:jc w:val="lef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6,925</w:t>
            </w:r>
          </w:p>
        </w:tc>
        <w:tc>
          <w:tcPr>
            <w:tcW w:w="395" w:type="dxa"/>
            <w:tcBorders/>
            <w:vAlign w:val="center"/>
          </w:tcPr>
          <w:p>
            <w:pPr>
              <w:pStyle w:val="TableContents"/>
              <w:bidi w:val="0"/>
              <w:spacing w:before="0" w:after="0"/>
              <w:ind w:left="0" w:right="0" w:firstLine="200"/>
              <w:jc w:val="left"/>
              <w:rPr/>
            </w:pPr>
            <w:r>
              <w:rPr/>
              <w:t> </w:t>
            </w:r>
          </w:p>
        </w:tc>
      </w:tr>
      <w:tr>
        <w:trPr/>
        <w:tc>
          <w:tcPr>
            <w:tcW w:w="4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7,885</w:t>
            </w:r>
          </w:p>
        </w:tc>
        <w:tc>
          <w:tcPr>
            <w:tcW w:w="395" w:type="dxa"/>
            <w:tcBorders/>
            <w:vAlign w:val="center"/>
          </w:tcPr>
          <w:p>
            <w:pPr>
              <w:pStyle w:val="TableContents"/>
              <w:bidi w:val="0"/>
              <w:spacing w:before="0" w:after="0"/>
              <w:ind w:left="0" w:right="0" w:firstLine="100"/>
              <w:jc w:val="left"/>
              <w:rPr/>
            </w:pPr>
            <w:r>
              <w:rPr/>
              <w:t> </w:t>
            </w:r>
          </w:p>
        </w:tc>
      </w:tr>
      <w:tr>
        <w:trPr/>
        <w:tc>
          <w:tcPr>
            <w:tcW w:w="40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5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3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67,185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67,054</w:t>
            </w:r>
          </w:p>
        </w:tc>
        <w:tc>
          <w:tcPr>
            <w:tcW w:w="3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 restricted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74,207</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979"/>
        <w:jc w:val="left"/>
        <w:rPr/>
      </w:pPr>
      <w:r>
        <w:rPr/>
        <w:t> </w:t>
      </w:r>
    </w:p>
    <w:tbl>
      <w:tblPr>
        <w:tblW w:w="10205" w:type="dxa"/>
        <w:jc w:val="left"/>
        <w:tblInd w:w="0" w:type="dxa"/>
        <w:tblLayout w:type="fixed"/>
        <w:tblCellMar>
          <w:top w:w="28" w:type="dxa"/>
          <w:left w:w="28" w:type="dxa"/>
          <w:bottom w:w="28" w:type="dxa"/>
          <w:right w:w="28" w:type="dxa"/>
        </w:tblCellMar>
      </w:tblPr>
      <w:tblGrid>
        <w:gridCol w:w="4054"/>
        <w:gridCol w:w="146"/>
        <w:gridCol w:w="258"/>
        <w:gridCol w:w="829"/>
        <w:gridCol w:w="146"/>
        <w:gridCol w:w="146"/>
        <w:gridCol w:w="433"/>
        <w:gridCol w:w="713"/>
        <w:gridCol w:w="146"/>
        <w:gridCol w:w="146"/>
        <w:gridCol w:w="354"/>
        <w:gridCol w:w="809"/>
        <w:gridCol w:w="166"/>
        <w:gridCol w:w="146"/>
        <w:gridCol w:w="313"/>
        <w:gridCol w:w="1004"/>
        <w:gridCol w:w="396"/>
      </w:tblGrid>
      <w:tr>
        <w:trPr/>
        <w:tc>
          <w:tcPr>
            <w:tcW w:w="4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0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100"/>
              <w:jc w:val="righ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396" w:type="dxa"/>
            <w:tcBorders/>
            <w:vAlign w:val="center"/>
          </w:tcPr>
          <w:p>
            <w:pPr>
              <w:pStyle w:val="TableContents"/>
              <w:bidi w:val="0"/>
              <w:spacing w:before="0" w:after="0"/>
              <w:ind w:left="0" w:right="0" w:firstLine="100"/>
              <w:jc w:val="lef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 and restricted cash equivalents</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25,813</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17" w:type="dxa"/>
            <w:gridSpan w:val="2"/>
            <w:tcBorders/>
            <w:vAlign w:val="center"/>
          </w:tcPr>
          <w:p>
            <w:pPr>
              <w:pStyle w:val="TableContents"/>
              <w:bidi w:val="0"/>
              <w:spacing w:before="0" w:after="0"/>
              <w:ind w:left="0" w:right="0" w:hanging="0"/>
              <w:jc w:val="right"/>
              <w:rPr/>
            </w:pPr>
            <w:r>
              <w:rPr/>
              <w:t> </w:t>
            </w:r>
          </w:p>
        </w:tc>
        <w:tc>
          <w:tcPr>
            <w:tcW w:w="396" w:type="dxa"/>
            <w:tcBorders/>
            <w:vAlign w:val="center"/>
          </w:tcPr>
          <w:p>
            <w:pPr>
              <w:pStyle w:val="TableContents"/>
              <w:bidi w:val="0"/>
              <w:spacing w:before="0" w:after="0"/>
              <w:ind w:left="0" w:right="0" w:firstLine="200"/>
              <w:jc w:val="righ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 and agencies</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36,456</w:t>
            </w:r>
          </w:p>
        </w:tc>
        <w:tc>
          <w:tcPr>
            <w:tcW w:w="396" w:type="dxa"/>
            <w:tcBorders/>
            <w:vAlign w:val="center"/>
          </w:tcPr>
          <w:p>
            <w:pPr>
              <w:pStyle w:val="TableContents"/>
              <w:bidi w:val="0"/>
              <w:spacing w:before="0" w:after="0"/>
              <w:ind w:left="0" w:right="0" w:firstLine="200"/>
              <w:jc w:val="lef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26,631</w:t>
            </w:r>
          </w:p>
        </w:tc>
        <w:tc>
          <w:tcPr>
            <w:tcW w:w="396" w:type="dxa"/>
            <w:tcBorders/>
            <w:vAlign w:val="center"/>
          </w:tcPr>
          <w:p>
            <w:pPr>
              <w:pStyle w:val="TableContents"/>
              <w:bidi w:val="0"/>
              <w:spacing w:before="0" w:after="0"/>
              <w:ind w:left="0" w:right="0" w:firstLine="200"/>
              <w:jc w:val="lef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58"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pPr>
            <w:r>
              <w:rPr/>
              <w:t> </w:t>
            </w:r>
          </w:p>
        </w:tc>
        <w:tc>
          <w:tcPr>
            <w:tcW w:w="8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w:t>
            </w:r>
          </w:p>
        </w:tc>
        <w:tc>
          <w:tcPr>
            <w:tcW w:w="396" w:type="dxa"/>
            <w:tcBorders/>
            <w:vAlign w:val="center"/>
          </w:tcPr>
          <w:p>
            <w:pPr>
              <w:pStyle w:val="TableContents"/>
              <w:bidi w:val="0"/>
              <w:spacing w:before="0" w:after="0"/>
              <w:ind w:left="0" w:right="0" w:firstLine="200"/>
              <w:jc w:val="left"/>
              <w:rPr/>
            </w:pPr>
            <w:r>
              <w:rPr/>
              <w:t> </w:t>
            </w:r>
          </w:p>
        </w:tc>
      </w:tr>
      <w:tr>
        <w:trPr/>
        <w:tc>
          <w:tcPr>
            <w:tcW w:w="405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 government</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05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71,475</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equivalents, restricted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97,288</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979"/>
        <w:jc w:val="left"/>
        <w:rPr/>
      </w:pPr>
      <w:r>
        <w:rPr/>
        <w:t> </w:t>
      </w:r>
    </w:p>
    <w:p>
      <w:pPr>
        <w:pStyle w:val="TextBody"/>
        <w:bidi w:val="0"/>
        <w:spacing w:before="0" w:after="0"/>
        <w:ind w:left="0" w:right="0" w:firstLine="979"/>
        <w:jc w:val="left"/>
        <w:rPr>
          <w:rFonts w:ascii="Times New Roman;serif" w:hAnsi="Times New Roman;serif"/>
          <w:b w:val="false"/>
          <w:sz w:val="20"/>
        </w:rPr>
      </w:pPr>
      <w:r>
        <w:rPr>
          <w:rFonts w:ascii="Times New Roman;serif" w:hAnsi="Times New Roman;serif"/>
          <w:b w:val="false"/>
          <w:sz w:val="20"/>
        </w:rPr>
        <w:t>As of June 30, 2023, 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June 30, 2023,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June 30, 2023.</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40" w:after="0"/>
        <w:ind w:left="0" w:right="0" w:hanging="0"/>
        <w:jc w:val="left"/>
        <w:rPr>
          <w:rFonts w:ascii="Times New Roman" w:hAnsi="Times New Roman"/>
          <w:sz w:val="20"/>
        </w:rPr>
      </w:pPr>
      <w:r>
        <w:rPr>
          <w:rFonts w:ascii="Times New Roman;serif" w:hAnsi="Times New Roman;serif"/>
          <w:b/>
          <w:sz w:val="20"/>
        </w:rPr>
        <w:t>4. Fair Value Measurements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tables presents information about the Company’s financial assets and liabilities measured at fair value on a recurring basis and indicates the level of inputs used in such measurements (in thousands):</w:t>
      </w:r>
      <w:r>
        <w:rPr>
          <w:rFonts w:ascii="Times New Roman" w:hAnsi="Times New Roman"/>
          <w:sz w:val="20"/>
        </w:rPr>
        <w:t xml:space="preserve"> </w:t>
      </w:r>
    </w:p>
    <w:p>
      <w:pPr>
        <w:pStyle w:val="TextBody"/>
        <w:bidi w:val="0"/>
        <w:spacing w:before="0" w:after="0"/>
        <w:ind w:left="0" w:right="0" w:hanging="0"/>
        <w:jc w:val="center"/>
        <w:rPr/>
      </w:pPr>
      <w:r>
        <w:rPr/>
        <w:t> </w:t>
      </w:r>
    </w:p>
    <w:tbl>
      <w:tblPr>
        <w:tblW w:w="7120" w:type="dxa"/>
        <w:jc w:val="left"/>
        <w:tblInd w:w="0" w:type="dxa"/>
        <w:tblLayout w:type="fixed"/>
        <w:tblCellMar>
          <w:top w:w="28" w:type="dxa"/>
          <w:left w:w="28" w:type="dxa"/>
          <w:bottom w:w="28" w:type="dxa"/>
          <w:right w:w="28" w:type="dxa"/>
        </w:tblCellMar>
      </w:tblPr>
      <w:tblGrid>
        <w:gridCol w:w="24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6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3,993</w:t>
            </w:r>
          </w:p>
        </w:tc>
        <w:tc>
          <w:tcPr>
            <w:tcW w:w="3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 and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52,244</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6,925</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7,885</w:t>
            </w:r>
          </w:p>
        </w:tc>
        <w:tc>
          <w:tcPr>
            <w:tcW w:w="391" w:type="dxa"/>
            <w:tcBorders/>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59,397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74,207</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979"/>
        <w:jc w:val="center"/>
        <w:rPr/>
      </w:pPr>
      <w:r>
        <w:rPr/>
        <w:t> </w:t>
      </w:r>
    </w:p>
    <w:tbl>
      <w:tblPr>
        <w:tblW w:w="7120" w:type="dxa"/>
        <w:jc w:val="left"/>
        <w:tblInd w:w="0" w:type="dxa"/>
        <w:tblLayout w:type="fixed"/>
        <w:tblCellMar>
          <w:top w:w="28" w:type="dxa"/>
          <w:left w:w="28" w:type="dxa"/>
          <w:bottom w:w="28" w:type="dxa"/>
          <w:right w:w="28" w:type="dxa"/>
        </w:tblCellMar>
      </w:tblPr>
      <w:tblGrid>
        <w:gridCol w:w="2416"/>
        <w:gridCol w:w="146"/>
        <w:gridCol w:w="211"/>
        <w:gridCol w:w="676"/>
        <w:gridCol w:w="146"/>
        <w:gridCol w:w="146"/>
        <w:gridCol w:w="211"/>
        <w:gridCol w:w="676"/>
        <w:gridCol w:w="146"/>
        <w:gridCol w:w="146"/>
        <w:gridCol w:w="239"/>
        <w:gridCol w:w="391"/>
        <w:gridCol w:w="146"/>
        <w:gridCol w:w="146"/>
        <w:gridCol w:w="211"/>
        <w:gridCol w:w="676"/>
        <w:gridCol w:w="3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6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100"/>
              <w:jc w:val="righ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25,313</w:t>
            </w:r>
          </w:p>
        </w:tc>
        <w:tc>
          <w:tcPr>
            <w:tcW w:w="3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Restricted cash equivalents: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1" w:type="dxa"/>
            <w:tcBorders/>
            <w:vAlign w:val="center"/>
          </w:tcPr>
          <w:p>
            <w:pPr>
              <w:pStyle w:val="TableContents"/>
              <w:bidi w:val="0"/>
              <w:spacing w:before="0" w:after="0"/>
              <w:ind w:left="0" w:right="0" w:firstLine="100"/>
              <w:jc w:val="left"/>
              <w:rPr/>
            </w:pPr>
            <w:r>
              <w:rPr/>
              <w:t> </w:t>
            </w:r>
          </w:p>
        </w:tc>
      </w:tr>
      <w:tr>
        <w:trPr/>
        <w:tc>
          <w:tcPr>
            <w:tcW w:w="241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 and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36,456</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26,631</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w:t>
            </w:r>
          </w:p>
        </w:tc>
        <w:tc>
          <w:tcPr>
            <w:tcW w:w="391" w:type="dxa"/>
            <w:tcBorders/>
            <w:vAlign w:val="center"/>
          </w:tcPr>
          <w:p>
            <w:pPr>
              <w:pStyle w:val="TableContents"/>
              <w:bidi w:val="0"/>
              <w:spacing w:before="0" w:after="0"/>
              <w:ind w:left="0" w:right="0" w:firstLine="200"/>
              <w:jc w:val="left"/>
              <w:rPr/>
            </w:pPr>
            <w:r>
              <w:rPr/>
              <w:t> </w:t>
            </w:r>
          </w:p>
        </w:tc>
      </w:tr>
      <w:tr>
        <w:trPr/>
        <w:tc>
          <w:tcPr>
            <w:tcW w:w="24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 government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97,288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979"/>
        <w:jc w:val="center"/>
        <w:rPr/>
      </w:pPr>
      <w:r>
        <w:rPr/>
        <w:t> </w:t>
      </w:r>
    </w:p>
    <w:p>
      <w:pPr>
        <w:pStyle w:val="TextBody"/>
        <w:bidi w:val="0"/>
        <w:spacing w:before="0" w:after="0"/>
        <w:ind w:left="0" w:right="0" w:firstLine="979"/>
        <w:jc w:val="left"/>
        <w:rPr>
          <w:rFonts w:ascii="Times New Roman;serif" w:hAnsi="Times New Roman;serif"/>
          <w:b w:val="false"/>
          <w:sz w:val="20"/>
        </w:rPr>
      </w:pPr>
      <w:r>
        <w:rPr>
          <w:rFonts w:ascii="Times New Roman;serif" w:hAnsi="Times New Roman;serif"/>
          <w:b w:val="false"/>
          <w:sz w:val="20"/>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There were no transfers between Level 1, Level 2 and Level 3 of the fair value hierarchy for any of the periods presented.</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sz w:val="20"/>
        </w:rPr>
      </w:pPr>
      <w:r>
        <w:rPr>
          <w:rFonts w:ascii="Times New Roman;serif" w:hAnsi="Times New Roman;serif"/>
          <w:b/>
          <w:sz w:val="20"/>
        </w:rPr>
        <w:t>5. Accrued Expenses and Other Current Liabilities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Accrued expenses and other current liabilities consist of the following (in thousands):</w:t>
      </w:r>
      <w:r>
        <w:rPr>
          <w:rFonts w:ascii="Times New Roman" w:hAnsi="Times New Roman"/>
          <w:sz w:val="20"/>
        </w:rPr>
        <w:t xml:space="preserve"> </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related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preclinical and clinical trial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Related party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serif" w:hAnsi="Times New Roman;serif"/>
          <w:b/>
          <w:sz w:val="20"/>
        </w:rPr>
        <w:t>6. Related Party Transactions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Services agreements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w:t>
      </w:r>
      <w:r>
        <w:rPr>
          <w:rFonts w:ascii="Times New Roman" w:hAnsi="Times New Roman"/>
          <w:sz w:val="20"/>
        </w:rPr>
        <w:t xml:space="preserve"> </w:t>
      </w:r>
      <w:r>
        <w:rPr>
          <w:rFonts w:ascii="Times New Roman;serif" w:hAnsi="Times New Roman;serif"/>
          <w:b w:val="false"/>
          <w:sz w:val="20"/>
        </w:rPr>
        <w:t>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w:t>
      </w:r>
      <w:r>
        <w:rPr>
          <w:rFonts w:ascii="Times New Roman" w:hAnsi="Times New Roman"/>
          <w:sz w:val="20"/>
        </w:rPr>
        <w:t xml:space="preserve"> </w:t>
      </w:r>
      <w:r>
        <w:rPr>
          <w:rFonts w:ascii="Times New Roman;serif" w:hAnsi="Times New Roman;serif"/>
          <w:b w:val="false"/>
          <w:sz w:val="20"/>
        </w:rPr>
        <w:t>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table below details the amounts charged by ICL for services and rent, net of the amount that the Company charged ICL, which is included in the condensed consolidated statements of operations (in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307"/>
        <w:gridCol w:w="613"/>
        <w:gridCol w:w="212"/>
        <w:gridCol w:w="212"/>
        <w:gridCol w:w="307"/>
        <w:gridCol w:w="613"/>
        <w:gridCol w:w="146"/>
        <w:gridCol w:w="146"/>
        <w:gridCol w:w="280"/>
        <w:gridCol w:w="560"/>
        <w:gridCol w:w="194"/>
        <w:gridCol w:w="194"/>
        <w:gridCol w:w="280"/>
        <w:gridCol w:w="56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21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94"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979"/>
        <w:jc w:val="left"/>
        <w:rPr>
          <w:rFonts w:ascii="Times New Roman;serif" w:hAnsi="Times New Roman;serif"/>
          <w:b w:val="false"/>
          <w:sz w:val="20"/>
        </w:rPr>
      </w:pPr>
      <w:r>
        <w:rPr>
          <w:rFonts w:ascii="Times New Roman;serif" w:hAnsi="Times New Roman;serif"/>
          <w:b w:val="false"/>
          <w:sz w:val="20"/>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As of June 30, 2023, all of the Company's facilities are owned or leased by an entity affiliated with the Company’s Chairman (Note 7). The Company pays for the use of these facilities through its services agreements with ICL.</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Exclusive License, Intellectual Property and Common Unit Purchase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w:t>
      </w:r>
      <w:r>
        <w:rPr>
          <w:rFonts w:ascii="Times New Roman" w:hAnsi="Times New Roman"/>
          <w:sz w:val="20"/>
        </w:rPr>
        <w:t xml:space="preserve"> </w:t>
      </w:r>
      <w:r>
        <w:rPr>
          <w:rFonts w:ascii="Times New Roman;serif" w:hAnsi="Times New Roman;serif"/>
          <w:b w:val="false"/>
          <w:sz w:val="20"/>
        </w:rPr>
        <w:t>million to ICL for each United States patent family that the</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val="false"/>
          <w:sz w:val="20"/>
        </w:rPr>
        <w:t>Company desires to acquire, up to $1.0</w:t>
      </w:r>
      <w:r>
        <w:rPr>
          <w:rFonts w:ascii="Times New Roman" w:hAnsi="Times New Roman"/>
          <w:sz w:val="20"/>
        </w:rPr>
        <w:t xml:space="preserve"> </w:t>
      </w:r>
      <w:r>
        <w:rPr>
          <w:rFonts w:ascii="Times New Roman;serif" w:hAnsi="Times New Roman;serif"/>
          <w:b w:val="false"/>
          <w:sz w:val="20"/>
        </w:rPr>
        <w:t>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Non-Exclusive License Agreement between Rani and ICL (“Non-Exclusive License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Intellectual Property Agreement with Mir Imran (the “Mir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six months ended June 30, 2023 and 2022, these parties to the TRA exchanged zero</w:t>
      </w:r>
      <w:r>
        <w:rPr>
          <w:rFonts w:ascii="Times New Roman" w:hAnsi="Times New Roman"/>
          <w:sz w:val="20"/>
        </w:rPr>
        <w:t xml:space="preserve"> </w:t>
      </w:r>
      <w:r>
        <w:rPr>
          <w:rFonts w:ascii="Times New Roman;serif" w:hAnsi="Times New Roman;serif"/>
          <w:b w:val="false"/>
          <w:sz w:val="20"/>
        </w:rPr>
        <w:t>and 2,309,490</w:t>
      </w:r>
      <w:r>
        <w:rPr>
          <w:rFonts w:ascii="Times New Roman" w:hAnsi="Times New Roman"/>
          <w:sz w:val="20"/>
        </w:rPr>
        <w:t xml:space="preserve"> </w:t>
      </w:r>
      <w:r>
        <w:rPr>
          <w:rFonts w:ascii="Times New Roman;serif" w:hAnsi="Times New Roman;serif"/>
          <w:b w:val="false"/>
          <w:sz w:val="20"/>
        </w:rPr>
        <w:t>Paired Interests, respectively, that resulted in tax benefits subject to the TRA (Note 12).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i/>
          <w:sz w:val="20"/>
        </w:rPr>
      </w:pPr>
      <w:r>
        <w:rPr>
          <w:rFonts w:ascii="Times New Roman;serif" w:hAnsi="Times New Roman;serif"/>
          <w:b/>
          <w:i/>
          <w:sz w:val="20"/>
        </w:rPr>
        <w:t>Registration Rights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w:t>
      </w:r>
      <w:r>
        <w:rPr>
          <w:rFonts w:ascii="Times New Roman" w:hAnsi="Times New Roman"/>
          <w:sz w:val="20"/>
        </w:rPr>
        <w:t xml:space="preserve"> </w:t>
      </w:r>
      <w:r>
        <w:rPr>
          <w:rFonts w:ascii="Times New Roman;serif" w:hAnsi="Times New Roman;serif"/>
          <w:b w:val="false"/>
          <w:sz w:val="20"/>
        </w:rPr>
        <w:t>shares of Class A common stock of the Company held by certain of its stockholders.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Rani LLC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During the six months ended June 30, 2023 and 2022, certain parties to the Rani LLC Agreement exchanged zero</w:t>
      </w:r>
      <w:r>
        <w:rPr>
          <w:rFonts w:ascii="Times New Roman" w:hAnsi="Times New Roman"/>
          <w:sz w:val="20"/>
        </w:rPr>
        <w:t xml:space="preserve"> </w:t>
      </w:r>
      <w:r>
        <w:rPr>
          <w:rFonts w:ascii="Times New Roman;serif" w:hAnsi="Times New Roman;serif"/>
          <w:b w:val="false"/>
          <w:sz w:val="20"/>
        </w:rPr>
        <w:t>and 2,309,490</w:t>
      </w:r>
      <w:r>
        <w:rPr>
          <w:rFonts w:ascii="Times New Roman" w:hAnsi="Times New Roman"/>
          <w:sz w:val="20"/>
        </w:rPr>
        <w:t xml:space="preserve"> </w:t>
      </w:r>
      <w:r>
        <w:rPr>
          <w:rFonts w:ascii="Times New Roman;serif" w:hAnsi="Times New Roman;serif"/>
          <w:b w:val="false"/>
          <w:sz w:val="20"/>
        </w:rPr>
        <w:t>Paired Interests, respectively, for an equal number of shares of the Company's Class A common stock.</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sz w:val="20"/>
        </w:rPr>
      </w:pPr>
      <w:r>
        <w:rPr>
          <w:rFonts w:ascii="Times New Roman;serif" w:hAnsi="Times New Roman;serif"/>
          <w:b/>
          <w:sz w:val="20"/>
        </w:rPr>
        <w:t>7. Leases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In January 2023, the Company determined it to be reasonably certain that it would exercise its renewal option for a successive twelve-month period through 2024.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 as of June 30, 2023.</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In July 2022, the Company accounted for the lease extension as a lease modification that did not result in a separate contract and recognized the right-of-use asset and lease liabilities associated with the Rani LLC-ICL Service Agreement in its condensed consolidated balance sheet. As of June 30, 2023, the second renewal option for the facility in Milpitas, California was not deemed reasonably certain to be exercised.</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Short-term lease expense for Occupancy Services in San Antonio, Texas under the Rani LLC-ICL Service Agreement, and variable lease payments are excluded in the total operating lease expense and immaterial for the periods presented.</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weighted average remaining lease term and weighted average discount rate related to the Company's right-of-use assets and operating lease liabilities for its operating leases were as follows:</w:t>
      </w:r>
    </w:p>
    <w:p>
      <w:pPr>
        <w:pStyle w:val="TextBody"/>
        <w:bidi w:val="0"/>
        <w:spacing w:before="0" w:after="0"/>
        <w:ind w:left="0" w:right="0" w:hanging="0"/>
        <w:jc w:val="both"/>
        <w:rPr/>
      </w:pPr>
      <w:r>
        <w:rPr/>
        <w:t> </w:t>
      </w:r>
    </w:p>
    <w:tbl>
      <w:tblPr>
        <w:tblW w:w="6124"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361"/>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(in years)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As of June 30, 2023, the Company expects that its future minimum operating lease payments will become due and payable as follows (in thousands):</w:t>
      </w:r>
    </w:p>
    <w:p>
      <w:pPr>
        <w:pStyle w:val="TextBody"/>
        <w:bidi w:val="0"/>
        <w:spacing w:before="0" w:after="0"/>
        <w:ind w:left="0" w:right="0" w:hanging="0"/>
        <w:jc w:val="center"/>
        <w:rPr/>
      </w:pPr>
      <w:r>
        <w:rPr/>
        <w:t> </w:t>
      </w:r>
    </w:p>
    <w:tbl>
      <w:tblPr>
        <w:tblW w:w="5675" w:type="dxa"/>
        <w:jc w:val="left"/>
        <w:tblInd w:w="0" w:type="dxa"/>
        <w:tblLayout w:type="fixed"/>
        <w:tblCellMar>
          <w:top w:w="28" w:type="dxa"/>
          <w:left w:w="28" w:type="dxa"/>
          <w:bottom w:w="28" w:type="dxa"/>
          <w:right w:w="28" w:type="dxa"/>
        </w:tblCellMar>
      </w:tblPr>
      <w:tblGrid>
        <w:gridCol w:w="4336"/>
        <w:gridCol w:w="146"/>
        <w:gridCol w:w="211"/>
        <w:gridCol w:w="571"/>
        <w:gridCol w:w="4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ending December 31,</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2023 (remaining six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411" w:type="dxa"/>
            <w:tcBorders/>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411" w:type="dxa"/>
            <w:tcBorders/>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undiscounted future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1,272</w:t>
            </w:r>
          </w:p>
        </w:tc>
        <w:tc>
          <w:tcPr>
            <w:tcW w:w="411" w:type="dxa"/>
            <w:tcBorders>
              <w:top w:val="single" w:sz="4" w:space="0" w:color="000000"/>
            </w:tcBorders>
            <w:tcMar>
              <w:left w:w="0" w:type="dxa"/>
              <w:bottom w:w="0" w:type="dxa"/>
              <w:right w:w="0" w:type="dxa"/>
            </w:tcMar>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Operating lease liability,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less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ind w:left="0" w:right="0" w:hanging="0"/>
        <w:jc w:val="left"/>
        <w:rPr>
          <w:rFonts w:ascii="Times New Roman;serif" w:hAnsi="Times New Roman;serif"/>
          <w:b/>
          <w:sz w:val="20"/>
        </w:rPr>
      </w:pPr>
      <w:r>
        <w:rPr>
          <w:rFonts w:ascii="Times New Roman;serif" w:hAnsi="Times New Roman;serif"/>
          <w:b/>
          <w:sz w:val="20"/>
        </w:rPr>
        <w:t>8. Warrants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August 2022, in conjunction with a loan and security agreement (Note 11), the Company issued warrants to purchase 76,336</w:t>
      </w:r>
      <w:r>
        <w:rPr>
          <w:rFonts w:ascii="Times New Roman" w:hAnsi="Times New Roman"/>
          <w:sz w:val="20"/>
        </w:rPr>
        <w:t xml:space="preserve"> </w:t>
      </w:r>
      <w:r>
        <w:rPr>
          <w:rFonts w:ascii="Times New Roman;serif" w:hAnsi="Times New Roman;serif"/>
          <w:b w:val="false"/>
          <w:sz w:val="20"/>
        </w:rPr>
        <w:t>shares of the Company's Class A common stock. The warrants are exercisable for a period of five years</w:t>
      </w:r>
      <w:r>
        <w:rPr>
          <w:rFonts w:ascii="Times New Roman" w:hAnsi="Times New Roman"/>
          <w:sz w:val="20"/>
        </w:rPr>
        <w:t xml:space="preserve"> </w:t>
      </w:r>
      <w:r>
        <w:rPr>
          <w:rFonts w:ascii="Times New Roman;serif" w:hAnsi="Times New Roman;serif"/>
          <w:b w:val="false"/>
          <w:sz w:val="20"/>
        </w:rPr>
        <w:t>from the grant date, as may be adjusted for certain anti-dilution adjustments, dividends, stock splits, and reverse stock splits, at an exercise price per share equal to $11.79, which may be net share settled at the option of the holder. As of June 30, 2023, there were 76,336</w:t>
      </w:r>
      <w:r>
        <w:rPr>
          <w:rFonts w:ascii="Times New Roman" w:hAnsi="Times New Roman"/>
          <w:sz w:val="20"/>
        </w:rPr>
        <w:t xml:space="preserve"> </w:t>
      </w:r>
      <w:r>
        <w:rPr>
          <w:rFonts w:ascii="Times New Roman;serif" w:hAnsi="Times New Roman;serif"/>
          <w:b w:val="false"/>
          <w:sz w:val="20"/>
        </w:rPr>
        <w:t>warrants outstanding.</w:t>
      </w:r>
    </w:p>
    <w:p>
      <w:pPr>
        <w:pStyle w:val="TextBody"/>
        <w:bidi w:val="0"/>
        <w:spacing w:before="0" w:after="0"/>
        <w:ind w:left="0" w:right="0" w:hanging="0"/>
        <w:jc w:val="both"/>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40" w:after="0"/>
        <w:ind w:left="0" w:right="0" w:firstLine="979"/>
        <w:jc w:val="left"/>
        <w:rPr>
          <w:rFonts w:ascii="Times New Roman" w:hAnsi="Times New Roman"/>
          <w:sz w:val="20"/>
        </w:rPr>
      </w:pPr>
      <w:r>
        <w:rPr>
          <w:rFonts w:ascii="Times New Roman;serif" w:hAnsi="Times New Roman;serif"/>
          <w:b w:val="false"/>
          <w:sz w:val="20"/>
        </w:rPr>
        <w:t>The warrants were determined to be equity classified Level 3 securities with a fair value totaling $0.5</w:t>
      </w:r>
      <w:r>
        <w:rPr>
          <w:rFonts w:ascii="Times New Roman" w:hAnsi="Times New Roman"/>
          <w:sz w:val="20"/>
        </w:rPr>
        <w:t xml:space="preserve"> </w:t>
      </w:r>
      <w:r>
        <w:rPr>
          <w:rFonts w:ascii="Times New Roman;serif" w:hAnsi="Times New Roman;serif"/>
          <w:b w:val="false"/>
          <w:sz w:val="20"/>
        </w:rPr>
        <w:t>million, estimated on the date of issuance using the Black-Scholes valuation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w:t>
      </w:r>
      <w:r>
        <w:rPr>
          <w:rFonts w:ascii="Times New Roman" w:hAnsi="Times New Roman"/>
          <w:sz w:val="20"/>
        </w:rPr>
        <w:t xml:space="preserve"> </w:t>
      </w:r>
    </w:p>
    <w:p>
      <w:pPr>
        <w:pStyle w:val="TextBody"/>
        <w:bidi w:val="0"/>
        <w:spacing w:before="40" w:after="0"/>
        <w:ind w:left="0" w:right="0" w:hanging="0"/>
        <w:jc w:val="left"/>
        <w:rPr>
          <w:rFonts w:ascii="Times New Roman;serif" w:hAnsi="Times New Roman;serif"/>
          <w:b/>
          <w:sz w:val="20"/>
        </w:rPr>
      </w:pPr>
      <w:r>
        <w:rPr>
          <w:rFonts w:ascii="Times New Roman;serif" w:hAnsi="Times New Roman;serif"/>
          <w:b/>
          <w:sz w:val="20"/>
        </w:rPr>
        <w:t>9. Stockholders’ Equity</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For the six months ended June 30, 2023 and 2022, certain of the Continuing LLC Owners executed an exchange of zero</w:t>
      </w:r>
      <w:r>
        <w:rPr>
          <w:rFonts w:ascii="Times New Roman" w:hAnsi="Times New Roman"/>
          <w:sz w:val="20"/>
        </w:rPr>
        <w:t xml:space="preserve"> </w:t>
      </w:r>
      <w:r>
        <w:rPr>
          <w:rFonts w:ascii="Times New Roman;serif" w:hAnsi="Times New Roman;serif"/>
          <w:b w:val="false"/>
          <w:sz w:val="20"/>
        </w:rPr>
        <w:t>and 4,626,639</w:t>
      </w:r>
      <w:r>
        <w:rPr>
          <w:rFonts w:ascii="Times New Roman" w:hAnsi="Times New Roman"/>
          <w:sz w:val="20"/>
        </w:rPr>
        <w:t xml:space="preserve"> </w:t>
      </w:r>
      <w:r>
        <w:rPr>
          <w:rFonts w:ascii="Times New Roman;serif" w:hAnsi="Times New Roman;serif"/>
          <w:b w:val="false"/>
          <w:sz w:val="20"/>
        </w:rPr>
        <w:t>Paired Interests, respectively, and zero</w:t>
      </w:r>
      <w:r>
        <w:rPr>
          <w:rFonts w:ascii="Times New Roman" w:hAnsi="Times New Roman"/>
          <w:sz w:val="20"/>
        </w:rPr>
        <w:t xml:space="preserve"> </w:t>
      </w:r>
      <w:r>
        <w:rPr>
          <w:rFonts w:ascii="Times New Roman;serif" w:hAnsi="Times New Roman;serif"/>
          <w:b w:val="false"/>
          <w:sz w:val="20"/>
        </w:rPr>
        <w:t>and 158,051</w:t>
      </w:r>
      <w:r>
        <w:rPr>
          <w:rFonts w:ascii="Times New Roman" w:hAnsi="Times New Roman"/>
          <w:sz w:val="20"/>
        </w:rPr>
        <w:t xml:space="preserve"> </w:t>
      </w:r>
      <w:r>
        <w:rPr>
          <w:rFonts w:ascii="Times New Roman;serif" w:hAnsi="Times New Roman;serif"/>
          <w:b w:val="false"/>
          <w:sz w:val="20"/>
        </w:rPr>
        <w:t>non-corresponding Class A Units of Rani LLC, respectively, in return for an equal number of shares of the Company’s Class A common stock. The corresponding shares of the Company’s Class B common stock included in the exchange of Paired Interests were subsequently cancelled and retired pursuant to the terms of the Rani LLC Agreement.</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w:t>
      </w:r>
      <w:r>
        <w:rPr>
          <w:rFonts w:ascii="Times New Roman" w:hAnsi="Times New Roman"/>
          <w:sz w:val="20"/>
        </w:rPr>
        <w:t xml:space="preserve"> </w:t>
      </w:r>
      <w:r>
        <w:rPr>
          <w:rFonts w:ascii="Times New Roman;serif" w:hAnsi="Times New Roman;serif"/>
          <w:b w:val="false"/>
          <w:sz w:val="20"/>
        </w:rPr>
        <w:t>million of shares of its Class A common stock, in such share amounts as the Company may specify by notice to the Agents, in accordance with the terms and conditions set forth in the Sales Agreement. The potential proceeds from the Sales Agreement are expected to be used for</w:t>
      </w:r>
      <w:r>
        <w:rPr>
          <w:rFonts w:ascii="Times New Roman" w:hAnsi="Times New Roman"/>
          <w:sz w:val="20"/>
        </w:rPr>
        <w:t xml:space="preserve"> </w:t>
      </w:r>
      <w:r>
        <w:rPr>
          <w:rFonts w:ascii="Times New Roman;serif" w:hAnsi="Times New Roman;serif"/>
          <w:b w:val="false"/>
          <w:sz w:val="20"/>
        </w:rPr>
        <w:t>general corporate purposes. As of June 30, 2023, the Company has no sales under the Sales Agreement. In connection with the Sales Agreement, the Company recognized deferred offering costs totaling $0.3</w:t>
      </w:r>
      <w:r>
        <w:rPr>
          <w:rFonts w:ascii="Times New Roman" w:hAnsi="Times New Roman"/>
          <w:sz w:val="20"/>
        </w:rPr>
        <w:t xml:space="preserve"> </w:t>
      </w:r>
      <w:r>
        <w:rPr>
          <w:rFonts w:ascii="Times New Roman;serif" w:hAnsi="Times New Roman;serif"/>
          <w:b w:val="false"/>
          <w:sz w:val="20"/>
        </w:rPr>
        <w:t>million as a component of prepaid expenses and other current assets in the condensed consolidated balance sheet as of June 30, 2023</w:t>
      </w:r>
      <w:r>
        <w:rPr>
          <w:rFonts w:ascii="Times New Roman" w:hAnsi="Times New Roman"/>
          <w:sz w:val="20"/>
        </w:rPr>
        <w:t xml:space="preserve"> </w:t>
      </w:r>
      <w:r>
        <w:rPr>
          <w:rFonts w:ascii="Times New Roman;serif" w:hAnsi="Times New Roman;serif"/>
          <w:b w:val="false"/>
          <w:sz w:val="20"/>
        </w:rPr>
        <w:t>which will be offset against proceeds upon a sale under the Sales Agreement within the condensed consolidated statement of changes in stockholders’ equity.</w:t>
      </w:r>
    </w:p>
    <w:p>
      <w:pPr>
        <w:pStyle w:val="TextBody"/>
        <w:bidi w:val="0"/>
        <w:spacing w:before="0" w:after="0"/>
        <w:ind w:left="0" w:right="0" w:hanging="0"/>
        <w:jc w:val="left"/>
        <w:rPr>
          <w:rFonts w:ascii="Times New Roman" w:hAnsi="Times New Roman"/>
          <w:sz w:val="20"/>
        </w:rPr>
      </w:pPr>
      <w:r>
        <w:rPr>
          <w:rFonts w:ascii="Times New Roman;serif" w:hAnsi="Times New Roman;serif"/>
          <w:b/>
          <w:sz w:val="20"/>
        </w:rPr>
        <w:t>10. Commitments and Contingencies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prevent third parties from commercializing in Europe products with characteristics similar to those of the Company’s RaniPill technology.</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Company is party to a TRA with certain of the Continuing LLC Owners (Note 2). As of June 30, 2023,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w:t>
      </w:r>
      <w:r>
        <w:rPr>
          <w:rFonts w:ascii="Times New Roman" w:hAnsi="Times New Roman"/>
          <w:sz w:val="20"/>
        </w:rPr>
        <w:t xml:space="preserve"> </w:t>
      </w:r>
      <w:r>
        <w:rPr>
          <w:rFonts w:ascii="Times New Roman;serif" w:hAnsi="Times New Roman;serif"/>
          <w:b w:val="false"/>
          <w:sz w:val="20"/>
        </w:rPr>
        <w:t>to $22.9</w:t>
      </w:r>
      <w:r>
        <w:rPr>
          <w:rFonts w:ascii="Times New Roman" w:hAnsi="Times New Roman"/>
          <w:sz w:val="20"/>
        </w:rPr>
        <w:t xml:space="preserve"> </w:t>
      </w:r>
      <w:r>
        <w:rPr>
          <w:rFonts w:ascii="Times New Roman;serif" w:hAnsi="Times New Roman;serif"/>
          <w:b w:val="false"/>
          <w:sz w:val="20"/>
        </w:rPr>
        <w:t>million at June 30, 2023.</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sz w:val="20"/>
        </w:rPr>
      </w:pPr>
      <w:r>
        <w:rPr>
          <w:rFonts w:ascii="Times New Roman;serif" w:hAnsi="Times New Roman;serif"/>
          <w:b/>
          <w:sz w:val="20"/>
        </w:rPr>
        <w:t>11. Long-Term Debt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August 2022, the Company entered into a loan and security agreement and related supplement (the “Loan Agreement”) with Avenue Venture Opportunities Fund, L.P (the “Lender”). The Loan Agreement provides for term loans (the “Loans”) in an aggregate principal amount up to $45.0</w:t>
      </w:r>
      <w:r>
        <w:rPr>
          <w:rFonts w:ascii="Times New Roman" w:hAnsi="Times New Roman"/>
          <w:sz w:val="20"/>
        </w:rPr>
        <w:t xml:space="preserve"> </w:t>
      </w:r>
      <w:r>
        <w:rPr>
          <w:rFonts w:ascii="Times New Roman;serif" w:hAnsi="Times New Roman;serif"/>
          <w:b w:val="false"/>
          <w:sz w:val="20"/>
        </w:rPr>
        <w:t>million. A Loan of $30.0</w:t>
      </w:r>
      <w:r>
        <w:rPr>
          <w:rFonts w:ascii="Times New Roman" w:hAnsi="Times New Roman"/>
          <w:sz w:val="20"/>
        </w:rPr>
        <w:t xml:space="preserve"> </w:t>
      </w:r>
      <w:r>
        <w:rPr>
          <w:rFonts w:ascii="Times New Roman;serif" w:hAnsi="Times New Roman;serif"/>
          <w:b w:val="false"/>
          <w:sz w:val="20"/>
        </w:rPr>
        <w:t>million was committed at closing, with $15.0</w:t>
      </w:r>
      <w:r>
        <w:rPr>
          <w:rFonts w:ascii="Times New Roman" w:hAnsi="Times New Roman"/>
          <w:sz w:val="20"/>
        </w:rPr>
        <w:t xml:space="preserve"> </w:t>
      </w:r>
      <w:r>
        <w:rPr>
          <w:rFonts w:ascii="Times New Roman;serif" w:hAnsi="Times New Roman;serif"/>
          <w:b w:val="false"/>
          <w:sz w:val="20"/>
        </w:rPr>
        <w:t>million funded immediately and $15.0</w:t>
      </w:r>
      <w:r>
        <w:rPr>
          <w:rFonts w:ascii="Times New Roman" w:hAnsi="Times New Roman"/>
          <w:sz w:val="20"/>
        </w:rPr>
        <w:t xml:space="preserve"> </w:t>
      </w:r>
      <w:r>
        <w:rPr>
          <w:rFonts w:ascii="Times New Roman;serif" w:hAnsi="Times New Roman;serif"/>
          <w:b w:val="false"/>
          <w:sz w:val="20"/>
        </w:rPr>
        <w:t>million available to be drawn between October 1, 2022 and December 31, 2022, which was drawn in December 2022. The remaining $15.0</w:t>
      </w:r>
      <w:r>
        <w:rPr>
          <w:rFonts w:ascii="Times New Roman" w:hAnsi="Times New Roman"/>
          <w:sz w:val="20"/>
        </w:rPr>
        <w:t xml:space="preserve"> </w:t>
      </w:r>
      <w:r>
        <w:rPr>
          <w:rFonts w:ascii="Times New Roman;serif" w:hAnsi="Times New Roman;serif"/>
          <w:b w:val="false"/>
          <w:sz w:val="20"/>
        </w:rPr>
        <w:t>million of Loans (“Tranche 2”) is uncommitted and is subject to certain conditions and approval by the Lender. The purpose of the Loans is for general corporate purposes. In exchange for access to this facility, the Company agreed</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val="false"/>
          <w:sz w:val="20"/>
        </w:rPr>
        <w:t>to issue warrants exercisable into 76,336</w:t>
      </w:r>
      <w:r>
        <w:rPr>
          <w:rFonts w:ascii="Times New Roman" w:hAnsi="Times New Roman"/>
          <w:sz w:val="20"/>
        </w:rPr>
        <w:t xml:space="preserve"> </w:t>
      </w:r>
      <w:r>
        <w:rPr>
          <w:rFonts w:ascii="Times New Roman;serif" w:hAnsi="Times New Roman;serif"/>
          <w:b w:val="false"/>
          <w:sz w:val="20"/>
        </w:rPr>
        <w:t>shares of the Company's Class A common stock, as may be adjusted for certain anti-dilution adjustments, dividends, stock splits, and reverse stock splits, at an exercise price per share equal to $11.79</w:t>
      </w:r>
      <w:r>
        <w:rPr>
          <w:rFonts w:ascii="Times New Roman" w:hAnsi="Times New Roman"/>
          <w:sz w:val="20"/>
        </w:rPr>
        <w:t xml:space="preserve"> </w:t>
      </w:r>
      <w:r>
        <w:rPr>
          <w:rFonts w:ascii="Times New Roman;serif" w:hAnsi="Times New Roman;serif"/>
          <w:b w:val="false"/>
          <w:sz w:val="20"/>
        </w:rPr>
        <w:t>(Note 8).</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Pursuant to the Loan Agreement, the maturity date for the Loans is August 1, 2026</w:t>
      </w:r>
      <w:r>
        <w:rPr>
          <w:rFonts w:ascii="Times New Roman" w:hAnsi="Times New Roman"/>
          <w:sz w:val="20"/>
        </w:rPr>
        <w:t xml:space="preserve"> </w:t>
      </w:r>
      <w:r>
        <w:rPr>
          <w:rFonts w:ascii="Times New Roman;serif" w:hAnsi="Times New Roman;serif"/>
          <w:b w:val="false"/>
          <w:sz w:val="20"/>
        </w:rPr>
        <w:t>(the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June 30, 2023, the effective interest rate on the Loans was 15.34% and there were no events of default during the six months ended June 30, 2023. The Company is also subject to certain covenants. As of June 30, 2023, the Company was in compliance with all applicable covenants under the Loan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As of June 30, 2023, future principal payments for the Company’s debt are as follows (in thousands):</w:t>
      </w:r>
    </w:p>
    <w:tbl>
      <w:tblPr>
        <w:tblW w:w="4850" w:type="dxa"/>
        <w:jc w:val="left"/>
        <w:tblInd w:w="0" w:type="dxa"/>
        <w:tblLayout w:type="fixed"/>
        <w:tblCellMar>
          <w:top w:w="28" w:type="dxa"/>
          <w:left w:w="28" w:type="dxa"/>
          <w:bottom w:w="28" w:type="dxa"/>
          <w:right w:w="28" w:type="dxa"/>
        </w:tblCellMar>
      </w:tblPr>
      <w:tblGrid>
        <w:gridCol w:w="3406"/>
        <w:gridCol w:w="146"/>
        <w:gridCol w:w="211"/>
        <w:gridCol w:w="676"/>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ending December 31,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2023 (remaining six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41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41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411" w:type="dxa"/>
            <w:tcBorders/>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principal payments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411" w:type="dxa"/>
            <w:tcBorders>
              <w:top w:val="single" w:sz="4" w:space="0" w:color="000000"/>
            </w:tcBorders>
            <w:tcMar>
              <w:left w:w="0" w:type="dxa"/>
              <w:bottom w:w="0" w:type="dxa"/>
              <w:right w:w="0" w:type="dxa"/>
            </w:tcMar>
            <w:vAlign w:val="center"/>
          </w:tcPr>
          <w:p>
            <w:pPr>
              <w:pStyle w:val="TableContents"/>
              <w:bidi w:val="0"/>
              <w:spacing w:before="0" w:after="0"/>
              <w:ind w:left="0" w:right="0" w:firstLine="200"/>
              <w:jc w:val="left"/>
              <w:rPr/>
            </w:pPr>
            <w:r>
              <w:rPr/>
              <w:t> </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amount representing debt discount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ind w:left="0" w:right="0" w:hanging="0"/>
        <w:jc w:val="left"/>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Company’s effective income tax rate was zero</w:t>
      </w:r>
      <w:r>
        <w:rPr>
          <w:rFonts w:ascii="Times New Roman" w:hAnsi="Times New Roman"/>
          <w:sz w:val="20"/>
        </w:rPr>
        <w:t xml:space="preserve"> </w:t>
      </w:r>
      <w:r>
        <w:rPr>
          <w:rFonts w:ascii="Times New Roman;serif" w:hAnsi="Times New Roman;serif"/>
          <w:b w:val="false"/>
          <w:sz w:val="20"/>
        </w:rPr>
        <w:t>and (0.51)% for the six months ended June 30, 2023 and 2022, respectively. As a result of the exchanges from the date of the Organizational Transactions to June 30, 2023, the Company recorded a $18.7</w:t>
      </w:r>
      <w:r>
        <w:rPr>
          <w:rFonts w:ascii="Times New Roman" w:hAnsi="Times New Roman"/>
          <w:sz w:val="20"/>
        </w:rPr>
        <w:t xml:space="preserve"> </w:t>
      </w:r>
      <w:r>
        <w:rPr>
          <w:rFonts w:ascii="Times New Roman;serif" w:hAnsi="Times New Roman;serif"/>
          <w:b w:val="false"/>
          <w:sz w:val="20"/>
        </w:rPr>
        <w:t>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material changes to uncertain tax positions for the six months ended June 30, 2023 and 2022, and the Company does not anticipate material changes within the next twelve months.</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 w:hAnsi="Times New Roman"/>
          <w:sz w:val="20"/>
        </w:rPr>
      </w:pPr>
      <w:r>
        <w:rPr>
          <w:rFonts w:ascii="Times New Roman;serif" w:hAnsi="Times New Roman;serif"/>
          <w:b/>
          <w:sz w:val="20"/>
        </w:rPr>
        <w:t>13. Net Loss Per Share</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sets forth the computation of basic and diluted net loss per Class A common share attributable to Rani Holdings (in thousands, except per share data):</w:t>
      </w:r>
      <w:r>
        <w:rPr>
          <w:rFonts w:ascii="Times New Roman" w:hAnsi="Times New Roman"/>
          <w:sz w:val="20"/>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5348"/>
        <w:gridCol w:w="146"/>
        <w:gridCol w:w="230"/>
        <w:gridCol w:w="740"/>
        <w:gridCol w:w="181"/>
        <w:gridCol w:w="230"/>
        <w:gridCol w:w="740"/>
        <w:gridCol w:w="166"/>
        <w:gridCol w:w="146"/>
        <w:gridCol w:w="211"/>
        <w:gridCol w:w="737"/>
        <w:gridCol w:w="166"/>
        <w:gridCol w:w="211"/>
        <w:gridCol w:w="737"/>
        <w:gridCol w:w="216"/>
      </w:tblGrid>
      <w:tr>
        <w:trPr/>
        <w:tc>
          <w:tcPr>
            <w:tcW w:w="5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3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21"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2"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vAlign w:val="center"/>
          </w:tcPr>
          <w:p>
            <w:pPr>
              <w:pStyle w:val="TableContents"/>
              <w:bidi w:val="0"/>
              <w:spacing w:before="0" w:after="0"/>
              <w:ind w:left="0" w:right="0" w:hanging="0"/>
              <w:jc w:val="left"/>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9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53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Class A common share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(9,303</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(13,847</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48"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vAlign w:val="center"/>
          </w:tcPr>
          <w:p>
            <w:pPr>
              <w:pStyle w:val="TableContents"/>
              <w:bidi w:val="0"/>
              <w:spacing w:before="0" w:after="0"/>
              <w:ind w:left="0" w:right="0" w:hanging="0"/>
              <w:jc w:val="left"/>
              <w:rPr/>
            </w:pPr>
            <w:r>
              <w:rPr/>
              <w:t> </w:t>
            </w:r>
          </w:p>
        </w:tc>
        <w:tc>
          <w:tcPr>
            <w:tcW w:w="970" w:type="dxa"/>
            <w:gridSpan w:val="2"/>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right"/>
              <w:rPr/>
            </w:pPr>
            <w:r>
              <w:rPr/>
              <w:t> </w:t>
            </w:r>
          </w:p>
        </w:tc>
        <w:tc>
          <w:tcPr>
            <w:tcW w:w="97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948" w:type="dxa"/>
            <w:gridSpan w:val="2"/>
            <w:tcBorders/>
            <w:vAlign w:val="center"/>
          </w:tcPr>
          <w:p>
            <w:pPr>
              <w:pStyle w:val="TableContents"/>
              <w:bidi w:val="0"/>
              <w:spacing w:before="0" w:after="0"/>
              <w:ind w:left="0" w:right="0" w:hanging="0"/>
              <w:jc w:val="right"/>
              <w:rPr/>
            </w:pPr>
            <w:r>
              <w:rPr/>
              <w:t> </w:t>
            </w:r>
          </w:p>
        </w:tc>
        <w:tc>
          <w:tcPr>
            <w:tcW w:w="216" w:type="dxa"/>
            <w:tcBorders/>
            <w:vAlign w:val="center"/>
          </w:tcPr>
          <w:p>
            <w:pPr>
              <w:pStyle w:val="TableContents"/>
              <w:bidi w:val="0"/>
              <w:spacing w:before="0" w:after="0"/>
              <w:ind w:left="0" w:right="0" w:hanging="0"/>
              <w:jc w:val="right"/>
              <w:rPr/>
            </w:pPr>
            <w:r>
              <w:rPr/>
              <w:t> </w:t>
            </w:r>
          </w:p>
        </w:tc>
      </w:tr>
      <w:tr>
        <w:trPr/>
        <w:tc>
          <w:tcPr>
            <w:tcW w:w="53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Class A common share outstanding—basic and diluted</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25,345</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22,930</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Class A common share attributable to Rani Therapeutics Holdings, Inc.—basic and diluted</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(0.37</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ind w:left="0" w:right="0" w:hanging="0"/>
        <w:jc w:val="left"/>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979"/>
        <w:jc w:val="left"/>
        <w:rPr/>
      </w:pPr>
      <w:r>
        <w:rPr/>
        <w:t> </w:t>
      </w:r>
    </w:p>
    <w:p>
      <w:pPr>
        <w:pStyle w:val="TextBody"/>
        <w:bidi w:val="0"/>
        <w:spacing w:before="40" w:after="0"/>
        <w:ind w:left="0" w:right="0" w:firstLine="979"/>
        <w:jc w:val="left"/>
        <w:rPr>
          <w:rFonts w:ascii="Times New Roman;serif" w:hAnsi="Times New Roman;serif"/>
          <w:b w:val="false"/>
          <w:sz w:val="20"/>
        </w:rPr>
      </w:pPr>
      <w:r>
        <w:rPr>
          <w:rFonts w:ascii="Times New Roman;serif" w:hAnsi="Times New Roman;serif"/>
          <w:b w:val="false"/>
          <w:sz w:val="20"/>
        </w:rPr>
        <w:t>The following table shows the total outstanding securities considered anti-dilutive and therefore excluded from the computation of diluted net loss per Class A common share attributable to Rani Holdings (in thousands):</w:t>
      </w:r>
    </w:p>
    <w:tbl>
      <w:tblPr>
        <w:tblW w:w="5218" w:type="dxa"/>
        <w:jc w:val="left"/>
        <w:tblInd w:w="0" w:type="dxa"/>
        <w:tblLayout w:type="fixed"/>
        <w:tblCellMar>
          <w:top w:w="28" w:type="dxa"/>
          <w:left w:w="28" w:type="dxa"/>
          <w:bottom w:w="28" w:type="dxa"/>
          <w:right w:w="28" w:type="dxa"/>
        </w:tblCellMar>
      </w:tblPr>
      <w:tblGrid>
        <w:gridCol w:w="3091"/>
        <w:gridCol w:w="146"/>
        <w:gridCol w:w="146"/>
        <w:gridCol w:w="676"/>
        <w:gridCol w:w="146"/>
        <w:gridCol w:w="146"/>
        <w:gridCol w:w="676"/>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Paired Interests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24,664</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3,688</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Non-corresponding Class A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1,387</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issuable pursuant to the ESPP</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30,825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six months ended June 30, 2023. Therefore, they are not included in the computation of net loss per Class A common share attributable to Rani Holdings.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20"/>
        </w:rPr>
      </w:pPr>
      <w:bookmarkStart w:id="9" w:name="item_2_managements_discussion"/>
      <w:bookmarkEnd w:id="9"/>
      <w:r>
        <w:rPr>
          <w:rFonts w:ascii="Times New Roman;serif" w:hAnsi="Times New Roman;serif"/>
          <w:b/>
          <w:sz w:val="20"/>
        </w:rPr>
        <w:t>Item 2. Management’s Discussion and Analysis of Financial Condition and Results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MANAGEMENT’S DISCUSSION AND ANALYSIS OF</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serif" w:hAnsi="Times New Roman;serif"/>
          <w:b/>
          <w:sz w:val="20"/>
        </w:rPr>
        <w:t>FINANCIAL CONDITION AND RESULTS OF OPERATIONS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i/>
          <w:sz w:val="20"/>
        </w:rPr>
      </w:pPr>
      <w:r>
        <w:rPr>
          <w:rFonts w:ascii="Times New Roman;serif" w:hAnsi="Times New Roman;serif"/>
          <w:b w:val="false"/>
          <w:i/>
          <w:sz w:val="20"/>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2022,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our Annual Report on Form 10-K for the year ended December 31, 2022. Please also see the section titled “Forward Looking Statements.”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i/>
          <w:sz w:val="20"/>
        </w:rPr>
        <w:t>The following discussion contains references to calendar year 2022 and the six months ended June 30, 2023 and 2022, respectively, which represents the condensed consolidated financial results of Rani Therapeutics Holdings, Inc. (the "Company") and its subsidiary, Rani Therapeutics, LLC and, prior to December 15, 2022, Rani Management Systems, Inc., for the year ended December 31, 2022 and the six months ended June 30, 2023 and 2022, respectively. Unless we state otherwise or the context otherwise requires, the terms “we,” “us,” “our,” and “Rani” and similar references refers to the Company and its consolidated subsidiaries.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are a clinical-stage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are developing and clinically testing a drug-agnostic oral delivery platform, the RaniPill capsule, which is designed to deliver a wide variety of drug substances, including large molecules such as peptides, proteins, and antibodies. The current RaniPill capsule, the RaniPill GO, is designed to deliver up to a 3 mg dose of drug with high bioavailability. We are also developing a high-capacity version known as the RaniPill HC, which is in preclinical stage and which is intended to enable delivery of drug payloads up to 20 mg with high bioavailability. The RaniPill GO is optimized to orally deliver a variety of therapeutics, and we are advancing development of the RaniPill HC to address biologics and drugs with higher dosing requirements.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Rani LLC preferred units, the issuance of convertible promissory notes, long-term debt, and contract revenue generated from our evaluation agreements.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Development Update</w:t>
      </w:r>
    </w:p>
    <w:p>
      <w:pPr>
        <w:pStyle w:val="TextBody"/>
        <w:bidi w:val="0"/>
        <w:spacing w:before="24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RT-105</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2023, we entered into a License and Supply Agreement with Celltrion, Inc. (“Celltrion”) under which we receive an exclusive license and supply of Celltrion’s adalimumab biosimilar for development and commercialization of RT-105 worldwide, subject to a right of first negotiation for Celltrion following completion of a Phase 1 clinical trial that meets its primary endpoint(s) (the “Celltrion Agreement”). RT-105 is the RaniPill capsule containing an adalimumab biosimlar, which we are developing for the treatment of inflammatory conditions.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Financial Update</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June 30, 2023, we were in compliance with all applicable debt covenants under the Loan Agreement and had cash, cash equivalents and marketable securities totaling $74.6 million.</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addition, in August 2022, we entered into a Controlled Equity</w:t>
      </w:r>
      <w:r>
        <w:rPr>
          <w:rFonts w:ascii="Times New Roman;serif" w:hAnsi="Times New Roman;serif"/>
          <w:b w:val="false"/>
          <w:sz w:val="13"/>
        </w:rPr>
        <w:t>SM</w:t>
      </w:r>
      <w:r>
        <w:rPr>
          <w:rFonts w:ascii="Times New Roman" w:hAnsi="Times New Roman"/>
          <w:sz w:val="20"/>
        </w:rPr>
        <w:t xml:space="preserve"> </w:t>
      </w:r>
      <w:r>
        <w:rPr>
          <w:rFonts w:ascii="Times New Roman;serif" w:hAnsi="Times New Roman;serif"/>
          <w:b w:val="false"/>
          <w:sz w:val="20"/>
        </w:rPr>
        <w:t>Sales Agreement (the “Sales Agreement”) with Cantor Fitzgerald &amp; Co. and H.C. Wainwright &amp; Co., LLC (collectively, the “Agents”), pursuant to which we may offer and sell from time to time through the Agents up to $150 million of shares of our Class A common stock, in such share amounts as we may specify by notice to the Agents, in accordance with the terms and conditions set forth in the Sales Agreement (“ATM Sales”). As of June 30, 2023, we had not delivered any placement notices to either of the Agents and there had been no ATM Sales.</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Organizational Transactions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at such time, Rani Management Services, Inc. (“RMS”).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conducts all of Rani LLC’s business and the financial results of Rani LLC and RMS (prior to December 15, 2022) are included in the consolidated financial statements of the Company. RMS was dissolved as of December 15, 2022.</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Rani LLC has been, and after the IPO continues to be, treated as a pass-through entity for U.S. federal and state income tax purposes and accordingly has not been subject to U.S. federal or state income tax. The wholly owned subsidiary of Rani LLC, RMS, which was incorporated in 2019 and dissolved in December 2022, was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Our operating expenses consisted of research and development and general and administrative activities.</w:t>
      </w:r>
      <w:r>
        <w:rPr>
          <w:rFonts w:ascii="Times New Roman" w:hAnsi="Times New Roman"/>
          <w:sz w:val="20"/>
        </w:rPr>
        <w:t xml:space="preserve"> </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Research and Development Expense</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Research and development expense consists primarily of direct and indirect costs incurred in connection with our research and development activities to develop the RaniPill GO and RaniPill HC. These expenses include:</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External expenses, consisting of:</w:t>
      </w:r>
      <w:r>
        <w:rPr>
          <w:rFonts w:ascii="Times New Roman" w:hAnsi="Times New Roman"/>
          <w:sz w:val="20"/>
        </w:rPr>
        <w:t xml:space="preserve"> </w:t>
      </w:r>
    </w:p>
    <w:p>
      <w:pPr>
        <w:pStyle w:val="TextBody"/>
        <w:bidi w:val="0"/>
        <w:spacing w:before="120" w:after="0"/>
        <w:ind w:left="1094"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associated with contract research organizations ("CROs"), for managing and conducting clinical trials; </w:t>
      </w:r>
    </w:p>
    <w:p>
      <w:pPr>
        <w:pStyle w:val="TextBody"/>
        <w:bidi w:val="0"/>
        <w:spacing w:before="120" w:after="0"/>
        <w:ind w:left="1094"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expenses associated with laboratory supplies, drug material for clinical trials, developing and manufacturing of the RaniPill GO, RaniPill HC and other materials;</w:t>
      </w:r>
    </w:p>
    <w:p>
      <w:pPr>
        <w:pStyle w:val="TextBody"/>
        <w:bidi w:val="0"/>
        <w:spacing w:before="120" w:after="0"/>
        <w:ind w:left="1094"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associated with preclinical studies performed by third parties; and </w:t>
      </w:r>
    </w:p>
    <w:p>
      <w:pPr>
        <w:pStyle w:val="TextBody"/>
        <w:bidi w:val="0"/>
        <w:spacing w:before="120" w:after="0"/>
        <w:ind w:left="1094"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expenses associated with consulting, advisors, and other external services.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Internal expenses, consisting of:</w:t>
      </w:r>
      <w:r>
        <w:rPr>
          <w:rFonts w:ascii="Times New Roman" w:hAnsi="Times New Roman"/>
          <w:sz w:val="20"/>
        </w:rPr>
        <w:t xml:space="preserve"> </w:t>
      </w:r>
    </w:p>
    <w:p>
      <w:pPr>
        <w:pStyle w:val="TextBody"/>
        <w:bidi w:val="0"/>
        <w:spacing w:before="120" w:after="0"/>
        <w:ind w:left="1094"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including salaries, bonuses, stock-based compensation and benefits for personnel engaged in the research and development functions; </w:t>
      </w:r>
    </w:p>
    <w:p>
      <w:pPr>
        <w:pStyle w:val="TextBody"/>
        <w:bidi w:val="0"/>
        <w:spacing w:before="120" w:after="0"/>
        <w:ind w:left="1094"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associated with service and repair of equipment, equipment depreciation, and allocated facility costs for research and development; and </w:t>
      </w:r>
    </w:p>
    <w:p>
      <w:pPr>
        <w:pStyle w:val="TextBody"/>
        <w:bidi w:val="0"/>
        <w:spacing w:before="120" w:after="0"/>
        <w:ind w:left="1094"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research and development costs related to compliance with quality and regulatory requirements.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Costs of property and equipment related to scaling-up our manufacturing capacity for clinical trials and to support commercialization are capitalized as property and equipment unless the related asset does not have an alternative future use.</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historical focus of our research and development has been on the RaniPill delivery platform and not tracked costs on a project-by-project basis associated with different drug compounds.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At this time, we cannot reasonably estimate or know the nature, timing, and estimated costs of the efforts that will be necessary to complete development of the RaniPill GO and RaniPill HC and complete the development of, and obtain regulatory approval for, our product candidates. We expect our research and development expenses to increase significantly in the foreseeable future as we continue to invest in activities related to testing and developing the RaniPill GO and RaniPill HC and the development of our product candidates, as our product candidates advance into later stages of development, as we begin to conduct larger clinical trials, as we seek regulatory approvals for our product candidates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GO and</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RaniPill HC and our product candidates is highly uncertain, and we may never succeed in successfully developing the RaniPill GO and/or RaniPill HC or achieve the development of, and regulatory approval for, our product candidates.</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General and administrative expenses consist primarily of personnel-related costs (including salaries, bonuses, stock-based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anticipate that our general and administrative expenses will increase significantly in the foreseeable future as additional administrative personnel and services are required to manage and support the development of the RaniPill GO and RaniPill HC and our product candidates.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Other income (expense), net primarily consists of interest income earned on our cash equivalents and marketable securities and interest expense from our long-term debt and amortization of debt discount and issuance costs.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Non-Controlling Interest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Non-controlling interest ("NCI") represents the portion of income or loss, net assets and comprehensive loss of our consolidated subsidiary that is not allocable to the Company based on its percentage of ownership of Rani LLC.</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2021, based on the Organizational Transactions, the Company became the sole managing member of Rani LLC. As of June 30, 2023, the Company held approximately 50% of the Class A Units of Rani LLC, and approximately 50% of the outstanding Class A Units of Rani LLC are held by the Continuing LLC Owners. Therefore, we report NCI based on the Class A Units of Rani LLC held by the Continuing LLC Owners on our condensed consolidated balance sheet as of June 30, 2023. Income or loss attributed to the NCI in Rani LLC is based on the Class A Units outstanding during the period for which the income or loss is generated and is presented on the condensed consolidated statements of operations and comprehensive income or loss.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June 30, 2023, there were 5,173,947 exchanges of Paired Interests and 158,051 exchanges of non-corresponding Class A Units of Rani LLC for an equal number of shares of our Class A common stock.</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Relationship with InCube Labs, LLC</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Services Agreements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have a term until February 2024, following an extension granted in July 2022, with the potential for one additional annual renewal,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table below details the amounts charged by ICL for services and rent, net of the amount charged to ICL under the RMS-ICL Service Agreement, which is included in the condensed consolidated statements of operations and comprehensive loss (in thousands):</w:t>
      </w:r>
      <w:r>
        <w:rPr>
          <w:rFonts w:ascii="Times New Roman" w:hAnsi="Times New Roman"/>
          <w:sz w:val="20"/>
        </w:rPr>
        <w:t xml:space="preserve"> </w:t>
      </w:r>
    </w:p>
    <w:p>
      <w:pPr>
        <w:pStyle w:val="TextBody"/>
        <w:bidi w:val="0"/>
        <w:spacing w:before="0" w:after="0"/>
        <w:ind w:left="0" w:right="0" w:firstLine="979"/>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307"/>
        <w:gridCol w:w="613"/>
        <w:gridCol w:w="212"/>
        <w:gridCol w:w="212"/>
        <w:gridCol w:w="307"/>
        <w:gridCol w:w="613"/>
        <w:gridCol w:w="146"/>
        <w:gridCol w:w="146"/>
        <w:gridCol w:w="280"/>
        <w:gridCol w:w="560"/>
        <w:gridCol w:w="194"/>
        <w:gridCol w:w="194"/>
        <w:gridCol w:w="280"/>
        <w:gridCol w:w="56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left"/>
              <w:rPr/>
            </w:pPr>
            <w:r>
              <w:rPr/>
              <w:t> </w:t>
            </w:r>
          </w:p>
        </w:tc>
        <w:tc>
          <w:tcPr>
            <w:tcW w:w="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left"/>
              <w:rPr/>
            </w:pPr>
            <w:r>
              <w:rPr/>
              <w:t> </w:t>
            </w:r>
          </w:p>
        </w:tc>
        <w:tc>
          <w:tcPr>
            <w:tcW w:w="8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212"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94"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As of June 30, 2023, all of our facilities are owned or leased by an entity affiliated with our Chairman. Rani LLC pays for the use of these facilities through our services agreements with ICL.</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Exclusive License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Additionally, we may terminate the Amended and Restated Exclusive License Agreement in its entirety or as to any particular licensed patent upon notification to ICL of such intent to terminate.</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Non-Exclusive License Agreement between Rani and ICL (“Non-Exclusive License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Intellectual Property Agreement with Mir Imran (the “Mir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June 2021, we entered into the Mir Agreement, pursuant to which we and Mir Imran agreed that we would own all intellectual property conceived (i) using any of our people, equipment, or facilities or (ii)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three-year term upon providing three months’ notice to the other party.</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six months ended June 30, 2023 and 2022, these parties to the TRA exchanged zero and 2,309,490 Paired Interests, respectively, that resulted in tax benefits subject to the TRA.</w:t>
      </w:r>
    </w:p>
    <w:p>
      <w:pPr>
        <w:pStyle w:val="TextBody"/>
        <w:bidi w:val="0"/>
        <w:spacing w:before="0" w:after="0"/>
        <w:ind w:left="0" w:right="0" w:hanging="0"/>
        <w:jc w:val="both"/>
        <w:rPr/>
      </w:pPr>
      <w:r>
        <w:rPr/>
        <w:t> </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Registration Rights Agreement</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 As a result of certain stockholders exercising their registration rights under the Registration Rights Agreement, in December 2022 we filed a registration statement on Form S-3 to register 6,009,542 shares of our Class A common stock held by certain of our stockholders.</w:t>
      </w:r>
    </w:p>
    <w:p>
      <w:pPr>
        <w:pStyle w:val="TextBody"/>
        <w:bidi w:val="0"/>
        <w:spacing w:before="0" w:after="0"/>
        <w:ind w:left="0" w:right="0" w:hanging="0"/>
        <w:jc w:val="left"/>
        <w:rPr/>
      </w:pPr>
      <w:r>
        <w:rPr/>
        <w:t> </w:t>
      </w:r>
    </w:p>
    <w:p>
      <w:pPr>
        <w:pStyle w:val="TextBody"/>
        <w:bidi w:val="0"/>
        <w:spacing w:before="40" w:after="0"/>
        <w:ind w:left="0" w:right="0" w:hanging="0"/>
        <w:jc w:val="left"/>
        <w:rPr>
          <w:rFonts w:ascii="Times New Roman;serif" w:hAnsi="Times New Roman;serif"/>
          <w:b/>
          <w:i/>
          <w:sz w:val="20"/>
        </w:rPr>
      </w:pPr>
      <w:r>
        <w:rPr>
          <w:rFonts w:ascii="Times New Roman;serif" w:hAnsi="Times New Roman;serif"/>
          <w:b/>
          <w:i/>
          <w:sz w:val="20"/>
        </w:rPr>
        <w:t>Rani LLC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operate our business through Rani LLC and, prior to December 15, 2022, its subsidiary, RMS. RMS was dissolved on December 15, 2022.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During the six months ended June 30, 2023 and 2022, these parties to the Rani LLC Agreement exchanged zero and 2,309,490 Paired Interests, respectively, for the Company's Class A common stock.</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Comparison of the three months ended June 30, 2023 and 2022</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summarizes our results of operations (in thousands):</w:t>
      </w:r>
      <w:r>
        <w:rPr>
          <w:rFonts w:ascii="Times New Roman" w:hAnsi="Times New Roman"/>
          <w:sz w:val="20"/>
        </w:rPr>
        <w:t xml:space="preserve"> </w:t>
      </w:r>
    </w:p>
    <w:p>
      <w:pPr>
        <w:pStyle w:val="TextBody"/>
        <w:bidi w:val="0"/>
        <w:spacing w:before="0" w:after="0"/>
        <w:ind w:left="0" w:right="0" w:hanging="0"/>
        <w:jc w:val="both"/>
        <w:rPr/>
      </w:pPr>
      <w:r>
        <w:rPr/>
        <w:t> </w:t>
      </w:r>
    </w:p>
    <w:tbl>
      <w:tblPr>
        <w:tblW w:w="9019"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466"/>
        <w:gridCol w:w="14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92"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and other,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600"/>
              <w:jc w:val="left"/>
              <w:rPr/>
            </w:pPr>
            <w:r>
              <w:rPr/>
              <w:t> </w:t>
            </w:r>
          </w:p>
        </w:tc>
      </w:tr>
      <w:tr>
        <w:trPr/>
        <w:tc>
          <w:tcPr>
            <w:tcW w:w="468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ind w:left="979" w:right="0" w:hanging="0"/>
        <w:jc w:val="left"/>
        <w:rPr>
          <w:rFonts w:ascii="Times New Roman;serif" w:hAnsi="Times New Roman;serif"/>
          <w:b w:val="false"/>
          <w:sz w:val="20"/>
        </w:rPr>
      </w:pPr>
      <w:r>
        <w:rPr>
          <w:rFonts w:ascii="Times New Roman;serif" w:hAnsi="Times New Roman;serif"/>
          <w:b w:val="false"/>
          <w:sz w:val="20"/>
        </w:rPr>
        <w:t>* Not meaningful</w:t>
      </w:r>
    </w:p>
    <w:p>
      <w:pPr>
        <w:pStyle w:val="TextBody"/>
        <w:bidi w:val="0"/>
        <w:spacing w:before="0" w:after="0"/>
        <w:ind w:left="979" w:right="0" w:hanging="0"/>
        <w:jc w:val="left"/>
        <w:rPr/>
      </w:pPr>
      <w:r>
        <w:rPr/>
        <w:t> </w:t>
      </w:r>
    </w:p>
    <w:p>
      <w:pPr>
        <w:pStyle w:val="TextBody"/>
        <w:bidi w:val="0"/>
        <w:spacing w:before="40" w:after="0"/>
        <w:ind w:left="979" w:right="0" w:hanging="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reflects our research and development costs by nature of expense (in thousands):</w:t>
      </w:r>
      <w:r>
        <w:rPr>
          <w:rFonts w:ascii="Times New Roman" w:hAnsi="Times New Roman"/>
          <w:sz w:val="20"/>
        </w:rPr>
        <w:t xml:space="preserve"> </w:t>
      </w:r>
    </w:p>
    <w:p>
      <w:pPr>
        <w:pStyle w:val="TextBody"/>
        <w:bidi w:val="0"/>
        <w:spacing w:before="0" w:after="0"/>
        <w:ind w:left="0" w:right="0" w:hanging="0"/>
        <w:jc w:val="both"/>
        <w:rPr/>
      </w:pPr>
      <w:r>
        <w:rPr/>
        <w:t> </w:t>
      </w:r>
    </w:p>
    <w:tbl>
      <w:tblPr>
        <w:tblW w:w="7375" w:type="dxa"/>
        <w:jc w:val="left"/>
        <w:tblInd w:w="0" w:type="dxa"/>
        <w:tblLayout w:type="fixed"/>
        <w:tblCellMar>
          <w:top w:w="28" w:type="dxa"/>
          <w:left w:w="28" w:type="dxa"/>
          <w:bottom w:w="28" w:type="dxa"/>
          <w:right w:w="28" w:type="dxa"/>
        </w:tblCellMar>
      </w:tblPr>
      <w:tblGrid>
        <w:gridCol w:w="4576"/>
        <w:gridCol w:w="146"/>
        <w:gridCol w:w="243"/>
        <w:gridCol w:w="781"/>
        <w:gridCol w:w="168"/>
        <w:gridCol w:w="168"/>
        <w:gridCol w:w="243"/>
        <w:gridCol w:w="659"/>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stock-based compensation and related benefits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7,617</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6,206</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Facilities, materials and supplies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Third-party services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1,764</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11,086</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Research and development expenses were $11.1 million for the three months ended June 30, 2023, compared to $9.5 million for the three months ended June 30, 2022. The increase was primarily attributed to higher compensation costs of $1.4 million, which includes an increase of $0.2 million in stock-based compensation, due to headcount growth.</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General and administrative expenses were $7.2 million for the three months ended June 30, 2023, compared to $6.3 million for the three months ended June 30, 2022. The increase was primarily attributed to higher compensation costs of $1.2 million, which includes an increase of $0.9 million in stock-based compensation, due to headcount growth, partially offset by a decrease in third-party services of $0.3 million due to non-recurring public company related costs.</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Other expense, net, was $0.4 million for the three months ended June 30, 2023, compared to other income, net, which was de minimis for the three months ended June 30, 2022. The increase was primarily attributed to an increase in interest income of $0.9 million from our investment in marketable securities offset by an increase in interest expense of $1.2 million from our long-term debt.</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Comparison of the six months ended June 30, 2023 and 2022</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summarizes our results of operations (in thousands):</w:t>
      </w:r>
      <w:r>
        <w:rPr>
          <w:rFonts w:ascii="Times New Roman" w:hAnsi="Times New Roman"/>
          <w:sz w:val="20"/>
        </w:rPr>
        <w:t xml:space="preserve"> </w:t>
      </w:r>
    </w:p>
    <w:p>
      <w:pPr>
        <w:pStyle w:val="TextBody"/>
        <w:bidi w:val="0"/>
        <w:spacing w:before="0" w:after="0"/>
        <w:ind w:left="0" w:right="0" w:hanging="0"/>
        <w:jc w:val="both"/>
        <w:rPr/>
      </w:pPr>
      <w:r>
        <w:rPr/>
        <w:t> </w:t>
      </w:r>
    </w:p>
    <w:tbl>
      <w:tblPr>
        <w:tblW w:w="9019" w:type="dxa"/>
        <w:jc w:val="left"/>
        <w:tblInd w:w="0" w:type="dxa"/>
        <w:tblLayout w:type="fixed"/>
        <w:tblCellMar>
          <w:top w:w="28" w:type="dxa"/>
          <w:left w:w="28" w:type="dxa"/>
          <w:bottom w:w="28" w:type="dxa"/>
          <w:right w:w="28" w:type="dxa"/>
        </w:tblCellMar>
      </w:tblPr>
      <w:tblGrid>
        <w:gridCol w:w="4681"/>
        <w:gridCol w:w="146"/>
        <w:gridCol w:w="211"/>
        <w:gridCol w:w="736"/>
        <w:gridCol w:w="166"/>
        <w:gridCol w:w="146"/>
        <w:gridCol w:w="211"/>
        <w:gridCol w:w="736"/>
        <w:gridCol w:w="166"/>
        <w:gridCol w:w="146"/>
        <w:gridCol w:w="146"/>
        <w:gridCol w:w="466"/>
        <w:gridCol w:w="146"/>
        <w:gridCol w:w="91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92"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4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74" w:type="dxa"/>
            <w:gridSpan w:val="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200"/>
              <w:jc w:val="left"/>
              <w:rPr/>
            </w:pPr>
            <w:r>
              <w:rPr/>
              <w:t> </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and other,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firstLine="600"/>
              <w:jc w:val="left"/>
              <w:rPr/>
            </w:pPr>
            <w:r>
              <w:rPr/>
              <w:t> </w:t>
            </w:r>
          </w:p>
        </w:tc>
      </w:tr>
      <w:tr>
        <w:trPr/>
        <w:tc>
          <w:tcPr>
            <w:tcW w:w="468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left"/>
              <w:rPr/>
            </w:pPr>
            <w:r>
              <w:rPr/>
              <w:t> </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 attributable to non-controlling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Rani Therapeutics Holdings, Inc.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ind w:left="979" w:right="0" w:hanging="0"/>
        <w:jc w:val="left"/>
        <w:rPr>
          <w:rFonts w:ascii="Times New Roman;serif" w:hAnsi="Times New Roman;serif"/>
          <w:b w:val="false"/>
          <w:sz w:val="20"/>
        </w:rPr>
      </w:pPr>
      <w:r>
        <w:rPr>
          <w:rFonts w:ascii="Times New Roman;serif" w:hAnsi="Times New Roman;serif"/>
          <w:b w:val="false"/>
          <w:sz w:val="20"/>
        </w:rPr>
        <w:t>* Not meaningful</w:t>
      </w:r>
    </w:p>
    <w:p>
      <w:pPr>
        <w:pStyle w:val="TextBody"/>
        <w:bidi w:val="0"/>
        <w:spacing w:before="0" w:after="0"/>
        <w:ind w:left="979" w:right="0" w:hanging="0"/>
        <w:jc w:val="left"/>
        <w:rPr/>
      </w:pPr>
      <w:r>
        <w:rPr/>
        <w:t> </w:t>
      </w:r>
    </w:p>
    <w:p>
      <w:pPr>
        <w:pStyle w:val="TextBody"/>
        <w:bidi w:val="0"/>
        <w:spacing w:before="40" w:after="0"/>
        <w:ind w:left="979" w:right="0" w:hanging="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reflects our research and development costs by nature of expense (in thousands):</w:t>
      </w:r>
      <w:r>
        <w:rPr>
          <w:rFonts w:ascii="Times New Roman" w:hAnsi="Times New Roman"/>
          <w:sz w:val="20"/>
        </w:rPr>
        <w:t xml:space="preserve"> </w:t>
      </w:r>
    </w:p>
    <w:p>
      <w:pPr>
        <w:pStyle w:val="TextBody"/>
        <w:bidi w:val="0"/>
        <w:spacing w:before="0" w:after="0"/>
        <w:ind w:left="0" w:right="0" w:hanging="0"/>
        <w:jc w:val="both"/>
        <w:rPr/>
      </w:pPr>
      <w:r>
        <w:rPr/>
        <w:t> </w:t>
      </w:r>
    </w:p>
    <w:tbl>
      <w:tblPr>
        <w:tblW w:w="7181" w:type="dxa"/>
        <w:jc w:val="left"/>
        <w:tblInd w:w="0" w:type="dxa"/>
        <w:tblLayout w:type="fixed"/>
        <w:tblCellMar>
          <w:top w:w="28" w:type="dxa"/>
          <w:left w:w="28" w:type="dxa"/>
          <w:bottom w:w="28" w:type="dxa"/>
          <w:right w:w="28" w:type="dxa"/>
        </w:tblCellMar>
      </w:tblPr>
      <w:tblGrid>
        <w:gridCol w:w="4576"/>
        <w:gridCol w:w="146"/>
        <w:gridCol w:w="211"/>
        <w:gridCol w:w="677"/>
        <w:gridCol w:w="146"/>
        <w:gridCol w:w="146"/>
        <w:gridCol w:w="211"/>
        <w:gridCol w:w="677"/>
        <w:gridCol w:w="3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stock-based compensation and related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11,629</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Facilities, materials and supplies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2,509</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Third-party services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2,734</w:t>
            </w:r>
          </w:p>
        </w:tc>
        <w:tc>
          <w:tcPr>
            <w:tcW w:w="391" w:type="dxa"/>
            <w:tcBorders/>
            <w:vAlign w:val="center"/>
          </w:tcPr>
          <w:p>
            <w:pPr>
              <w:pStyle w:val="TableContents"/>
              <w:bidi w:val="0"/>
              <w:spacing w:before="0" w:after="0"/>
              <w:ind w:left="0" w:right="0" w:hanging="0"/>
              <w:jc w:val="left"/>
              <w:rPr/>
            </w:pPr>
            <w:r>
              <w:rPr/>
              <w:t> </w:t>
            </w:r>
          </w:p>
        </w:tc>
      </w:tr>
      <w:tr>
        <w:trPr/>
        <w:tc>
          <w:tcPr>
            <w:tcW w:w="4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5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Research and development expenses were $20.8 million for the six months ended June 30, 2023, compared to $17.1 million for the six months ended June 30, 2022. The increase was primarily attributed to higher compensation costs of $3.4 million, which includes an increase of $0.7 million in stock-based compensation, due to headcount growth, and an increase of $0.5 million in facilities, materials and supplies expense related to preclinical and clinical development activities.</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General and administrative expenses were $14.0 million for the six months ended June 30, 2023, compared to $12.5 million for the six months ended June 30, 2022. The increase was primarily attributed to higher compensation costs of $2.3 million, which includes an increase of $2.0 million in stock-based compensation, due to headcount growth, partially offset by a decrease in third-party services of $0.8 million due to non-recurring public company related costs.</w:t>
      </w:r>
    </w:p>
    <w:p>
      <w:pPr>
        <w:pStyle w:val="TextBody"/>
        <w:bidi w:val="0"/>
        <w:spacing w:before="240" w:after="0"/>
        <w:ind w:left="979" w:right="0" w:hanging="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Other expense, net, was $0.7 million for the six months ended June 30, 2023, compared to other income, net, which was de minimis for the six months ended June 30, 2022. The increase was primarily attributed to an increase in interest income of $1.8 million from our investment in marketable securities offset by an increase in interest expense of $2.4 million from our long-term debt.</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Source of Liquidity</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have not generated any revenue from commercial product sales and have incurred significant operating losses and negative cash flows from operations. We have not yet commercialized any products, and we do not expect to generate revenue from</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the issuance of convertible promissory notes, and long-term debt, as well as contract revenue generated from evaluation agreements.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2022, we entered into the Loan Agreement with the Lender. The Loan Agreement provides for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is uncommitted and is subject to certain conditions and approval by the Lender. The purpose of the Loans is for general corporate purposes. The Loan Agreement also contains various covenants and restrictive provisions. As of June 30, 2023, we were in compliance with all applicable debt covenants under the Loan Agreement and had cash, cash equivalents and marketable securities totaling $74.6 million.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August 2022, we entered into the Sales Agreement with the Agents, pursuant to which we may offer and sell from time to time through the Agents up to $150.0 million of shares of our Class A common stock in ATM Sales. As of June 30, 2023, we had not delivered any placement notices to either of the Agents and there had been no ATM Sales.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Since our inception, we have incurred significant losses and negative cash flows from operations. Our net losses were $35.5 million and $29.8 million for the six months ended June 30, 2023 and 2022, respectively. As of June 30, 2023, we had an accumulated deficit of $56.6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which may include ATM Sales,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Tax Receivable Agreement</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As of June 30, 2023,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$22.9 million at June 30, 2023.</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Future Funding Requirements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Based on our current operating plan, we estimate that our existing cash and cash equivalents will be sufficient to fund our operating expenses and capital expenditure requirements through at least twelve months from the date of issuance of these condensed consolidated financial statements. We have based this estimate on assumptions that may prove to be wrong, and we could utilize our available capital resources sooner than we expect. Because of the numerous risks and uncertainties associated with the development of the RaniPill GO, RaniPill HC and our product candidates and because the extent to which we may enter into strategic collaborations or other arrangements with third parties for development of the RaniPill GO, RaniPill HC and/or our product candidates is unknown, we are unable to estimate the timing and amounts of increased capital outlays and operating expenses associated with completing the research and development of our product candidates.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 In addition, we expect to incur additional costs operating as a public company.</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r>
        <w:rPr>
          <w:rFonts w:ascii="Times New Roman" w:hAnsi="Times New Roman"/>
          <w:sz w:val="20"/>
        </w:rPr>
        <w:t xml:space="preserve">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progress, costs, trial design, results of and timing of our preclinical studies and clinical trials;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progress, costs, and results of our research pipeline;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capsule and/or RaniPill HC for various indications;</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costs, and timing of seeking and obtaining FDA and any other regulatory approvals;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characteristics of product candidates that we pursue;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manufacture sufficient quantities of the RaniPill capsules;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need to expand our research and development activities;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manufacturing our product candidates, including establishing commercial supplies and sales, marketing, and distribution capabilities;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associated with securing and establishing commercial infrastructure;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acquiring, licensing, or investing in businesses, product candidates, and technologies;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need and ability to retain key management and hire scientific, technical, business, and engineering personnel;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competing drugs and product candidates and other market developments;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from our potential products, if approved;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strategic collaborations; </w:t>
      </w:r>
    </w:p>
    <w:p>
      <w:pPr>
        <w:pStyle w:val="TextBody"/>
        <w:bidi w:val="0"/>
        <w:spacing w:before="120" w:after="0"/>
        <w:ind w:left="97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need to implement additional internal systems and infrastructure, including financial and reporting systems; </w:t>
      </w:r>
    </w:p>
    <w:p>
      <w:pPr>
        <w:pStyle w:val="TextBody"/>
        <w:bidi w:val="0"/>
        <w:spacing w:before="120" w:after="0"/>
        <w:ind w:left="97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security breaches, data losses or other disruptions affecting our information systems; and</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120" w:after="0"/>
        <w:ind w:left="97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economic and other terms, timing of and success of any collaboration, licensing, or other arrangements which we may enter in the future.</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globally.</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following table summarizes our cash, cash equivalents and marketable securities:</w:t>
      </w:r>
    </w:p>
    <w:tbl>
      <w:tblPr>
        <w:tblW w:w="7212" w:type="dxa"/>
        <w:jc w:val="left"/>
        <w:tblInd w:w="0" w:type="dxa"/>
        <w:tblLayout w:type="fixed"/>
        <w:tblCellMar>
          <w:top w:w="28" w:type="dxa"/>
          <w:left w:w="28" w:type="dxa"/>
          <w:bottom w:w="28" w:type="dxa"/>
          <w:right w:w="28" w:type="dxa"/>
        </w:tblCellMar>
      </w:tblPr>
      <w:tblGrid>
        <w:gridCol w:w="4501"/>
        <w:gridCol w:w="146"/>
        <w:gridCol w:w="211"/>
        <w:gridCol w:w="676"/>
        <w:gridCol w:w="146"/>
        <w:gridCol w:w="146"/>
        <w:gridCol w:w="260"/>
        <w:gridCol w:w="835"/>
        <w:gridCol w:w="2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1" w:type="dxa"/>
            <w:tcBorders/>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27,007</w:t>
            </w:r>
          </w:p>
        </w:tc>
        <w:tc>
          <w:tcPr>
            <w:tcW w:w="29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71,475</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5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98,482</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As of June 30, 2023, we had cash, cash equivalents and marketable securities of $74.6 million, compared to $98.5 million as of December 31, 2022. We believe our cash, cash equivalents and marketable securities will be sufficient to meet our anticipated operating requirements for at least the next twelve months following the date of issuance of these condensed consolidated financial statements.</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table summarizes our cash flows for the periods presented (in thousands):</w:t>
      </w:r>
      <w:r>
        <w:rPr>
          <w:rFonts w:ascii="Times New Roman" w:hAnsi="Times New Roman"/>
          <w:sz w:val="20"/>
        </w:rPr>
        <w:t xml:space="preserve"> </w:t>
      </w:r>
    </w:p>
    <w:tbl>
      <w:tblPr>
        <w:tblW w:w="8294" w:type="dxa"/>
        <w:jc w:val="left"/>
        <w:tblInd w:w="0" w:type="dxa"/>
        <w:tblLayout w:type="fixed"/>
        <w:tblCellMar>
          <w:top w:w="28" w:type="dxa"/>
          <w:left w:w="28" w:type="dxa"/>
          <w:bottom w:w="28" w:type="dxa"/>
          <w:right w:w="28" w:type="dxa"/>
        </w:tblCellMar>
      </w:tblPr>
      <w:tblGrid>
        <w:gridCol w:w="5731"/>
        <w:gridCol w:w="146"/>
        <w:gridCol w:w="211"/>
        <w:gridCol w:w="736"/>
        <w:gridCol w:w="166"/>
        <w:gridCol w:w="146"/>
        <w:gridCol w:w="211"/>
        <w:gridCol w:w="736"/>
        <w:gridCol w:w="2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(19,688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Net cash used in operating activities for the six months ended June 30, 2023 was $24.5 million, which was primarily attributable to a net loss of $35.5 million, partially offset by stock-based compensation expense of $9.6 million, net accretion and amortization of investments in marketable securities of $1.2 million, and non-cash depreciation and amortization expense of $0.4 million. Additionally, there was an increase in accrued expenses and other current liabilities of $1.7 million and decreases in prepaid expenses and other current assets of $0.9 million and accounts payable of $0.4 million for the six months ended June 30, 2023.</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Net cash used in operating activities for the six months ended June 30, 2022 was $19.7 million, which was primarily attributable to a net loss of $29.8 million, partially offset by the equity-based compensation expense of $6.9 million and non-cash operating lease expense of $0.3 million. Additionally there was a decrease of $1.3 million in prepaid expenses and other assets due to amortization of director and officer liability insurance, as a result of becoming a publicly traded company, and an increase in accrued expenses of $1.5 million.</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For the six months ended June 30, 2023, net cash provided by investing activities was $4.9 million consisting of $58.0 million in proceeds from maturities of marketable securities partially offset by $52.5 million and $0.6 million in purchases of marketable securities and property and equipment, respectively.</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For the six months ended June 30, 2022, net cash used in investing activities was $0.6 million consisting solely of purchases of property and equipment.</w:t>
      </w:r>
    </w:p>
    <w:p>
      <w:pPr>
        <w:pStyle w:val="TextBody"/>
        <w:bidi w:val="0"/>
        <w:spacing w:before="240" w:after="0"/>
        <w:ind w:left="0" w:right="0" w:hanging="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For the six months ended June 30, 2023 and 2022, there were no significant financing activities.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Contractual Obligations and Other Commitments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Except as discussed below, there have been no material changes to our contractual obligations and other commitments as of June 30, 2023, as compared to those disclosed in our Annual Report on Form 10-K.</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following table summarizes our contractual obligations and commitments as of June 30, 2023 (in thousands):</w:t>
      </w:r>
    </w:p>
    <w:p>
      <w:pPr>
        <w:pStyle w:val="TextBody"/>
        <w:bidi w:val="0"/>
        <w:spacing w:before="0" w:after="0"/>
        <w:ind w:left="0" w:right="0" w:hanging="0"/>
        <w:jc w:val="left"/>
        <w:rPr/>
      </w:pPr>
      <w:r>
        <w:rPr/>
        <w:t> </w:t>
      </w:r>
    </w:p>
    <w:tbl>
      <w:tblPr>
        <w:tblW w:w="5507" w:type="dxa"/>
        <w:jc w:val="left"/>
        <w:tblInd w:w="0" w:type="dxa"/>
        <w:tblLayout w:type="fixed"/>
        <w:tblCellMar>
          <w:top w:w="28" w:type="dxa"/>
          <w:left w:w="28" w:type="dxa"/>
          <w:bottom w:w="28" w:type="dxa"/>
          <w:right w:w="28" w:type="dxa"/>
        </w:tblCellMar>
      </w:tblPr>
      <w:tblGrid>
        <w:gridCol w:w="1696"/>
        <w:gridCol w:w="146"/>
        <w:gridCol w:w="211"/>
        <w:gridCol w:w="676"/>
        <w:gridCol w:w="146"/>
        <w:gridCol w:w="146"/>
        <w:gridCol w:w="305"/>
        <w:gridCol w:w="611"/>
        <w:gridCol w:w="146"/>
        <w:gridCol w:w="146"/>
        <w:gridCol w:w="211"/>
        <w:gridCol w:w="676"/>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7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Short-term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Long-term</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Operating leases</w:t>
            </w:r>
            <w:r>
              <w:rPr>
                <w:rFonts w:ascii="Times New Roman" w:hAnsi="Times New Roman"/>
                <w:sz w:val="20"/>
              </w:rPr>
              <w:t>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Debt obligations</w:t>
            </w:r>
            <w:r>
              <w:rPr>
                <w:rFonts w:ascii="Times New Roman" w:hAnsi="Times New Roman"/>
                <w:sz w:val="20"/>
              </w:rPr>
              <w: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31,650</w:t>
            </w:r>
          </w:p>
        </w:tc>
        <w:tc>
          <w:tcPr>
            <w:tcW w:w="391" w:type="dxa"/>
            <w:tcBorders/>
            <w:vAlign w:val="center"/>
          </w:tcPr>
          <w:p>
            <w:pPr>
              <w:pStyle w:val="TableContents"/>
              <w:bidi w:val="0"/>
              <w:spacing w:before="0" w:after="0"/>
              <w:ind w:left="0" w:right="0" w:firstLine="200"/>
              <w:jc w:val="left"/>
              <w:rPr/>
            </w:pPr>
            <w:r>
              <w:rPr/>
              <w:t> </w:t>
            </w:r>
          </w:p>
        </w:tc>
      </w:tr>
      <w:tr>
        <w:trPr/>
        <w:tc>
          <w:tcPr>
            <w:tcW w:w="1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32,844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31,988</w:t>
            </w:r>
          </w:p>
        </w:tc>
        <w:tc>
          <w:tcPr>
            <w:tcW w:w="3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pBdr>
          <w:top w:val="single" w:sz="6" w:space="1" w:color="000000"/>
        </w:pBdr>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(1) Represents operating lease payments. See Note 7 to the condensed consolidated financial statements contained in Part I, Item 1 of this Quarterly Report on Form 10-Q for additional information.</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(2) Represents long-term debt principal maturities and final payment equal to 5.5% of aggregate amount funded, excluding interest. See Note 11 to the condensed consolidated financial statements contained in Part I, Item 1 of this Quarterly Report on Form 10-Q for additional information.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Critical Accounting Policies and Estimates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For further information on our significant accounting policies, refer to our Annual Report on Form 10-K for the year ended December 31, 2022, filed with the SEC on March 22, 2023.</w:t>
      </w:r>
    </w:p>
    <w:p>
      <w:pPr>
        <w:pStyle w:val="TextBody"/>
        <w:bidi w:val="0"/>
        <w:spacing w:before="240" w:after="0"/>
        <w:ind w:left="0" w:right="0" w:hanging="0"/>
        <w:jc w:val="left"/>
        <w:rPr>
          <w:rFonts w:ascii="Times New Roman" w:hAnsi="Times New Roman"/>
          <w:sz w:val="20"/>
        </w:rPr>
      </w:pPr>
      <w:r>
        <w:rPr>
          <w:rFonts w:ascii="Times New Roman;serif" w:hAnsi="Times New Roman;serif"/>
          <w:b/>
          <w:sz w:val="20"/>
        </w:rPr>
        <w:t>Recently Adopted Accounting Standards</w:t>
      </w:r>
      <w:r>
        <w:rPr>
          <w:rFonts w:ascii="Times New Roman" w:hAnsi="Times New Roman"/>
          <w:sz w:val="20"/>
        </w:rPr>
        <w:t xml:space="preserve">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left"/>
        <w:rPr>
          <w:rFonts w:ascii="Times New Roman;serif" w:hAnsi="Times New Roman;serif"/>
          <w:b/>
          <w:sz w:val="20"/>
        </w:rPr>
      </w:pPr>
      <w:r>
        <w:rPr>
          <w:rFonts w:ascii="Times New Roman;serif" w:hAnsi="Times New Roman;serif"/>
          <w:b/>
          <w:sz w:val="20"/>
        </w:rPr>
        <w:t>Other Information</w:t>
      </w:r>
    </w:p>
    <w:p>
      <w:pPr>
        <w:pStyle w:val="TextBody"/>
        <w:bidi w:val="0"/>
        <w:spacing w:before="240" w:after="0"/>
        <w:ind w:left="0" w:right="0" w:hanging="0"/>
        <w:jc w:val="left"/>
        <w:rPr>
          <w:rFonts w:ascii="Times New Roman;serif" w:hAnsi="Times New Roman;serif"/>
          <w:b w:val="false"/>
          <w:i/>
          <w:sz w:val="20"/>
        </w:rPr>
      </w:pPr>
      <w:r>
        <w:rPr>
          <w:rFonts w:ascii="Times New Roman;serif" w:hAnsi="Times New Roman;serif"/>
          <w:b w:val="false"/>
          <w:i/>
          <w:sz w:val="20"/>
        </w:rPr>
        <w:t>JOBS Act Accounting Election</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will remain an emerging growth company until the earliest of (1) December 31, 2026 (the last day of the fiscal year following the fifth anniversary of the closing of our initial public offering),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bidi w:val="0"/>
        <w:spacing w:before="240" w:after="0"/>
        <w:ind w:left="0" w:right="0" w:hanging="0"/>
        <w:jc w:val="left"/>
        <w:rPr>
          <w:rFonts w:ascii="Times New Roman;serif" w:hAnsi="Times New Roman;serif"/>
          <w:b/>
          <w:sz w:val="20"/>
        </w:rPr>
      </w:pPr>
      <w:bookmarkStart w:id="10" w:name="item3_quantitative"/>
      <w:bookmarkEnd w:id="10"/>
      <w:r>
        <w:rPr>
          <w:rFonts w:ascii="Times New Roman;serif" w:hAnsi="Times New Roman;serif"/>
          <w:b/>
          <w:sz w:val="20"/>
        </w:rPr>
        <w:t>Item 3. Quantitative and Qualitative Disclosures About Market Risk</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Exchange Act and are not required to provide the information required under this item.</w:t>
      </w:r>
    </w:p>
    <w:p>
      <w:pPr>
        <w:pStyle w:val="TextBody"/>
        <w:bidi w:val="0"/>
        <w:spacing w:before="240" w:after="0"/>
        <w:ind w:left="0" w:right="0" w:hanging="0"/>
        <w:jc w:val="left"/>
        <w:rPr>
          <w:rFonts w:ascii="Times New Roman;serif" w:hAnsi="Times New Roman;serif"/>
          <w:b/>
          <w:sz w:val="20"/>
        </w:rPr>
      </w:pPr>
      <w:bookmarkStart w:id="11" w:name="item4_controlsandprocedures"/>
      <w:bookmarkEnd w:id="11"/>
      <w:r>
        <w:rPr>
          <w:rFonts w:ascii="Times New Roman;serif" w:hAnsi="Times New Roman;serif"/>
          <w:b/>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2023.</w:t>
      </w:r>
    </w:p>
    <w:p>
      <w:pPr>
        <w:pStyle w:val="TextBody"/>
        <w:bidi w:val="0"/>
        <w:spacing w:before="240" w:after="0"/>
        <w:ind w:left="0" w:right="0" w:hanging="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There have been no changes in our internal control over financial reporting, as such term is defined in Rules 13a-15(f) and 15d-15(f) under the Exchange Act, during the three months ended June 30, 2023 that have materially affected, or are reasonably likely to materially affect, our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serif" w:hAnsi="Times New Roman;serif"/>
          <w:b/>
          <w:sz w:val="20"/>
        </w:rPr>
      </w:pPr>
      <w:r>
        <w:rPr>
          <w:rFonts w:ascii="Times New Roman;serif" w:hAnsi="Times New Roman;serif"/>
          <w:b/>
          <w:sz w:val="20"/>
        </w:rPr>
        <w:t>Inherent Limitations on Effectiveness of Controls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bookmarkStart w:id="12" w:name="part_ii_other_information"/>
      <w:bookmarkEnd w:id="12"/>
      <w:r>
        <w:rPr>
          <w:rFonts w:ascii="Times New Roman;serif" w:hAnsi="Times New Roman;serif"/>
          <w:b/>
          <w:sz w:val="20"/>
        </w:rPr>
        <w:t>PART II—OTHER INFORMATION</w:t>
      </w:r>
    </w:p>
    <w:p>
      <w:pPr>
        <w:pStyle w:val="TextBody"/>
        <w:bidi w:val="0"/>
        <w:spacing w:before="240" w:after="0"/>
        <w:ind w:left="0" w:right="0" w:hanging="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Other than as described below, management believes that there have been no significant changes to the risk factors associated with our business as compared to those disclosed in Part 1, Item 1A of our Annual Report on Form 10-K for the year ended December 31, 2022, which is incorporated by reference herein.</w:t>
      </w:r>
      <w:r>
        <w:rPr>
          <w:rFonts w:ascii="Times New Roman" w:hAnsi="Times New Roman"/>
          <w:sz w:val="20"/>
        </w:rPr>
        <w:t xml:space="preserve"> </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Any inability to develop, or difficulties or delays in developing, formulations of drugs for our product candidates could prevent or delay our ability to advance our existing product candidates or develop new product candidates, which could adversely affect our commercial prospects and ability to generate revenues.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develop microtablets of drugs for use in the RaniPill GO and may need to develop or modify formulations of drugs for use in the RaniPill HC. Drug formulation work is difficult and the outcomes are uncertain. If we are not able to develop a drug formulation suitable for use with our RaniPill capsule, it could prevent, limit or delay our ability to pursue or advance product candidates. Even if we are successful in developing drug formulations of product candidates that are suitable for the RaniPill capsule, such formulations may cause the drug to perform differently than another formulation of the drug and could result in our product candidates having a safety or efficacy profile different or worse than other formulations of the drug. If we are unable to develop, or have difficulties or delays in developing, suitable formulations of drugs for the RaniPill capsule, our ability to develop and commercialize product candidates, to expand use of the RaniPill oral delivery technology and to generate revenues could be adversely affected.</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a limited number of product candidates in early clinical development. Other product candidates are still in the formulation or preclinical stages. While we intend to advance our product candidates into initial and later stages of clinical development, we have not, to date, submitted an IND for any of our product candidates. We will be required to submit applicable equivalent regulatory filings to foreign regulatory authorities to the extent we initiate clinical trials outside of the United States.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do not know whether our planned clinical trials will begin on time or be completed on schedule, if at all. The commencement and completion of clinical trials can be delayed for a number of reasons, including delays related to:</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disagreeing with the design or implementation of our clinical trials;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regulatory authorizations to commence a trial, or reaching a consensus with regulatory authorities on trial design;</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or delay in reaching an agreement with contract research organizations (“CROs”) and clinical trial sites, the terms of which can be subject to extensive negotiation and may vary significantly among different CROs and trial sites;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approval from one or more IRBs;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IRBs refusing to approve, suspending or terminating the trial at an investigational site, precluding enrollment of additional volunteers or withdrawing their approval of the trial;</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to clinical trial protocol;</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sites deviating from trial protocol or dropping out of a trial;</w:t>
      </w:r>
    </w:p>
    <w:p>
      <w:pPr>
        <w:pStyle w:val="TextBody"/>
        <w:bidi w:val="0"/>
        <w:spacing w:before="120" w:after="0"/>
        <w:ind w:left="48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manufacturing sufficient quantities of a product candidate or obtaining sufficient quantities of other therapies or active pharmaceutical ingredients for use in clinical trials;</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volunteers failing to enroll or remain in our trial at the rate we expect, or failing to return for post-treatment follow-up;</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volunteers choosing an alternative treatment for the indication for which we are developing our product candidates, or participating in competing clinical trials;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lack of adequate funding to continue the clinical trial;</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volunteers experiencing severe or unexpected drug-related or device-related adverse effects;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occurrence of serious adverse events in clinical trials of the same class of agents conducted by other companies;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selection of clinical endpoints that require prolonged periods of clinical observation or analysis of the resulting data;</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changes to our manufacturing process or product formulation that may be necessary or desired;</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shortages in, or delays in obtaining, raw materials for manufacturing our product candidates or adequately scaling our manufacturing processes and procedures to deliver sufficient quantities for use in our clinical trials;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clinical investigators losing the licenses or permits necessary to perform our clinical trials, not performing our clinical trials on our anticipated schedule or consistent with the clinical protocol or relevant regulatory requirements;</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contractors not performing data collection or analysis in a timely or accurate manner; or</w:t>
      </w:r>
    </w:p>
    <w:p>
      <w:pPr>
        <w:pStyle w:val="TextBody"/>
        <w:bidi w:val="0"/>
        <w:spacing w:before="120" w:after="0"/>
        <w:ind w:left="48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Regulatory authorities may require that filings related to the commencement, continuation or termination of a clinical trial be submitted through specific electronic systems or in a specific manner (e.g. format), which may differ from one jurisdiction to another. We may seek to conduct a clinical trial in multiple jurisdictions in an effort to enroll sufficient numbers of patients or to do so in a timely manner or for other reasons. Meeting the requirements of various regulatory agencies could be costly and any delay in meeting, or inability to meet, the regulatory requirements of different jurisdictions regarding submissions could delay or negatively impact our ability to initiate or complete our clinical trials as planned. For example, the European Medicines Agency maintains an electronic Clinical Trial Information System (CTIS) to support interactions between clinical trial sponsors and regulatory agencies for various European Union member states and European Economic Area countries. Clinical trial sponsors can use the CTIS system to apply for authorization to conduct a clinical trial in one or more of such countries. The CTIS system has experienced certain technical issues delaying or preventing sponsors from submitting clinical trial applications. Any failure or inability by us to submit required regulatory documents for our planned or future clinical trials or any failure or inability to do so in the required manner could delay or prevent us from initiating or completing our planned or future clinical trials when we are otherwise ready or at all.</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Further, conducting clinical trials in foreign countries, as we may do for our product candidates, presents additional risks that may delay completion of our clinical trials. These risks include the failure of enrolled participants in foreign countries to adhere to clinical protocol as a result of differences in healthcare services or cultural customs, managing additional administrative burdens associated with foreign regulatory schemes and data protection regulations, as well as political and economic risks relevant to such foreign countries.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we work with third parties to manufacture, develop, and supply the drug payloads for inclusion in the RaniPill capsule, a development process that is lengthy and expensive. Some of the active ingredients we are utilizing in our development are used by other sponsors to make biosimilars in the United States, and others are not. We and our third-party manufacturers may discover, even late in the process, that a particular drug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the past, we have entered into evaluation agreements with Takeda and certain other pharmaceutical companies concerning the formulation and manufacture of oral versions of Factor VIII and other molecules. In January 2023, we entered into a License and Supply Agreement with Celltrion, under which we receive supply of ustekinumab biosimilar from Celltrion for RT-111 and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If we complete such a clinical trial for RT-111 or RT-105, Celltrion exercises its right of first negotiation, and the parties enter into an agreement granting Celltrion development and commercialization rights, we may be reliant on Celltrion to develop and commercialize the applicable product in certain countries or worldwide.</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Future evaluation agreements, supply agreements or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believe our product candidates are biologic-device combination products that we anticipate will be regulated under the biologic regulations of the FDA based on their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w:t>
      </w:r>
      <w:r>
        <w:rPr>
          <w:rFonts w:ascii="Times New Roman" w:hAnsi="Times New Roman"/>
          <w:sz w:val="20"/>
        </w:rPr>
        <w:t xml:space="preserve">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val="false"/>
          <w:sz w:val="20"/>
        </w:rPr>
      </w:pPr>
      <w:r>
        <w:rPr>
          <w:rFonts w:ascii="Times New Roman;serif" w:hAnsi="Times New Roman;serif"/>
          <w:b w:val="false"/>
          <w:sz w:val="20"/>
        </w:rPr>
        <w:t>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or NDA to the FDA.</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and manufacture of a product candidate under a collaboration, and the payments we receive from our partner may be insufficient to cover the cost of this work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r>
        <w:rPr>
          <w:rFonts w:ascii="Times New Roman" w:hAnsi="Times New Roman"/>
          <w:sz w:val="20"/>
        </w:rPr>
        <w:t xml:space="preserve"> </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reductions in the payment of royalties or other payments we believe are due pursuant to the applicable collaboration arrangement; </w:t>
      </w:r>
    </w:p>
    <w:p>
      <w:pPr>
        <w:pStyle w:val="TextBody"/>
        <w:bidi w:val="0"/>
        <w:spacing w:before="120" w:after="0"/>
        <w:ind w:left="489" w:right="0" w:hanging="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actions taken by a partner inside or outside our collaboration which could negatively impact our rights or benefits under our collaboration; or </w:t>
      </w:r>
    </w:p>
    <w:p>
      <w:pPr>
        <w:pStyle w:val="TextBody"/>
        <w:bidi w:val="0"/>
        <w:spacing w:before="120" w:after="0"/>
        <w:ind w:left="489" w:right="0" w:hanging="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unwillingness on the part of a partner to keep us informed regarding the progress of its development and commercialization activities or to permit public disclosure of the results of those activities.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We may seek to enter into collaborations, licenses and other similar arrangements and may not be successful in doing so, and even if we are, we may not realize the benefits of such relationships.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January 2023, we entered into a License and Supply Agreement with Celltrion, under which Celltrion has a right of first negotiation to obtain development and commercialization rights for RT-111 after completion of a Phase 1 clinical trial that meets its primary endpoint(s). In May 2023, we entered into another License and Supply Agreement with Celltrion, under which we receive supply of adalimumab biosimilar from Celltrion for RT-105 and Celltrion has a right of first negotiation to obtain development and commercialization rights for RT-105 after completion of a Phase 1 clinical trial that meets its primary endpoint(s). Even if we complete such a clinical trial for RT-111 or RT-105, Celltrion may not exercise its right of first negotiation, or if it does exercise such right we may not be able to agree on terms favorable to us or acceptable to us or Celltrion. Accordingly, there can be no assurance that we will complete the required development of RT-111 or RT-105, that Celltrion will exercise its right of first negotiation if we do, or that the parties will enter into an agreement granting Celltrion development and commercialization rights for the applicable product following any such exercise of the right of first negotiation.</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Even if we are successful in our efforts to establish a collaboration with Celltrion or collaborations with other third parties,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before="240" w:after="0"/>
        <w:ind w:left="0" w:right="0" w:hanging="0"/>
        <w:jc w:val="left"/>
        <w:rPr>
          <w:rFonts w:ascii="Times New Roman;serif" w:hAnsi="Times New Roman;serif"/>
          <w:b/>
          <w:i/>
          <w:sz w:val="20"/>
        </w:rPr>
      </w:pPr>
      <w:r>
        <w:rPr>
          <w:rFonts w:ascii="Times New Roman;serif" w:hAnsi="Times New Roman;serif"/>
          <w:b/>
          <w:i/>
          <w:sz w:val="20"/>
        </w:rPr>
        <w:t>Our European patents are presently being challenged in Europe, and if one or more of such challenges is successful it could encourage such party or other parties to challenge additional patents of ours in Europe or other jurisdictions.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first opposition proceeding involves European Patent No. 2515992, which is generally directed to an ingestible device. In July 2021, the EPO issued a decision resulting in an amendment to the claims of the patent. We subsequently filed a notice of appeal with the EPO Appeal Board and we are awaiting a final decision.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second opposition proceeding involves European Patent No. 2544668, which is generally directed to a therapeutic agent preparation. In December 2021, the EPO issued a decision resulting in revocation of the patent. We subsequently filed a notice of appeal with the EPO Appeal Board and we are awaiting a final decision.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third opposition proceeding involves European Patent No. 3461478, which is in the same family as European Patent No. 2515992 noted above. In April 2022, the EPO issued a decision resulting in an amendment to the claims of the patent. We subsequently filed a notice of appeal with the EPO Appeal Board and we are awaiting a final decision.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 fourth opposition proceeding involves European Patent No. 3653223, which is generally directed to a swallowable device. In January 2023, the EPO issued a summons to oral proceedings, which proceedings have been scheduled for October 2023.</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any of the current oppositions results in a revocation or reduction in our patent protection, it could encourage Novo Nordisk As or other parties to seek to invalidate or reduce additional patents in Europe or other jurisdictions. If current or future opposition proceedings result in the revocation or amendment of one or more of our patents that cover important aspects of our technology, it could have a material adverse impact on our ability to commercialize and/or our ability to defend against potential competitors in Europe or the applicable jurisdiction(s).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There is a risk that we may face additional oppositions in Europe as additional European patents are granted.</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240" w:after="0"/>
        <w:ind w:left="0" w:right="0" w:hanging="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ind w:left="0" w:right="0" w:hanging="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240" w:after="0"/>
        <w:ind w:left="0" w:right="0" w:firstLine="979"/>
        <w:jc w:val="left"/>
        <w:rPr>
          <w:rFonts w:ascii="Times New Roman" w:hAnsi="Times New Roman"/>
          <w:sz w:val="20"/>
        </w:rPr>
      </w:pPr>
      <w:r>
        <w:rPr>
          <w:rFonts w:ascii="Times New Roman;serif" w:hAnsi="Times New Roman;serif"/>
          <w:b w:val="false"/>
          <w:sz w:val="20"/>
        </w:rPr>
        <w:t>The following is a list of all exhibits filed or furnished as part of this report:</w:t>
      </w:r>
      <w:r>
        <w:rPr>
          <w:rFonts w:ascii="Times New Roman" w:hAnsi="Times New Roman"/>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78"/>
        <w:gridCol w:w="146"/>
        <w:gridCol w:w="9281"/>
      </w:tblGrid>
      <w:tr>
        <w:trPr/>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1" w:type="dxa"/>
            <w:tcBorders/>
            <w:vAlign w:val="center"/>
          </w:tcPr>
          <w:p>
            <w:pPr>
              <w:pStyle w:val="TableContents"/>
              <w:bidi w:val="0"/>
              <w:spacing w:before="0" w:after="283"/>
              <w:jc w:val="left"/>
              <w:rPr>
                <w:sz w:val="4"/>
                <w:szCs w:val="4"/>
              </w:rPr>
            </w:pPr>
            <w:r>
              <w:rPr>
                <w:sz w:val="4"/>
                <w:szCs w:val="4"/>
              </w:rPr>
            </w:r>
          </w:p>
        </w:tc>
      </w:tr>
      <w:tr>
        <w:trPr/>
        <w:tc>
          <w:tcPr>
            <w:tcW w:w="778"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8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the Registrant as currently in effect (incorporated by reference to Exhibit 3.1 to the Registrant’s Registration Statement on Form S-1, as amended, filed with the SEC on July 26, 2021).</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the Registrant as currently in effect (incorporated by reference to Exhibit 3.4 to the Registrant’s Registration Statement on Form S-1, as amended, filed with the SEC on July 9, 2021).</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10.1x*</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10_1.htm">
              <w:r>
                <w:rPr>
                  <w:rStyle w:val="InternetLink"/>
                  <w:rFonts w:ascii="Times New Roman;serif" w:hAnsi="Times New Roman;serif"/>
                  <w:b w:val="false"/>
                  <w:sz w:val="20"/>
                  <w:u w:val="single"/>
                </w:rPr>
                <w:t>License and Supply Agreement by and between Rani Therapeutics, LLC and Celltrion, Inc. dated May 26, 2023.</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10.2x*+</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10_2.htm">
              <w:r>
                <w:rPr>
                  <w:rStyle w:val="InternetLink"/>
                  <w:rFonts w:ascii="Times New Roman;serif" w:hAnsi="Times New Roman;serif"/>
                  <w:b w:val="false"/>
                  <w:sz w:val="20"/>
                  <w:u w:val="single"/>
                </w:rPr>
                <w:t>Employment Agreement, dated May 17, 2023, by and between Rani Therapeutics, LLC and Kate McKinley.</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ani-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7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w:t>
            </w:r>
          </w:p>
        </w:tc>
        <w:tc>
          <w:tcPr>
            <w:tcW w:w="9489" w:type="dxa"/>
            <w:tcBorders/>
            <w:tcMar>
              <w:top w:w="0" w:type="dxa"/>
              <w:left w:w="0" w:type="dxa"/>
              <w:bottom w:w="0" w:type="dxa"/>
              <w:right w:w="0" w:type="dxa"/>
            </w:tcMar>
            <w:vAlign w:val="center"/>
          </w:tcPr>
          <w:p>
            <w:pPr>
              <w:pStyle w:val="TableContents"/>
              <w:pBdr/>
              <w:bidi w:val="0"/>
              <w:spacing w:before="120" w:after="0"/>
              <w:ind w:left="0" w:right="0" w:hanging="490"/>
              <w:jc w:val="left"/>
              <w:rPr>
                <w:rFonts w:ascii="Times New Roman;serif" w:hAnsi="Times New Roman;serif"/>
                <w:b w:val="false"/>
                <w:sz w:val="20"/>
              </w:rPr>
            </w:pPr>
            <w:r>
              <w:rPr>
                <w:rFonts w:ascii="Times New Roman;serif" w:hAnsi="Times New Roman;serif"/>
                <w:b w:val="false"/>
                <w:sz w:val="20"/>
              </w:rPr>
              <w:t>Filed herewith.</w:t>
            </w:r>
          </w:p>
        </w:tc>
      </w:tr>
      <w:tr>
        <w:trPr/>
        <w:tc>
          <w:tcPr>
            <w:tcW w:w="716" w:type="dxa"/>
            <w:tcBorders/>
            <w:tcMar>
              <w:top w:w="0" w:type="dxa"/>
              <w:left w:w="0" w:type="dxa"/>
              <w:bottom w:w="0" w:type="dxa"/>
              <w:right w:w="0" w:type="dxa"/>
            </w:tcMar>
            <w:vAlign w:val="center"/>
          </w:tcPr>
          <w:p>
            <w:pPr>
              <w:pStyle w:val="TableContents"/>
              <w:bidi w:val="0"/>
              <w:spacing w:before="0" w:after="0"/>
              <w:ind w:left="0" w:right="0" w:firstLine="490"/>
              <w:jc w:val="left"/>
              <w:rPr>
                <w:rFonts w:ascii="Times New Roman;serif" w:hAnsi="Times New Roman;serif"/>
                <w:b w:val="false"/>
                <w:sz w:val="20"/>
              </w:rPr>
            </w:pPr>
            <w:r>
              <w:rPr>
                <w:rFonts w:ascii="Times New Roman;serif" w:hAnsi="Times New Roman;serif"/>
                <w:b w:val="false"/>
                <w:sz w:val="20"/>
              </w:rPr>
              <w:t>+</w:t>
            </w:r>
          </w:p>
        </w:tc>
        <w:tc>
          <w:tcPr>
            <w:tcW w:w="9489" w:type="dxa"/>
            <w:tcBorders/>
            <w:tcMar>
              <w:top w:w="0" w:type="dxa"/>
              <w:left w:w="0" w:type="dxa"/>
              <w:bottom w:w="0" w:type="dxa"/>
              <w:right w:w="0" w:type="dxa"/>
            </w:tcMar>
            <w:vAlign w:val="center"/>
          </w:tcPr>
          <w:p>
            <w:pPr>
              <w:pStyle w:val="TableContents"/>
              <w:pBdr/>
              <w:bidi w:val="0"/>
              <w:spacing w:before="120" w:after="0"/>
              <w:ind w:left="0" w:right="0" w:hanging="490"/>
              <w:jc w:val="left"/>
              <w:rPr>
                <w:rFonts w:ascii="Times New Roman;serif" w:hAnsi="Times New Roman;serif"/>
                <w:b w:val="false"/>
                <w:sz w:val="20"/>
              </w:rPr>
            </w:pPr>
            <w:r>
              <w:rPr>
                <w:rFonts w:ascii="Times New Roman;serif" w:hAnsi="Times New Roman;serif"/>
                <w:b w:val="false"/>
                <w:sz w:val="20"/>
              </w:rPr>
              <w:t>Management contract.</w:t>
            </w:r>
          </w:p>
        </w:tc>
      </w:tr>
      <w:tr>
        <w:trPr/>
        <w:tc>
          <w:tcPr>
            <w:tcW w:w="7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r>
        <w:trPr/>
        <w:tc>
          <w:tcPr>
            <w:tcW w:w="7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x</w:t>
            </w:r>
          </w:p>
        </w:tc>
        <w:tc>
          <w:tcPr>
            <w:tcW w:w="948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w:t>
            </w:r>
          </w:p>
        </w:tc>
      </w:tr>
    </w:tbl>
    <w:p>
      <w:pPr>
        <w:pStyle w:val="TextBody"/>
        <w:bidi w:val="0"/>
        <w:spacing w:before="0" w:after="0"/>
        <w:ind w:left="0" w:right="0" w:hanging="0"/>
        <w:jc w:val="left"/>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ind w:left="0" w:right="0" w:firstLine="979"/>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6374" w:type="dxa"/>
        <w:jc w:val="left"/>
        <w:tblInd w:w="0" w:type="dxa"/>
        <w:tblLayout w:type="fixed"/>
        <w:tblCellMar>
          <w:top w:w="28" w:type="dxa"/>
          <w:left w:w="28" w:type="dxa"/>
          <w:bottom w:w="28" w:type="dxa"/>
          <w:right w:w="28" w:type="dxa"/>
        </w:tblCellMar>
      </w:tblPr>
      <w:tblGrid>
        <w:gridCol w:w="1951"/>
        <w:gridCol w:w="146"/>
        <w:gridCol w:w="406"/>
        <w:gridCol w:w="387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27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Rani Therapeutics Holdings,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Talat Imran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Talat Imran</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i/>
                <w:sz w:val="20"/>
              </w:rPr>
              <w:t>Chief Executive Officer</w:t>
            </w:r>
            <w:r>
              <w:rPr>
                <w:rFonts w:ascii="Times New Roman" w:hAnsi="Times New Roman"/>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11,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Svai Sanford</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Svai Sanford</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i/>
                <w:sz w:val="20"/>
              </w:rPr>
              <w:t>Chief Financial Officer</w:t>
            </w:r>
            <w:r>
              <w:rPr>
                <w:rFonts w:ascii="Times New Roman" w:hAnsi="Times New Roman"/>
                <w:sz w:val="20"/>
              </w:rPr>
              <w:t xml:space="preserve"> </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ind w:left="0" w:right="475" w:hanging="0"/>
        <w:jc w:val="left"/>
        <w:rPr/>
      </w:pPr>
      <w:r>
        <w:rPr/>
        <w:t> </w:t>
      </w:r>
    </w:p>
    <w:p>
      <w:pPr>
        <w:pStyle w:val="TextBody"/>
        <w:bidi w:val="0"/>
        <w:spacing w:before="240" w:after="0"/>
        <w:ind w:left="0" w:right="0" w:hanging="0"/>
        <w:jc w:val="right"/>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serif" w:hAnsi="Times New Roman;serif"/>
          <w:b/>
          <w:sz w:val="20"/>
        </w:rPr>
      </w:pPr>
      <w:bookmarkStart w:id="21" w:name="rani-ex10_1.htm"/>
      <w:bookmarkStart w:id="22" w:name="ksraniex10_1"/>
      <w:bookmarkEnd w:id="21"/>
      <w:bookmarkEnd w:id="22"/>
      <w:r>
        <w:rPr>
          <w:rFonts w:ascii="Times New Roman;serif" w:hAnsi="Times New Roman;serif"/>
          <w:b/>
          <w:sz w:val="20"/>
        </w:rPr>
        <w:t>Exhibit 10.1</w:t>
      </w:r>
      <w:r>
        <w:br w:type="page"/>
      </w:r>
    </w:p>
    <w:p>
      <w:pPr>
        <w:pStyle w:val="TextBody"/>
        <w:bidi w:val="0"/>
        <w:spacing w:before="0" w:after="120"/>
        <w:ind w:left="0" w:right="0" w:hanging="0"/>
        <w:jc w:val="both"/>
        <w:rPr>
          <w:rFonts w:ascii="Times New Roman;serif" w:hAnsi="Times New Roman;serif"/>
          <w:b/>
          <w:sz w:val="20"/>
        </w:rPr>
      </w:pPr>
      <w:r>
        <w:rPr>
          <w:rFonts w:ascii="Times New Roman;serif" w:hAnsi="Times New Roman;serif"/>
          <w:b/>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License and Supply Agreement</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By and Between</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Rani Therapeutics, LLC</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and</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Celltrion, Inc.</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Dated</w:t>
      </w:r>
    </w:p>
    <w:p>
      <w:pPr>
        <w:pStyle w:val="TextBody"/>
        <w:bidi w:val="0"/>
        <w:spacing w:before="0" w:after="240"/>
        <w:ind w:left="0" w:right="0" w:hanging="0"/>
        <w:jc w:val="center"/>
        <w:rPr>
          <w:rFonts w:ascii="Times New Roman;serif" w:hAnsi="Times New Roman;serif"/>
          <w:b w:val="false"/>
          <w:smallCaps/>
          <w:sz w:val="20"/>
        </w:rPr>
      </w:pPr>
      <w:r>
        <w:rPr>
          <w:rFonts w:ascii="Times New Roman;serif" w:hAnsi="Times New Roman;serif"/>
          <w:b w:val="false"/>
          <w:smallCaps/>
          <w:sz w:val="20"/>
        </w:rPr>
        <w:t>May 26, 2023</w:t>
      </w:r>
    </w:p>
    <w:p>
      <w:pPr>
        <w:pStyle w:val="TextBody"/>
        <w:bidi w:val="0"/>
        <w:spacing w:before="0" w:after="120"/>
        <w:ind w:left="0" w:right="0" w:hanging="0"/>
        <w:jc w:val="both"/>
        <w:rPr/>
      </w:pPr>
      <w:r>
        <w:rPr/>
        <w:t> </w:t>
      </w:r>
    </w:p>
    <w:p>
      <w:pPr>
        <w:pStyle w:val="TextBody"/>
        <w:bidi w:val="0"/>
        <w:spacing w:before="0" w:after="120"/>
        <w:ind w:left="0" w:right="0" w:hanging="0"/>
        <w:jc w:val="both"/>
        <w:rPr/>
      </w:pPr>
      <w:r>
        <w:rPr/>
        <w:t> </w:t>
      </w:r>
    </w:p>
    <w:p>
      <w:pPr>
        <w:pStyle w:val="TextBody"/>
        <w:bidi w:val="0"/>
        <w:spacing w:before="0" w:after="120"/>
        <w:ind w:left="0" w:right="0" w:hanging="0"/>
        <w:jc w:val="both"/>
        <w:rPr/>
      </w:pPr>
      <w:r>
        <w:rPr/>
        <w:t> </w:t>
      </w:r>
    </w:p>
    <w:p>
      <w:pPr>
        <w:pStyle w:val="TextBody"/>
        <w:bidi w:val="0"/>
        <w:spacing w:before="0" w:after="120"/>
        <w:ind w:left="0" w:right="0" w:hanging="0"/>
        <w:jc w:val="left"/>
        <w:rPr/>
      </w:pPr>
      <w:r>
        <w:rPr/>
        <w:t> </w:t>
      </w:r>
    </w:p>
    <w:p>
      <w:pPr>
        <w:pStyle w:val="TextBody"/>
        <w:bidi w:val="0"/>
        <w:spacing w:before="0" w:after="120"/>
        <w:ind w:left="0" w:right="0" w:hanging="0"/>
        <w:jc w:val="both"/>
        <w:rPr/>
      </w:pPr>
      <w:r>
        <w:rPr/>
        <w:t> </w:t>
      </w:r>
    </w:p>
    <w:p>
      <w:pPr>
        <w:pStyle w:val="TextBody"/>
        <w:bidi w:val="0"/>
        <w:spacing w:before="0" w:after="120"/>
        <w:ind w:left="0" w:right="0" w:hanging="0"/>
        <w:jc w:val="both"/>
        <w:rPr/>
      </w:pPr>
      <w:r>
        <w:rPr/>
        <w:t> </w:t>
      </w:r>
    </w:p>
    <w:p>
      <w:pPr>
        <w:pStyle w:val="TextBody"/>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CONFIDENTIAL</w:t>
      </w:r>
    </w:p>
    <w:p>
      <w:pPr>
        <w:pStyle w:val="TextBody"/>
        <w:bidi w:val="0"/>
        <w:spacing w:before="0" w:after="12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0"/>
        <w:ind w:left="0" w:right="0" w:hanging="0"/>
        <w:jc w:val="center"/>
        <w:rPr>
          <w:rFonts w:ascii="Times New Roman;serif" w:hAnsi="Times New Roman;serif"/>
          <w:b w:val="false"/>
          <w:smallCaps/>
          <w:sz w:val="20"/>
        </w:rPr>
      </w:pPr>
      <w:r>
        <w:rPr>
          <w:rFonts w:ascii="Times New Roman;serif" w:hAnsi="Times New Roman;serif"/>
          <w:b w:val="false"/>
          <w:smallCaps/>
          <w:sz w:val="20"/>
        </w:rPr>
        <w:t>License and Supply Agreement</w:t>
      </w:r>
    </w:p>
    <w:p>
      <w:pPr>
        <w:pStyle w:val="TextBody"/>
        <w:bidi w:val="0"/>
        <w:spacing w:before="0" w:after="0"/>
        <w:ind w:left="0" w:right="0" w:hanging="0"/>
        <w:jc w:val="center"/>
        <w:rPr/>
      </w:pPr>
      <w:r>
        <w:rPr/>
        <w:t> </w:t>
      </w:r>
    </w:p>
    <w:p>
      <w:pPr>
        <w:pStyle w:val="TextBody"/>
        <w:bidi w:val="0"/>
        <w:spacing w:before="0" w:after="120"/>
        <w:ind w:left="0" w:right="0" w:hanging="0"/>
        <w:jc w:val="center"/>
        <w:rPr>
          <w:rFonts w:ascii="Times New Roman;serif" w:hAnsi="Times New Roman;serif"/>
          <w:b w:val="false"/>
          <w:smallCaps/>
          <w:sz w:val="20"/>
        </w:rPr>
      </w:pPr>
      <w:r>
        <w:rPr>
          <w:rFonts w:ascii="Times New Roman;serif" w:hAnsi="Times New Roman;serif"/>
          <w:b w:val="false"/>
          <w:smallCaps/>
          <w:sz w:val="20"/>
        </w:rPr>
        <w:t>Preamble</w:t>
      </w:r>
    </w:p>
    <w:p>
      <w:pPr>
        <w:pStyle w:val="TextBody"/>
        <w:bidi w:val="0"/>
        <w:spacing w:before="0" w:after="120"/>
        <w:ind w:left="0" w:right="0" w:firstLine="720"/>
        <w:jc w:val="both"/>
        <w:rPr>
          <w:rFonts w:ascii="Times New Roman" w:hAnsi="Times New Roman"/>
          <w:sz w:val="20"/>
        </w:rPr>
      </w:pPr>
      <w:r>
        <w:rPr>
          <w:rFonts w:ascii="Times New Roman;serif" w:hAnsi="Times New Roman;serif"/>
          <w:b w:val="false"/>
          <w:sz w:val="20"/>
        </w:rPr>
        <w:t xml:space="preserve">This License and Supply Agreement (this </w:t>
      </w:r>
      <w:r>
        <w:rPr>
          <w:rFonts w:ascii="Times New Roman" w:hAnsi="Times New Roman"/>
          <w:sz w:val="20"/>
        </w:rPr>
        <w:t>“</w:t>
      </w:r>
      <w:r>
        <w:rPr>
          <w:rFonts w:ascii="Times New Roman;serif" w:hAnsi="Times New Roman;serif"/>
          <w:b w:val="false"/>
          <w:i/>
          <w:sz w:val="20"/>
        </w:rPr>
        <w:t>Agreement”</w:t>
      </w:r>
      <w:r>
        <w:rPr>
          <w:rFonts w:ascii="Times New Roman;serif" w:hAnsi="Times New Roman;serif"/>
          <w:b w:val="false"/>
          <w:sz w:val="20"/>
        </w:rPr>
        <w:t>), effective as of May 26, 2023 (the “</w:t>
      </w:r>
      <w:r>
        <w:rPr>
          <w:rFonts w:ascii="Times New Roman;serif" w:hAnsi="Times New Roman;serif"/>
          <w:b w:val="false"/>
          <w:i/>
          <w:sz w:val="20"/>
        </w:rPr>
        <w:t>Effective Date</w:t>
      </w:r>
      <w:r>
        <w:rPr>
          <w:rFonts w:ascii="Times New Roman" w:hAnsi="Times New Roman"/>
          <w:sz w:val="20"/>
        </w:rPr>
        <w:t>”</w:t>
      </w:r>
      <w:r>
        <w:rPr>
          <w:rFonts w:ascii="Times New Roman;serif" w:hAnsi="Times New Roman;serif"/>
          <w:b w:val="false"/>
          <w:sz w:val="20"/>
        </w:rPr>
        <w:t>), is by and between Rani Therapeutics, LLC, a California limited liability company having an address at 2051 Ringwood Ave., San Jose, California 95131, USA (</w:t>
      </w:r>
      <w:r>
        <w:rPr>
          <w:rFonts w:ascii="Times New Roman" w:hAnsi="Times New Roman"/>
          <w:sz w:val="20"/>
        </w:rPr>
        <w:t>“</w:t>
      </w:r>
      <w:r>
        <w:rPr>
          <w:rFonts w:ascii="Times New Roman;serif" w:hAnsi="Times New Roman;serif"/>
          <w:b w:val="false"/>
          <w:i/>
          <w:sz w:val="20"/>
        </w:rPr>
        <w:t>Rani”</w:t>
      </w:r>
      <w:r>
        <w:rPr>
          <w:rFonts w:ascii="Times New Roman;serif" w:hAnsi="Times New Roman;serif"/>
          <w:b w:val="false"/>
          <w:sz w:val="20"/>
        </w:rPr>
        <w:t>), and Celltrion, Inc., having an address at 23, Academy-ro, Yeonsu-gu, Incheon, 22014, Republic of Korea (</w:t>
      </w:r>
      <w:r>
        <w:rPr>
          <w:rFonts w:ascii="Times New Roman" w:hAnsi="Times New Roman"/>
          <w:sz w:val="20"/>
        </w:rPr>
        <w:t>“</w:t>
      </w:r>
      <w:r>
        <w:rPr>
          <w:rFonts w:ascii="Times New Roman;serif" w:hAnsi="Times New Roman;serif"/>
          <w:b w:val="false"/>
          <w:i/>
          <w:sz w:val="20"/>
        </w:rPr>
        <w:t>Celltrion”</w:t>
      </w:r>
      <w:r>
        <w:rPr>
          <w:rFonts w:ascii="Times New Roman;serif" w:hAnsi="Times New Roman;serif"/>
          <w:b w:val="false"/>
          <w:sz w:val="20"/>
        </w:rPr>
        <w:t xml:space="preserve">). Rani and Celltrion are sometimes referred to herein individually as a </w:t>
      </w:r>
      <w:r>
        <w:rPr>
          <w:rFonts w:ascii="Times New Roman" w:hAnsi="Times New Roman"/>
          <w:sz w:val="20"/>
        </w:rPr>
        <w:t>“</w:t>
      </w:r>
      <w:r>
        <w:rPr>
          <w:rFonts w:ascii="Times New Roman;serif" w:hAnsi="Times New Roman;serif"/>
          <w:b w:val="false"/>
          <w:i/>
          <w:sz w:val="20"/>
        </w:rPr>
        <w:t>Party”</w:t>
      </w:r>
      <w:r>
        <w:rPr>
          <w:rFonts w:ascii="Times New Roman" w:hAnsi="Times New Roman"/>
          <w:sz w:val="20"/>
        </w:rPr>
        <w:t xml:space="preserve"> </w:t>
      </w:r>
      <w:r>
        <w:rPr>
          <w:rFonts w:ascii="Times New Roman;serif" w:hAnsi="Times New Roman;serif"/>
          <w:b w:val="false"/>
          <w:sz w:val="20"/>
        </w:rPr>
        <w:t xml:space="preserve">and collectively as the </w:t>
      </w:r>
      <w:r>
        <w:rPr>
          <w:rFonts w:ascii="Times New Roman" w:hAnsi="Times New Roman"/>
          <w:sz w:val="20"/>
        </w:rPr>
        <w:t>“</w:t>
      </w:r>
      <w:r>
        <w:rPr>
          <w:rFonts w:ascii="Times New Roman;serif" w:hAnsi="Times New Roman;serif"/>
          <w:b w:val="false"/>
          <w:i/>
          <w:sz w:val="20"/>
        </w:rPr>
        <w:t>Parties”.</w:t>
      </w:r>
    </w:p>
    <w:p>
      <w:pPr>
        <w:pStyle w:val="TextBody"/>
        <w:bidi w:val="0"/>
        <w:spacing w:before="0" w:after="120"/>
        <w:ind w:left="0" w:right="0" w:hanging="0"/>
        <w:jc w:val="center"/>
        <w:rPr>
          <w:rFonts w:ascii="Times New Roman;serif" w:hAnsi="Times New Roman;serif"/>
          <w:b w:val="false"/>
          <w:smallCaps/>
          <w:sz w:val="20"/>
        </w:rPr>
      </w:pPr>
      <w:r>
        <w:rPr>
          <w:rFonts w:ascii="Times New Roman;serif" w:hAnsi="Times New Roman;serif"/>
          <w:b w:val="false"/>
          <w:smallCaps/>
          <w:sz w:val="20"/>
        </w:rPr>
        <w:t>Recitals</w:t>
      </w:r>
    </w:p>
    <w:p>
      <w:pPr>
        <w:pStyle w:val="TextBody"/>
        <w:bidi w:val="0"/>
        <w:spacing w:before="0" w:after="120"/>
        <w:ind w:left="0" w:right="0" w:firstLine="720"/>
        <w:jc w:val="both"/>
        <w:rPr>
          <w:rFonts w:ascii="Times New Roman;serif" w:hAnsi="Times New Roman;serif"/>
          <w:b w:val="false"/>
          <w:sz w:val="20"/>
        </w:rPr>
      </w:pPr>
      <w:r>
        <w:rPr>
          <w:rFonts w:ascii="Times New Roman;serif" w:hAnsi="Times New Roman;serif"/>
          <w:b w:val="false"/>
          <w:sz w:val="20"/>
        </w:rPr>
        <w:t>WHEREAS, Celltrion is a biopharmaceutical company that develops, manufactures and commercializes therapeutics, and is developing or has developed a biosimilar of adalimumab;</w:t>
      </w:r>
    </w:p>
    <w:p>
      <w:pPr>
        <w:pStyle w:val="TextBody"/>
        <w:bidi w:val="0"/>
        <w:spacing w:before="0" w:after="120"/>
        <w:ind w:left="0" w:right="0" w:firstLine="720"/>
        <w:jc w:val="both"/>
        <w:rPr>
          <w:rFonts w:ascii="Times New Roman" w:hAnsi="Times New Roman"/>
          <w:sz w:val="20"/>
        </w:rPr>
      </w:pPr>
      <w:r>
        <w:rPr>
          <w:rFonts w:ascii="Times New Roman;serif" w:hAnsi="Times New Roman;serif"/>
          <w:b w:val="false"/>
          <w:sz w:val="20"/>
        </w:rPr>
        <w:t>WHEREAS, Rani is a biopharmaceutical company that develops, manufactures and may in the future commercialize therapeutics using its oral delivery technology;</w:t>
      </w:r>
      <w:r>
        <w:rPr>
          <w:rFonts w:ascii="Times New Roman" w:hAnsi="Times New Roman"/>
          <w:sz w:val="20"/>
        </w:rPr>
        <w:t xml:space="preserve"> </w:t>
      </w:r>
    </w:p>
    <w:p>
      <w:pPr>
        <w:pStyle w:val="TextBody"/>
        <w:bidi w:val="0"/>
        <w:spacing w:before="0" w:after="120"/>
        <w:ind w:left="0" w:right="0" w:firstLine="720"/>
        <w:jc w:val="both"/>
        <w:rPr>
          <w:rFonts w:ascii="Times New Roman;serif" w:hAnsi="Times New Roman;serif"/>
          <w:b w:val="false"/>
          <w:sz w:val="20"/>
        </w:rPr>
      </w:pPr>
      <w:r>
        <w:rPr>
          <w:rFonts w:ascii="Times New Roman;serif" w:hAnsi="Times New Roman;serif"/>
          <w:b w:val="false"/>
          <w:sz w:val="20"/>
        </w:rPr>
        <w:t>WHEREAS, Rani desires to develop and commercialize Celltrion’s adalimumab biosimilar using its oral delivery technology, and Celltrion is willing to enable Rani to do so, on the terms and conditions set forth in this Agreement;</w:t>
      </w:r>
    </w:p>
    <w:p>
      <w:pPr>
        <w:pStyle w:val="TextBody"/>
        <w:bidi w:val="0"/>
        <w:spacing w:before="0" w:after="120"/>
        <w:ind w:left="0" w:right="0" w:firstLine="720"/>
        <w:jc w:val="both"/>
        <w:rPr>
          <w:rFonts w:ascii="Times New Roman;serif" w:hAnsi="Times New Roman;serif"/>
          <w:b w:val="false"/>
          <w:sz w:val="20"/>
        </w:rPr>
      </w:pPr>
      <w:r>
        <w:rPr>
          <w:rFonts w:ascii="Times New Roman;serif" w:hAnsi="Times New Roman;serif"/>
          <w:b w:val="false"/>
          <w:sz w:val="20"/>
        </w:rPr>
        <w:t>NOW, THEREFORE, in consideration of the mutual promises contained herein, and for other good and valuable consideration, the receipt and sufficiency of which are hereby acknowledged, and intending to be legally bound, the Parties hereto agree as follows:</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Definitions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w:t>
      </w:r>
    </w:p>
    <w:p>
      <w:pPr>
        <w:pStyle w:val="TextBody"/>
        <w:bidi w:val="0"/>
        <w:spacing w:before="0" w:after="120"/>
        <w:jc w:val="both"/>
        <w:rPr/>
      </w:pPr>
      <w:r>
        <w:rPr/>
        <w:t>“</w:t>
      </w:r>
      <w:r>
        <w:rPr>
          <w:rFonts w:ascii="Times New Roman;serif" w:hAnsi="Times New Roman;serif"/>
          <w:b w:val="false"/>
          <w:i/>
          <w:sz w:val="20"/>
        </w:rPr>
        <w:t>Affiliate”</w:t>
      </w:r>
      <w:r>
        <w:rPr/>
        <w:t xml:space="preserve"> </w:t>
      </w:r>
      <w:r>
        <w:rPr>
          <w:rFonts w:ascii="Times New Roman;serif" w:hAnsi="Times New Roman;serif"/>
          <w:b w:val="false"/>
          <w:sz w:val="20"/>
        </w:rPr>
        <w:t>means, with respect to a Party, any Person which controls, is controlled by or is under common control with such Party. For purposes of this definition only, “control” means the actual power, either directly or indirectly through one or more intermediaries, to direct or cause the direction of the management and policies of such Person, whether by the ownership of 50% or more (or if less than 50%, the maximum ownership interest permitted by applicable Law)</w:t>
      </w:r>
      <w:r>
        <w:rPr/>
        <w:t xml:space="preserve"> </w:t>
      </w:r>
      <w:r>
        <w:rPr>
          <w:rFonts w:ascii="Times New Roman;serif" w:hAnsi="Times New Roman;serif"/>
          <w:b w:val="false"/>
          <w:sz w:val="20"/>
        </w:rPr>
        <w:t>of the securities entitled to be voted generally or in the election of directors of such Person, or by contract or otherwise. For the avoidance of doubt, specifically with regards to Section 6.5 (Commercial Supply) of this Agreement, [*] shall be considered an Affiliate of Celltrion as it relates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w:t>
      </w:r>
    </w:p>
    <w:p>
      <w:pPr>
        <w:pStyle w:val="TextBody"/>
        <w:bidi w:val="0"/>
        <w:spacing w:before="0" w:after="120"/>
        <w:jc w:val="both"/>
        <w:rPr/>
      </w:pPr>
      <w:r>
        <w:rPr/>
        <w:t>“</w:t>
      </w:r>
      <w:r>
        <w:rPr>
          <w:rFonts w:ascii="Times New Roman;serif" w:hAnsi="Times New Roman;serif"/>
          <w:b w:val="false"/>
          <w:i/>
          <w:sz w:val="20"/>
        </w:rPr>
        <w:t xml:space="preserve">Agreement” </w:t>
      </w:r>
      <w:r>
        <w:rPr>
          <w:rFonts w:ascii="Times New Roman;serif" w:hAnsi="Times New Roman;serif"/>
          <w:b w:val="false"/>
          <w:sz w:val="20"/>
        </w:rPr>
        <w:t>has the meaning set forth in the Preamble</w:t>
      </w:r>
      <w:r>
        <w:rPr>
          <w:rFonts w:ascii="Times New Roman;serif" w:hAnsi="Times New Roman;serif"/>
          <w:b w:val="false"/>
          <w:i/>
          <w:sz w:val="20"/>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w:t>
      </w:r>
    </w:p>
    <w:p>
      <w:pPr>
        <w:pStyle w:val="TextBody"/>
        <w:bidi w:val="0"/>
        <w:spacing w:before="0" w:after="120"/>
        <w:jc w:val="both"/>
        <w:rPr/>
      </w:pPr>
      <w:r>
        <w:rPr/>
        <w:t>“</w:t>
      </w:r>
      <w:r>
        <w:rPr>
          <w:rFonts w:ascii="Times New Roman;serif" w:hAnsi="Times New Roman;serif"/>
          <w:b w:val="false"/>
          <w:i/>
          <w:sz w:val="20"/>
        </w:rPr>
        <w:t xml:space="preserve">Alliance Managers” </w:t>
      </w:r>
      <w:r>
        <w:rPr>
          <w:rFonts w:ascii="Times New Roman;serif" w:hAnsi="Times New Roman;serif"/>
          <w:b w:val="false"/>
          <w:sz w:val="20"/>
        </w:rPr>
        <w:t>has the meaning set forth in Section 3.7 (Alliance Managers).</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w:t>
      </w:r>
    </w:p>
    <w:p>
      <w:pPr>
        <w:pStyle w:val="TextBody"/>
        <w:bidi w:val="0"/>
        <w:spacing w:before="0" w:after="120"/>
        <w:jc w:val="both"/>
        <w:rPr/>
      </w:pPr>
      <w:r>
        <w:rPr/>
        <w:t>“</w:t>
      </w:r>
      <w:r>
        <w:rPr>
          <w:rFonts w:ascii="Times New Roman;serif" w:hAnsi="Times New Roman;serif"/>
          <w:b w:val="false"/>
          <w:i/>
          <w:sz w:val="20"/>
        </w:rPr>
        <w:t>Alternate Supply”</w:t>
      </w:r>
      <w:r>
        <w:rPr/>
        <w:t xml:space="preserve"> </w:t>
      </w:r>
      <w:r>
        <w:rPr>
          <w:rFonts w:ascii="Times New Roman;serif" w:hAnsi="Times New Roman;serif"/>
          <w:b w:val="false"/>
          <w:sz w:val="20"/>
        </w:rPr>
        <w:t>has the meaning set forth in Section 6.9 (Supply Continuity).</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1.5.</w:t>
      </w:r>
    </w:p>
    <w:p>
      <w:pPr>
        <w:pStyle w:val="TextBody"/>
        <w:bidi w:val="0"/>
        <w:spacing w:before="0" w:after="120"/>
        <w:jc w:val="both"/>
        <w:rPr/>
      </w:pPr>
      <w:r>
        <w:rPr/>
        <w:t>“</w:t>
      </w:r>
      <w:r>
        <w:rPr>
          <w:rFonts w:ascii="Times New Roman;serif" w:hAnsi="Times New Roman;serif"/>
          <w:b w:val="false"/>
          <w:i/>
          <w:sz w:val="20"/>
        </w:rPr>
        <w:t xml:space="preserve">Business Day” </w:t>
      </w:r>
      <w:r>
        <w:rPr>
          <w:rFonts w:ascii="Times New Roman;serif" w:hAnsi="Times New Roman;serif"/>
          <w:b w:val="false"/>
          <w:sz w:val="20"/>
        </w:rPr>
        <w:t>means a day that is not a Saturday, a Sunday or a day on which banking institutions in New York, New York, USA, or Seoul, South Korea, are authorized by applicable Law to remain closed.</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1.6.</w:t>
      </w:r>
    </w:p>
    <w:p>
      <w:pPr>
        <w:pStyle w:val="TextBody"/>
        <w:bidi w:val="0"/>
        <w:spacing w:before="0" w:after="120"/>
        <w:jc w:val="both"/>
        <w:rPr/>
      </w:pPr>
      <w:r>
        <w:rPr/>
        <w:t>“</w:t>
      </w:r>
      <w:r>
        <w:rPr>
          <w:rFonts w:ascii="Times New Roman;serif" w:hAnsi="Times New Roman;serif"/>
          <w:b w:val="false"/>
          <w:i/>
          <w:sz w:val="20"/>
        </w:rPr>
        <w:t xml:space="preserve">Celltrion” </w:t>
      </w:r>
      <w:r>
        <w:rPr>
          <w:rFonts w:ascii="Times New Roman;serif" w:hAnsi="Times New Roman;serif"/>
          <w:b w:val="false"/>
          <w:sz w:val="20"/>
        </w:rPr>
        <w:t>has the meaning set forth in the Preamble.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1.7.</w:t>
      </w:r>
    </w:p>
    <w:p>
      <w:pPr>
        <w:pStyle w:val="TextBody"/>
        <w:bidi w:val="0"/>
        <w:spacing w:before="0" w:after="120"/>
        <w:jc w:val="both"/>
        <w:rPr/>
      </w:pPr>
      <w:r>
        <w:rPr/>
        <w:t>“</w:t>
      </w:r>
      <w:r>
        <w:rPr>
          <w:rFonts w:ascii="Times New Roman;serif" w:hAnsi="Times New Roman;serif"/>
          <w:b w:val="false"/>
          <w:i/>
          <w:sz w:val="20"/>
        </w:rPr>
        <w:t xml:space="preserve">Celltrion Indemnitees” </w:t>
      </w:r>
      <w:r>
        <w:rPr>
          <w:rFonts w:ascii="Times New Roman;serif" w:hAnsi="Times New Roman;serif"/>
          <w:b w:val="false"/>
          <w:sz w:val="20"/>
        </w:rPr>
        <w:t>has the meaning set forth in Section 12.1.1 (Rani Indemnity).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1.8.</w:t>
      </w:r>
    </w:p>
    <w:p>
      <w:pPr>
        <w:pStyle w:val="TextBody"/>
        <w:bidi w:val="0"/>
        <w:spacing w:before="0" w:after="120"/>
        <w:jc w:val="both"/>
        <w:rPr/>
      </w:pPr>
      <w:r>
        <w:rPr/>
        <w:t>“</w:t>
      </w:r>
      <w:r>
        <w:rPr>
          <w:rFonts w:ascii="Times New Roman;serif" w:hAnsi="Times New Roman;serif"/>
          <w:b w:val="false"/>
          <w:i/>
          <w:sz w:val="20"/>
        </w:rPr>
        <w:t>Celltrion National Core Technology</w:t>
      </w:r>
      <w:r>
        <w:rPr/>
        <w:t xml:space="preserve">” </w:t>
      </w:r>
      <w:r>
        <w:rPr>
          <w:rFonts w:ascii="Times New Roman;serif" w:hAnsi="Times New Roman;serif"/>
          <w:b w:val="false"/>
          <w:sz w:val="20"/>
        </w:rPr>
        <w:t>means the Common Technical Document (as defined by the International Council for Harmonisation of Technical Requirements for Pharmaceuticals for Human Use (ICH)) in its entirety, not discrete portions, related to the development and manufacture of Drug, and such other types of documents and/or information as may be legally defined as national core technology by the Korean government from time to time after the Effective Date.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1.9.</w:t>
      </w:r>
    </w:p>
    <w:p>
      <w:pPr>
        <w:pStyle w:val="TextBody"/>
        <w:bidi w:val="0"/>
        <w:spacing w:before="0" w:after="120"/>
        <w:jc w:val="both"/>
        <w:rPr/>
      </w:pPr>
      <w:r>
        <w:rPr/>
        <w:t>“</w:t>
      </w:r>
      <w:r>
        <w:rPr>
          <w:rFonts w:ascii="Times New Roman;serif" w:hAnsi="Times New Roman;serif"/>
          <w:b w:val="false"/>
          <w:i/>
          <w:sz w:val="20"/>
        </w:rPr>
        <w:t>cGMP”</w:t>
      </w:r>
      <w:r>
        <w:rPr/>
        <w:t xml:space="preserve"> </w:t>
      </w:r>
      <w:r>
        <w:rPr>
          <w:rFonts w:ascii="Times New Roman;serif" w:hAnsi="Times New Roman;serif"/>
          <w:b w:val="false"/>
          <w:sz w:val="20"/>
        </w:rPr>
        <w:t xml:space="preserve">or </w:t>
      </w:r>
      <w:r>
        <w:rPr/>
        <w:t>“</w:t>
      </w:r>
      <w:r>
        <w:rPr>
          <w:rFonts w:ascii="Times New Roman;serif" w:hAnsi="Times New Roman;serif"/>
          <w:b w:val="false"/>
          <w:i/>
          <w:sz w:val="20"/>
        </w:rPr>
        <w:t xml:space="preserve">current Good Manufacturing Practices” </w:t>
      </w:r>
      <w:r>
        <w:rPr>
          <w:rFonts w:ascii="Times New Roman;serif" w:hAnsi="Times New Roman;serif"/>
          <w:b w:val="false"/>
          <w:sz w:val="20"/>
        </w:rPr>
        <w:t>means current Good Manufacturing Practices as defined in the United States Code of Federal Regulations.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1.10.</w:t>
      </w:r>
    </w:p>
    <w:p>
      <w:pPr>
        <w:pStyle w:val="TextBody"/>
        <w:bidi w:val="0"/>
        <w:spacing w:before="0" w:after="120"/>
        <w:jc w:val="both"/>
        <w:rPr/>
      </w:pPr>
      <w:r>
        <w:rPr/>
        <w:t>“</w:t>
      </w:r>
      <w:r>
        <w:rPr>
          <w:rFonts w:ascii="Times New Roman;serif" w:hAnsi="Times New Roman;serif"/>
          <w:b w:val="false"/>
          <w:i/>
          <w:sz w:val="20"/>
        </w:rPr>
        <w:t xml:space="preserve">Claims” </w:t>
      </w:r>
      <w:r>
        <w:rPr>
          <w:rFonts w:ascii="Times New Roman;serif" w:hAnsi="Times New Roman;serif"/>
          <w:b w:val="false"/>
          <w:sz w:val="20"/>
        </w:rPr>
        <w:t>has the meaning set forth in Section 12.1.1 (Rani Indemnity).</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1.11.</w:t>
      </w:r>
    </w:p>
    <w:p>
      <w:pPr>
        <w:pStyle w:val="TextBody"/>
        <w:bidi w:val="0"/>
        <w:spacing w:before="0" w:after="120"/>
        <w:jc w:val="both"/>
        <w:rPr/>
      </w:pPr>
      <w:r>
        <w:rPr/>
        <w:t>“</w:t>
      </w:r>
      <w:r>
        <w:rPr>
          <w:rFonts w:ascii="Times New Roman;serif" w:hAnsi="Times New Roman;serif"/>
          <w:b w:val="false"/>
          <w:i/>
          <w:sz w:val="20"/>
        </w:rPr>
        <w:t>Commercial Supply Agreement”</w:t>
      </w:r>
      <w:r>
        <w:rPr/>
        <w:t xml:space="preserve"> </w:t>
      </w:r>
      <w:r>
        <w:rPr>
          <w:rFonts w:ascii="Times New Roman;serif" w:hAnsi="Times New Roman;serif"/>
          <w:b w:val="false"/>
          <w:sz w:val="20"/>
        </w:rPr>
        <w:t>has the meaning set forth in Section 6.5 (Commercial Supply).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1.12.</w:t>
      </w:r>
    </w:p>
    <w:p>
      <w:pPr>
        <w:pStyle w:val="TextBody"/>
        <w:bidi w:val="0"/>
        <w:spacing w:before="0" w:after="120"/>
        <w:jc w:val="both"/>
        <w:rPr/>
      </w:pPr>
      <w:r>
        <w:rPr/>
        <w:t>“</w:t>
      </w:r>
      <w:r>
        <w:rPr>
          <w:rFonts w:ascii="Times New Roman;serif" w:hAnsi="Times New Roman;serif"/>
          <w:b w:val="false"/>
          <w:i/>
          <w:sz w:val="20"/>
        </w:rPr>
        <w:t xml:space="preserve">Confidential Information” </w:t>
      </w:r>
      <w:r>
        <w:rPr>
          <w:rFonts w:ascii="Times New Roman;serif" w:hAnsi="Times New Roman;serif"/>
          <w:b w:val="false"/>
          <w:sz w:val="20"/>
        </w:rPr>
        <w:t xml:space="preserve">shall mean all written, visual, oral or electronic data or information, both technical and non-technical, relating to Disclosing Party's (as defined below) business, products, processes, techniques, research, development, inventions, testing procedures, marketing, financing, or the like, that are disclosed under this Agreement to Receiving Party (as defined below) by Disclosing Party. Confidential Information shall include, without limitation, know-how, pre-clinical data and results, clinical protocols, clinical research results, toxicity and hazard data, assay standards, methods and related information, manufacturing processes and techniques (including, but not necessarily limited to, “Celltrion [*] Technology” as defined in </w:t>
      </w:r>
      <w:r>
        <w:rPr>
          <w:rFonts w:ascii="Times New Roman;serif" w:hAnsi="Times New Roman;serif"/>
          <w:b w:val="false"/>
          <w:sz w:val="20"/>
          <w:u w:val="single"/>
        </w:rPr>
        <w:t>Section 9.7</w:t>
      </w:r>
      <w:r>
        <w:rPr/>
        <w:t xml:space="preserve"> </w:t>
      </w:r>
      <w:r>
        <w:rPr>
          <w:rFonts w:ascii="Times New Roman;serif" w:hAnsi="Times New Roman;serif"/>
          <w:b w:val="false"/>
          <w:sz w:val="20"/>
        </w:rPr>
        <w:t>below), formulae, flow sheets, technical plans, chemical synthesis routes, process schematics, operational details, historical production data, anecdotal process experience, patents, patent applications, technical specifications, research and development plans, preclinical lead profile contents, regulatory approval timeline, sales forecast, business plans, product and market descriptions, sales, cost and promotional expenditure data, plans and projections. For clarity, Confidential Information of a Party will include all information and materials disclosed by such Party or its designee that (a) is marked as “Confidential,” “Proprietary” or with similar designation at the time of disclosure or (b) by its nature can reasonably be expected to be considered Confidential Information. Confidential Information shall not include information which falls within the exceptions of clauses (a) through (d) of Section 2 of the Confidentiality Agreement.</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1.13.</w:t>
      </w:r>
    </w:p>
    <w:p>
      <w:pPr>
        <w:pStyle w:val="TextBody"/>
        <w:bidi w:val="0"/>
        <w:spacing w:before="0" w:after="120"/>
        <w:jc w:val="both"/>
        <w:rPr/>
      </w:pPr>
      <w:r>
        <w:rPr/>
        <w:t>“</w:t>
      </w:r>
      <w:r>
        <w:rPr>
          <w:rFonts w:ascii="Times New Roman;serif" w:hAnsi="Times New Roman;serif"/>
          <w:b w:val="false"/>
          <w:i/>
          <w:sz w:val="20"/>
        </w:rPr>
        <w:t>Confidentiality Agreement”</w:t>
      </w:r>
      <w:r>
        <w:rPr/>
        <w:t xml:space="preserve"> </w:t>
      </w:r>
      <w:r>
        <w:rPr>
          <w:rFonts w:ascii="Times New Roman;serif" w:hAnsi="Times New Roman;serif"/>
          <w:b w:val="false"/>
          <w:sz w:val="20"/>
        </w:rPr>
        <w:t>has the meaning set forth in Section 9.1 (Confidentiality).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1.14.</w:t>
      </w:r>
    </w:p>
    <w:p>
      <w:pPr>
        <w:pStyle w:val="TextBody"/>
        <w:bidi w:val="0"/>
        <w:spacing w:before="0" w:after="120"/>
        <w:jc w:val="both"/>
        <w:rPr/>
      </w:pPr>
      <w:r>
        <w:rPr/>
        <w:t>“</w:t>
      </w:r>
      <w:r>
        <w:rPr>
          <w:rFonts w:ascii="Times New Roman;serif" w:hAnsi="Times New Roman;serif"/>
          <w:b w:val="false"/>
          <w:i/>
          <w:sz w:val="20"/>
        </w:rPr>
        <w:t xml:space="preserve">Contract Interest Rate” </w:t>
      </w:r>
      <w:r>
        <w:rPr>
          <w:rFonts w:ascii="Times New Roman;serif" w:hAnsi="Times New Roman;serif"/>
          <w:b w:val="false"/>
          <w:sz w:val="20"/>
        </w:rPr>
        <w:t>means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1.15.</w:t>
      </w:r>
    </w:p>
    <w:p>
      <w:pPr>
        <w:pStyle w:val="TextBody"/>
        <w:bidi w:val="0"/>
        <w:spacing w:before="0" w:after="120"/>
        <w:jc w:val="both"/>
        <w:rPr/>
      </w:pPr>
      <w:r>
        <w:rPr/>
        <w:t>“</w:t>
      </w:r>
      <w:r>
        <w:rPr>
          <w:rFonts w:ascii="Times New Roman;serif" w:hAnsi="Times New Roman;serif"/>
          <w:b w:val="false"/>
          <w:i/>
          <w:sz w:val="20"/>
        </w:rPr>
        <w:t xml:space="preserve">Control” </w:t>
      </w:r>
      <w:r>
        <w:rPr>
          <w:rFonts w:ascii="Times New Roman;serif" w:hAnsi="Times New Roman;serif"/>
          <w:b w:val="false"/>
          <w:sz w:val="20"/>
        </w:rPr>
        <w:t>means, with respect to any Information or intellectual property, that the applicable Party or any of its Affiliates owns or has a license to such Information or intellectual property and has the ability to grant to the other Party access to and a license or sublicense (as applicable) under such Information or intellectual property as set forth herein without violating the terms of any agreement with any Third Party as of the time such Party would first be required hereunder to grant such access and license or sublicense.</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1.16.</w:t>
      </w:r>
    </w:p>
    <w:p>
      <w:pPr>
        <w:pStyle w:val="TextBody"/>
        <w:bidi w:val="0"/>
        <w:spacing w:before="0" w:after="120"/>
        <w:jc w:val="both"/>
        <w:rPr/>
      </w:pPr>
      <w:r>
        <w:rPr/>
        <w:t>“</w:t>
      </w:r>
      <w:r>
        <w:rPr>
          <w:rFonts w:ascii="Times New Roman;serif" w:hAnsi="Times New Roman;serif"/>
          <w:b w:val="false"/>
          <w:i/>
          <w:sz w:val="20"/>
        </w:rPr>
        <w:t>Disclosing Party</w:t>
      </w:r>
      <w:r>
        <w:rPr/>
        <w:t xml:space="preserve">” </w:t>
      </w:r>
      <w:r>
        <w:rPr>
          <w:rFonts w:ascii="Times New Roman;serif" w:hAnsi="Times New Roman;serif"/>
          <w:b w:val="false"/>
          <w:sz w:val="20"/>
        </w:rPr>
        <w:t>shall mean a Party that discloses Confidential Information to the other Party under this Agreement.</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1.17.</w:t>
      </w:r>
    </w:p>
    <w:p>
      <w:pPr>
        <w:pStyle w:val="TextBody"/>
        <w:bidi w:val="0"/>
        <w:spacing w:before="0" w:after="120"/>
        <w:jc w:val="both"/>
        <w:rPr/>
      </w:pPr>
      <w:r>
        <w:rPr/>
        <w:t>“</w:t>
      </w:r>
      <w:r>
        <w:rPr>
          <w:rFonts w:ascii="Times New Roman;serif" w:hAnsi="Times New Roman;serif"/>
          <w:b w:val="false"/>
          <w:i/>
          <w:sz w:val="20"/>
        </w:rPr>
        <w:t xml:space="preserve">Dollars” </w:t>
      </w:r>
      <w:r>
        <w:rPr>
          <w:rFonts w:ascii="Times New Roman;serif" w:hAnsi="Times New Roman;serif"/>
          <w:b w:val="false"/>
          <w:sz w:val="20"/>
        </w:rPr>
        <w:t>or</w:t>
      </w:r>
      <w:r>
        <w:rPr/>
        <w:t xml:space="preserve"> “</w:t>
      </w:r>
      <w:r>
        <w:rPr>
          <w:rFonts w:ascii="Times New Roman;serif" w:hAnsi="Times New Roman;serif"/>
          <w:b w:val="false"/>
          <w:i/>
          <w:sz w:val="20"/>
        </w:rPr>
        <w:t xml:space="preserve">$” </w:t>
      </w:r>
      <w:r>
        <w:rPr>
          <w:rFonts w:ascii="Times New Roman;serif" w:hAnsi="Times New Roman;serif"/>
          <w:b w:val="false"/>
          <w:sz w:val="20"/>
        </w:rPr>
        <w:t>means U.S. Dollars.</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1.18.</w:t>
      </w:r>
    </w:p>
    <w:p>
      <w:pPr>
        <w:pStyle w:val="TextBody"/>
        <w:bidi w:val="0"/>
        <w:spacing w:before="0" w:after="120"/>
        <w:jc w:val="both"/>
        <w:rPr/>
      </w:pPr>
      <w:r>
        <w:rPr/>
        <w:t>“</w:t>
      </w:r>
      <w:r>
        <w:rPr>
          <w:rFonts w:ascii="Times New Roman;serif" w:hAnsi="Times New Roman;serif"/>
          <w:b w:val="false"/>
          <w:i/>
          <w:sz w:val="20"/>
        </w:rPr>
        <w:t>Drug”</w:t>
      </w:r>
      <w:r>
        <w:rPr/>
        <w:t xml:space="preserve"> </w:t>
      </w:r>
      <w:r>
        <w:rPr>
          <w:rFonts w:ascii="Times New Roman;serif" w:hAnsi="Times New Roman;serif"/>
          <w:b w:val="false"/>
          <w:sz w:val="20"/>
        </w:rPr>
        <w:t>means the adalimumab biosimilar being developed by Celltrion which has been approved by the European Medicines Agency under the brand name Yuflyma® and is referred to as CT-P17.</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1.19.</w:t>
      </w:r>
    </w:p>
    <w:p>
      <w:pPr>
        <w:pStyle w:val="TextBody"/>
        <w:bidi w:val="0"/>
        <w:spacing w:before="0" w:after="120"/>
        <w:jc w:val="both"/>
        <w:rPr/>
      </w:pPr>
      <w:r>
        <w:rPr/>
        <w:t>“</w:t>
      </w:r>
      <w:r>
        <w:rPr>
          <w:rFonts w:ascii="Times New Roman;serif" w:hAnsi="Times New Roman;serif"/>
          <w:b w:val="false"/>
          <w:i/>
          <w:sz w:val="20"/>
        </w:rPr>
        <w:t>Drug Product”</w:t>
      </w:r>
      <w:r>
        <w:rPr/>
        <w:t xml:space="preserve"> </w:t>
      </w:r>
      <w:r>
        <w:rPr>
          <w:rFonts w:ascii="Times New Roman;serif" w:hAnsi="Times New Roman;serif"/>
          <w:b w:val="false"/>
          <w:sz w:val="20"/>
        </w:rPr>
        <w:t>or</w:t>
      </w:r>
      <w:r>
        <w:rPr/>
        <w:t xml:space="preserve"> “</w:t>
      </w:r>
      <w:r>
        <w:rPr>
          <w:rFonts w:ascii="Times New Roman;serif" w:hAnsi="Times New Roman;serif"/>
          <w:b w:val="false"/>
          <w:i/>
          <w:sz w:val="20"/>
        </w:rPr>
        <w:t>DP”</w:t>
      </w:r>
      <w:r>
        <w:rPr/>
        <w:t xml:space="preserve"> </w:t>
      </w:r>
      <w:r>
        <w:rPr>
          <w:rFonts w:ascii="Times New Roman;serif" w:hAnsi="Times New Roman;serif"/>
          <w:b w:val="false"/>
          <w:sz w:val="20"/>
        </w:rPr>
        <w:t>means the Drug supplied to Rani by Celltrion as drug product in the form or presentation as the Parties may mutually agree.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1.20.</w:t>
      </w:r>
    </w:p>
    <w:p>
      <w:pPr>
        <w:pStyle w:val="TextBody"/>
        <w:bidi w:val="0"/>
        <w:spacing w:before="0" w:after="120"/>
        <w:jc w:val="both"/>
        <w:rPr/>
      </w:pPr>
      <w:r>
        <w:rPr>
          <w:rFonts w:ascii="Times New Roman;serif" w:hAnsi="Times New Roman;serif"/>
          <w:b w:val="false"/>
          <w:sz w:val="20"/>
        </w:rPr>
        <w:t>"</w:t>
      </w:r>
      <w:r>
        <w:rPr>
          <w:rFonts w:ascii="Times New Roman;serif" w:hAnsi="Times New Roman;serif"/>
          <w:b w:val="false"/>
          <w:i/>
          <w:sz w:val="20"/>
        </w:rPr>
        <w:t>Drug Substance</w:t>
      </w:r>
      <w:r>
        <w:rPr/>
        <w:t xml:space="preserve">” </w:t>
      </w:r>
      <w:r>
        <w:rPr>
          <w:rFonts w:ascii="Times New Roman;serif" w:hAnsi="Times New Roman;serif"/>
          <w:b w:val="false"/>
          <w:sz w:val="20"/>
        </w:rPr>
        <w:t>or “</w:t>
      </w:r>
      <w:r>
        <w:rPr>
          <w:rFonts w:ascii="Times New Roman;serif" w:hAnsi="Times New Roman;serif"/>
          <w:b w:val="false"/>
          <w:i/>
          <w:sz w:val="20"/>
        </w:rPr>
        <w:t>DS</w:t>
      </w:r>
      <w:r>
        <w:rPr/>
        <w:t xml:space="preserve">” </w:t>
      </w:r>
      <w:r>
        <w:rPr>
          <w:rFonts w:ascii="Times New Roman;serif" w:hAnsi="Times New Roman;serif"/>
          <w:b w:val="false"/>
          <w:sz w:val="20"/>
        </w:rPr>
        <w:t xml:space="preserve">means the active pharmaceutical ingredient and excipients used in the manufacture of the Drug, supplied to Rani by Celltrion in the form and presentation set forth in Appendix A (Supply Price Schedule) (or such other form or presentation as the Parties may mutually agree).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1.21.</w:t>
      </w:r>
    </w:p>
    <w:p>
      <w:pPr>
        <w:pStyle w:val="TextBody"/>
        <w:bidi w:val="0"/>
        <w:spacing w:before="0" w:after="120"/>
        <w:jc w:val="both"/>
        <w:rPr/>
      </w:pPr>
      <w:r>
        <w:rPr/>
        <w:t>“</w:t>
      </w:r>
      <w:r>
        <w:rPr>
          <w:rFonts w:ascii="Times New Roman;serif" w:hAnsi="Times New Roman;serif"/>
          <w:b w:val="false"/>
          <w:i/>
          <w:sz w:val="20"/>
        </w:rPr>
        <w:t xml:space="preserve">FDA” </w:t>
      </w:r>
      <w:r>
        <w:rPr>
          <w:rFonts w:ascii="Times New Roman;serif" w:hAnsi="Times New Roman;serif"/>
          <w:b w:val="false"/>
          <w:sz w:val="20"/>
        </w:rPr>
        <w:t>means the U.S. Food and Drug Administration, and any successor agency thereto.</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1.22.</w:t>
      </w:r>
    </w:p>
    <w:p>
      <w:pPr>
        <w:pStyle w:val="TextBody"/>
        <w:bidi w:val="0"/>
        <w:spacing w:before="0" w:after="120"/>
        <w:jc w:val="both"/>
        <w:rPr/>
      </w:pPr>
      <w:r>
        <w:rPr/>
        <w:t>“</w:t>
      </w:r>
      <w:r>
        <w:rPr>
          <w:rFonts w:ascii="Times New Roman;serif" w:hAnsi="Times New Roman;serif"/>
          <w:b w:val="false"/>
          <w:i/>
          <w:sz w:val="20"/>
        </w:rPr>
        <w:t xml:space="preserve">Force Majeure” </w:t>
      </w:r>
      <w:r>
        <w:rPr>
          <w:rFonts w:ascii="Times New Roman;serif" w:hAnsi="Times New Roman;serif"/>
          <w:b w:val="false"/>
          <w:sz w:val="20"/>
        </w:rPr>
        <w:t>has the meaning set forth in Section 14.7 (Force Majeure).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1.23.</w:t>
      </w:r>
    </w:p>
    <w:p>
      <w:pPr>
        <w:pStyle w:val="TextBody"/>
        <w:bidi w:val="0"/>
        <w:spacing w:before="0" w:after="120"/>
        <w:jc w:val="both"/>
        <w:rPr/>
      </w:pPr>
      <w:r>
        <w:rPr/>
        <w:t>“</w:t>
      </w:r>
      <w:r>
        <w:rPr>
          <w:rFonts w:ascii="Times New Roman;serif" w:hAnsi="Times New Roman;serif"/>
          <w:b w:val="false"/>
          <w:i/>
          <w:sz w:val="20"/>
        </w:rPr>
        <w:t>FTE”</w:t>
      </w:r>
      <w:r>
        <w:rPr/>
        <w:t xml:space="preserve"> </w:t>
      </w:r>
      <w:r>
        <w:rPr>
          <w:rFonts w:ascii="Times New Roman;serif" w:hAnsi="Times New Roman;serif"/>
          <w:b w:val="false"/>
          <w:sz w:val="20"/>
        </w:rPr>
        <w:t xml:space="preserve">means the equivalent of the work of one employee full time for the applicable period of time and employee grade level provided in the FTE Rate Schedule attached hereto as Appendix B.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1.24.</w:t>
      </w:r>
    </w:p>
    <w:p>
      <w:pPr>
        <w:pStyle w:val="TextBody"/>
        <w:bidi w:val="0"/>
        <w:spacing w:before="0" w:after="120"/>
        <w:jc w:val="both"/>
        <w:rPr/>
      </w:pPr>
      <w:r>
        <w:rPr/>
        <w:t>“</w:t>
      </w:r>
      <w:r>
        <w:rPr>
          <w:rFonts w:ascii="Times New Roman;serif" w:hAnsi="Times New Roman;serif"/>
          <w:b w:val="false"/>
          <w:i/>
          <w:sz w:val="20"/>
        </w:rPr>
        <w:t xml:space="preserve">FTE Rate” </w:t>
      </w:r>
      <w:r>
        <w:rPr>
          <w:rFonts w:ascii="Times New Roman;serif" w:hAnsi="Times New Roman;serif"/>
          <w:b w:val="false"/>
          <w:sz w:val="20"/>
        </w:rPr>
        <w:t xml:space="preserve">means the hourly rate for FTE time, increasing on January 1 each year by [*] of the then-current FTE Rate, beginning on January 1, 2024. The FTE Rate is an hourly rate as set forth in the FTE Rate Schedule attached to this Agreement as Appendix B. Overtime, and work on weekends, holidays and the like will not be counted with any multiplier (e.g., time-and-a-half or double time) toward the number of hours or rate used to calculate the FTE contribution. </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2</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1.25.</w:t>
      </w:r>
    </w:p>
    <w:p>
      <w:pPr>
        <w:pStyle w:val="TextBody"/>
        <w:bidi w:val="0"/>
        <w:spacing w:before="0" w:after="120"/>
        <w:jc w:val="both"/>
        <w:rPr/>
      </w:pPr>
      <w:r>
        <w:rPr/>
        <w:t>“</w:t>
      </w:r>
      <w:r>
        <w:rPr>
          <w:rFonts w:ascii="Times New Roman;serif" w:hAnsi="Times New Roman;serif"/>
          <w:b w:val="false"/>
          <w:i/>
          <w:sz w:val="20"/>
        </w:rPr>
        <w:t>Governmental Authority”</w:t>
      </w:r>
      <w:r>
        <w:rPr/>
        <w:t xml:space="preserve"> </w:t>
      </w:r>
      <w:r>
        <w:rPr>
          <w:rFonts w:ascii="Times New Roman;serif" w:hAnsi="Times New Roman;serif"/>
          <w:b w:val="false"/>
          <w:sz w:val="20"/>
        </w:rPr>
        <w:t>means any government administrative agency, commission or other governmental authority, body or instrumentality, or any federal, state, local, domestic or foreign governmental regulatory body.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1.26.</w:t>
      </w:r>
    </w:p>
    <w:p>
      <w:pPr>
        <w:pStyle w:val="TextBody"/>
        <w:bidi w:val="0"/>
        <w:spacing w:before="0" w:after="120"/>
        <w:jc w:val="both"/>
        <w:rPr/>
      </w:pPr>
      <w:r>
        <w:rPr/>
        <w:t>“</w:t>
      </w:r>
      <w:r>
        <w:rPr>
          <w:rFonts w:ascii="Times New Roman;serif" w:hAnsi="Times New Roman;serif"/>
          <w:b w:val="false"/>
          <w:i/>
          <w:sz w:val="20"/>
        </w:rPr>
        <w:t xml:space="preserve">IND” </w:t>
      </w:r>
      <w:r>
        <w:rPr>
          <w:rFonts w:ascii="Times New Roman;serif" w:hAnsi="Times New Roman;serif"/>
          <w:b w:val="false"/>
          <w:sz w:val="20"/>
        </w:rPr>
        <w:t>means, with respect to the United States, an Investigational New Drug Application as defined in applicable regulations promulgated by the FDA and filed with the FDA for human clinical testing of a drug or, with respect any jurisdiction other than the United States, an equivalent filing thereof.</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1.27.</w:t>
      </w:r>
    </w:p>
    <w:p>
      <w:pPr>
        <w:pStyle w:val="TextBody"/>
        <w:bidi w:val="0"/>
        <w:spacing w:before="0" w:after="120"/>
        <w:jc w:val="both"/>
        <w:rPr/>
      </w:pPr>
      <w:r>
        <w:rPr/>
        <w:t>“</w:t>
      </w:r>
      <w:r>
        <w:rPr>
          <w:rFonts w:ascii="Times New Roman;serif" w:hAnsi="Times New Roman;serif"/>
          <w:b w:val="false"/>
          <w:i/>
          <w:sz w:val="20"/>
        </w:rPr>
        <w:t xml:space="preserve">Indemnified Party” </w:t>
      </w:r>
      <w:r>
        <w:rPr>
          <w:rFonts w:ascii="Times New Roman;serif" w:hAnsi="Times New Roman;serif"/>
          <w:b w:val="false"/>
          <w:sz w:val="20"/>
        </w:rPr>
        <w:t>has the meaning set forth in Section 12.2 (Claim for Indemnification).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1.28.</w:t>
      </w:r>
    </w:p>
    <w:p>
      <w:pPr>
        <w:pStyle w:val="TextBody"/>
        <w:bidi w:val="0"/>
        <w:spacing w:before="0" w:after="120"/>
        <w:jc w:val="both"/>
        <w:rPr/>
      </w:pPr>
      <w:r>
        <w:rPr/>
        <w:t>“</w:t>
      </w:r>
      <w:r>
        <w:rPr>
          <w:rFonts w:ascii="Times New Roman;serif" w:hAnsi="Times New Roman;serif"/>
          <w:b w:val="false"/>
          <w:i/>
          <w:sz w:val="20"/>
        </w:rPr>
        <w:t xml:space="preserve">Indemnifying Party” </w:t>
      </w:r>
      <w:r>
        <w:rPr>
          <w:rFonts w:ascii="Times New Roman;serif" w:hAnsi="Times New Roman;serif"/>
          <w:b w:val="false"/>
          <w:sz w:val="20"/>
        </w:rPr>
        <w:t>has the meaning set forth in Section 12.2 (Claim for Indemnification).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1.29.</w:t>
      </w:r>
    </w:p>
    <w:p>
      <w:pPr>
        <w:pStyle w:val="TextBody"/>
        <w:bidi w:val="0"/>
        <w:spacing w:before="0" w:after="120"/>
        <w:jc w:val="both"/>
        <w:rPr/>
      </w:pPr>
      <w:r>
        <w:rPr/>
        <w:t>“</w:t>
      </w:r>
      <w:r>
        <w:rPr>
          <w:rFonts w:ascii="Times New Roman;serif" w:hAnsi="Times New Roman;serif"/>
          <w:b w:val="false"/>
          <w:i/>
          <w:sz w:val="20"/>
        </w:rPr>
        <w:t>Information”</w:t>
      </w:r>
      <w:r>
        <w:rPr/>
        <w:t xml:space="preserve"> </w:t>
      </w:r>
      <w:r>
        <w:rPr>
          <w:rFonts w:ascii="Times New Roman;serif" w:hAnsi="Times New Roman;serif"/>
          <w:b w:val="false"/>
          <w:sz w:val="20"/>
        </w:rPr>
        <w:t xml:space="preserve">means all tangible and intangible techniques, information, technology, practices, trade secrets, inventions (whether patentable or not), methods, knowledge, know-how, conclusions, skill, experience, test data and results (including pharmacological, toxicological and clinical test data and results), analytical and quality control data, results or descriptions, software and algorithms. </w:t>
      </w:r>
      <w:r>
        <w:rPr/>
        <w:t>“</w:t>
      </w:r>
      <w:r>
        <w:rPr>
          <w:rFonts w:ascii="Times New Roman;serif" w:hAnsi="Times New Roman;serif"/>
          <w:b w:val="false"/>
          <w:i/>
          <w:sz w:val="20"/>
        </w:rPr>
        <w:t>Information”</w:t>
      </w:r>
      <w:r>
        <w:rPr/>
        <w:t xml:space="preserve"> </w:t>
      </w:r>
      <w:r>
        <w:rPr>
          <w:rFonts w:ascii="Times New Roman;serif" w:hAnsi="Times New Roman;serif"/>
          <w:b w:val="false"/>
          <w:sz w:val="20"/>
        </w:rPr>
        <w:t>excludes tangible materials, including biological compounds, chemical compounds and reagents.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1.30.</w:t>
      </w:r>
    </w:p>
    <w:p>
      <w:pPr>
        <w:pStyle w:val="TextBody"/>
        <w:bidi w:val="0"/>
        <w:spacing w:before="0" w:after="120"/>
        <w:jc w:val="both"/>
        <w:rPr/>
      </w:pPr>
      <w:r>
        <w:rPr/>
        <w:t>“</w:t>
      </w:r>
      <w:r>
        <w:rPr>
          <w:rFonts w:ascii="Times New Roman;serif" w:hAnsi="Times New Roman;serif"/>
          <w:b w:val="false"/>
          <w:i/>
          <w:sz w:val="20"/>
        </w:rPr>
        <w:t>Initial Supply”</w:t>
      </w:r>
      <w:r>
        <w:rPr/>
        <w:t xml:space="preserve"> </w:t>
      </w:r>
      <w:r>
        <w:rPr>
          <w:rFonts w:ascii="Times New Roman;serif" w:hAnsi="Times New Roman;serif"/>
          <w:b w:val="false"/>
          <w:sz w:val="20"/>
        </w:rPr>
        <w:t>has the meaning set forth in Section 6.2 (Initial Supply).</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1.31.</w:t>
      </w:r>
    </w:p>
    <w:p>
      <w:pPr>
        <w:pStyle w:val="TextBody"/>
        <w:bidi w:val="0"/>
        <w:spacing w:before="0" w:after="120"/>
        <w:jc w:val="both"/>
        <w:rPr/>
      </w:pPr>
      <w:r>
        <w:rPr/>
        <w:t>“</w:t>
      </w:r>
      <w:r>
        <w:rPr>
          <w:rFonts w:ascii="Times New Roman;serif" w:hAnsi="Times New Roman;serif"/>
          <w:b w:val="false"/>
          <w:i/>
          <w:sz w:val="20"/>
        </w:rPr>
        <w:t xml:space="preserve">Initiation” </w:t>
      </w:r>
      <w:r>
        <w:rPr>
          <w:rFonts w:ascii="Times New Roman;serif" w:hAnsi="Times New Roman;serif"/>
          <w:b w:val="false"/>
          <w:sz w:val="20"/>
        </w:rPr>
        <w:t xml:space="preserve">of a clinical trial or to </w:t>
      </w:r>
      <w:r>
        <w:rPr/>
        <w:t>“</w:t>
      </w:r>
      <w:r>
        <w:rPr>
          <w:rFonts w:ascii="Times New Roman;serif" w:hAnsi="Times New Roman;serif"/>
          <w:b w:val="false"/>
          <w:i/>
          <w:sz w:val="20"/>
        </w:rPr>
        <w:t>Initiate”</w:t>
      </w:r>
      <w:r>
        <w:rPr/>
        <w:t xml:space="preserve"> </w:t>
      </w:r>
      <w:r>
        <w:rPr>
          <w:rFonts w:ascii="Times New Roman;serif" w:hAnsi="Times New Roman;serif"/>
          <w:b w:val="false"/>
          <w:sz w:val="20"/>
        </w:rPr>
        <w:t>a clinical trial means the first dosing of a human subject with Product in such trial.</w:t>
      </w:r>
      <w:r>
        <w:rPr/>
        <w:t xml:space="preserve">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1.32.</w:t>
      </w:r>
    </w:p>
    <w:p>
      <w:pPr>
        <w:pStyle w:val="TextBody"/>
        <w:bidi w:val="0"/>
        <w:spacing w:before="0" w:after="120"/>
        <w:jc w:val="both"/>
        <w:rPr/>
      </w:pPr>
      <w:r>
        <w:rPr/>
        <w:t>“</w:t>
      </w:r>
      <w:r>
        <w:rPr>
          <w:rFonts w:ascii="Times New Roman;serif" w:hAnsi="Times New Roman;serif"/>
          <w:b w:val="false"/>
          <w:i/>
          <w:sz w:val="20"/>
        </w:rPr>
        <w:t xml:space="preserve">Joint Steering Committee” </w:t>
      </w:r>
      <w:r>
        <w:rPr>
          <w:rFonts w:ascii="Times New Roman;serif" w:hAnsi="Times New Roman;serif"/>
          <w:b w:val="false"/>
          <w:sz w:val="20"/>
        </w:rPr>
        <w:t>or</w:t>
      </w:r>
      <w:r>
        <w:rPr/>
        <w:t xml:space="preserve"> “</w:t>
      </w:r>
      <w:r>
        <w:rPr>
          <w:rFonts w:ascii="Times New Roman;serif" w:hAnsi="Times New Roman;serif"/>
          <w:b w:val="false"/>
          <w:i/>
          <w:sz w:val="20"/>
        </w:rPr>
        <w:t xml:space="preserve">JSC” </w:t>
      </w:r>
      <w:r>
        <w:rPr>
          <w:rFonts w:ascii="Times New Roman;serif" w:hAnsi="Times New Roman;serif"/>
          <w:b w:val="false"/>
          <w:sz w:val="20"/>
        </w:rPr>
        <w:t>has the meaning set forth in Section 2.1 (Joint Steering Committee).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1.33.</w:t>
      </w:r>
    </w:p>
    <w:p>
      <w:pPr>
        <w:pStyle w:val="TextBody"/>
        <w:bidi w:val="0"/>
        <w:spacing w:before="0" w:after="120"/>
        <w:jc w:val="both"/>
        <w:rPr/>
      </w:pPr>
      <w:r>
        <w:rPr/>
        <w:t>“</w:t>
      </w:r>
      <w:r>
        <w:rPr>
          <w:rFonts w:ascii="Times New Roman;serif" w:hAnsi="Times New Roman;serif"/>
          <w:b w:val="false"/>
          <w:i/>
          <w:sz w:val="20"/>
        </w:rPr>
        <w:t xml:space="preserve">Law” </w:t>
      </w:r>
      <w:r>
        <w:rPr>
          <w:rFonts w:ascii="Times New Roman;serif" w:hAnsi="Times New Roman;serif"/>
          <w:b w:val="false"/>
          <w:sz w:val="20"/>
        </w:rPr>
        <w:t>means, individually and collectively, any and all laws, ordinances, rules, directives, administrative circulars and regulations of any kind whatsoever of any Governmental Authority within the applicable jurisdiction.</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1.34.</w:t>
      </w:r>
    </w:p>
    <w:p>
      <w:pPr>
        <w:pStyle w:val="TextBody"/>
        <w:bidi w:val="0"/>
        <w:spacing w:before="0" w:after="120"/>
        <w:jc w:val="both"/>
        <w:rPr/>
      </w:pPr>
      <w:r>
        <w:rPr/>
        <w:t>“</w:t>
      </w:r>
      <w:r>
        <w:rPr>
          <w:rFonts w:ascii="Times New Roman;serif" w:hAnsi="Times New Roman;serif"/>
          <w:b w:val="false"/>
          <w:i/>
          <w:sz w:val="20"/>
        </w:rPr>
        <w:t>Licensed Information”</w:t>
      </w:r>
      <w:r>
        <w:rPr/>
        <w:t xml:space="preserve"> </w:t>
      </w:r>
      <w:r>
        <w:rPr>
          <w:rFonts w:ascii="Times New Roman;serif" w:hAnsi="Times New Roman;serif"/>
          <w:b w:val="false"/>
          <w:sz w:val="20"/>
        </w:rPr>
        <w:t>means all Information in Celltrion’s Control, as of the Effective Date or thereafter during the Term, including without limitation information in the investigational brochure for Drug, information in Regulatory Filings, information related to Drug manufacturing or the Chemistry, Manufacturing and Controls section (or the equivalent) of Regulatory Filings, safety and pharmacovigilance data and other information, related to Drug and reasonably necessary for the manufacture, development and/or commercialization of Product, including without limitation the preparation of Regulatory Filings and seeking to obtain Regulatory Approvals for Product.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1.35.</w:t>
      </w:r>
    </w:p>
    <w:p>
      <w:pPr>
        <w:pStyle w:val="TextBody"/>
        <w:bidi w:val="0"/>
        <w:spacing w:before="0" w:after="120"/>
        <w:jc w:val="both"/>
        <w:rPr/>
      </w:pPr>
      <w:r>
        <w:rPr/>
        <w:t>“</w:t>
      </w:r>
      <w:r>
        <w:rPr>
          <w:rFonts w:ascii="Times New Roman;serif" w:hAnsi="Times New Roman;serif"/>
          <w:b w:val="false"/>
          <w:i/>
          <w:sz w:val="20"/>
        </w:rPr>
        <w:t>Licensed IP”</w:t>
      </w:r>
      <w:r>
        <w:rPr/>
        <w:t xml:space="preserve"> </w:t>
      </w:r>
      <w:r>
        <w:rPr>
          <w:rFonts w:ascii="Times New Roman;serif" w:hAnsi="Times New Roman;serif"/>
          <w:b w:val="false"/>
          <w:sz w:val="20"/>
        </w:rPr>
        <w:t>means all Licensed Patents, Licensed Know-How and other intellectual property in Celltrion’s Control, as of the Effective Date or thereafter during the Term, (i) relating to Drug, including without limitation methods of use thereof, or (ii) that is necessary or useful for the development (including regulatory activities), manufacture and/or commercialization of Product in the Territory.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1.36.</w:t>
      </w:r>
    </w:p>
    <w:p>
      <w:pPr>
        <w:pStyle w:val="TextBody"/>
        <w:bidi w:val="0"/>
        <w:spacing w:before="0" w:after="120"/>
        <w:jc w:val="both"/>
        <w:rPr/>
      </w:pPr>
      <w:r>
        <w:rPr/>
        <w:t>“</w:t>
      </w:r>
      <w:r>
        <w:rPr>
          <w:rFonts w:ascii="Times New Roman;serif" w:hAnsi="Times New Roman;serif"/>
          <w:b w:val="false"/>
          <w:i/>
          <w:sz w:val="20"/>
        </w:rPr>
        <w:t>Licensed Know-How”</w:t>
      </w:r>
      <w:r>
        <w:rPr/>
        <w:t xml:space="preserve"> </w:t>
      </w:r>
      <w:r>
        <w:rPr>
          <w:rFonts w:ascii="Times New Roman;serif" w:hAnsi="Times New Roman;serif"/>
          <w:b w:val="false"/>
          <w:sz w:val="20"/>
        </w:rPr>
        <w:t xml:space="preserve">means Information in Celltrion’s Control, as of the Effective Date or thereafter during the Term, that is necessary or useful for the development (including regulatory activities), manufacture and/or commercialization of Product in the Territory. Licensed Know-How will include Licensed Information.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1.37.</w:t>
      </w:r>
    </w:p>
    <w:p>
      <w:pPr>
        <w:pStyle w:val="TextBody"/>
        <w:bidi w:val="0"/>
        <w:spacing w:before="0" w:after="120"/>
        <w:jc w:val="both"/>
        <w:rPr/>
      </w:pPr>
      <w:r>
        <w:rPr/>
        <w:t>“</w:t>
      </w:r>
      <w:r>
        <w:rPr>
          <w:rFonts w:ascii="Times New Roman;serif" w:hAnsi="Times New Roman;serif"/>
          <w:b w:val="false"/>
          <w:i/>
          <w:sz w:val="20"/>
        </w:rPr>
        <w:t xml:space="preserve">Licensed Patents” </w:t>
      </w:r>
      <w:r>
        <w:rPr>
          <w:rFonts w:ascii="Times New Roman;serif" w:hAnsi="Times New Roman;serif"/>
          <w:b w:val="false"/>
          <w:sz w:val="20"/>
        </w:rPr>
        <w:t xml:space="preserve">means all Patents in Celltrion’s Control, as of the Effective Date or thereafter during the Term, that (i) would (absent the licenses granted herein) be infringed by the use, sale, offer for sale, importation or other exploitation of Product in the Territory or (ii) would be necessary or useful for the development (including regulatory activities), manufacture and/or commercialization of Product in the Territory. For purposes of determining whether a patent application falls within clause (i) of this definition, a patent application shall be considered “infringed” if its pending claims would be infringed if issued as then currently set forth in the patent application.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1.38.</w:t>
      </w:r>
    </w:p>
    <w:p>
      <w:pPr>
        <w:pStyle w:val="TextBody"/>
        <w:bidi w:val="0"/>
        <w:spacing w:before="0" w:after="120"/>
        <w:jc w:val="both"/>
        <w:rPr/>
      </w:pPr>
      <w:r>
        <w:rPr/>
        <w:t>“</w:t>
      </w:r>
      <w:r>
        <w:rPr>
          <w:rFonts w:ascii="Times New Roman;serif" w:hAnsi="Times New Roman;serif"/>
          <w:b w:val="false"/>
          <w:i/>
          <w:sz w:val="20"/>
        </w:rPr>
        <w:t xml:space="preserve">Losses” </w:t>
      </w:r>
      <w:r>
        <w:rPr>
          <w:rFonts w:ascii="Times New Roman;serif" w:hAnsi="Times New Roman;serif"/>
          <w:b w:val="false"/>
          <w:sz w:val="20"/>
        </w:rPr>
        <w:t>has the meaning set forth in Section 12.1.1 (Rani Indemnity).</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1.39.</w:t>
      </w:r>
    </w:p>
    <w:p>
      <w:pPr>
        <w:pStyle w:val="TextBody"/>
        <w:bidi w:val="0"/>
        <w:spacing w:before="0" w:after="120"/>
        <w:jc w:val="both"/>
        <w:rPr/>
      </w:pPr>
      <w:r>
        <w:rPr/>
        <w:t>“</w:t>
      </w:r>
      <w:r>
        <w:rPr>
          <w:rFonts w:ascii="Times New Roman;serif" w:hAnsi="Times New Roman;serif"/>
          <w:b w:val="false"/>
          <w:i/>
          <w:sz w:val="20"/>
        </w:rPr>
        <w:t>Notice”</w:t>
      </w:r>
      <w:r>
        <w:rPr/>
        <w:t xml:space="preserve"> </w:t>
      </w:r>
      <w:r>
        <w:rPr>
          <w:rFonts w:ascii="Times New Roman;serif" w:hAnsi="Times New Roman;serif"/>
          <w:b w:val="false"/>
          <w:sz w:val="20"/>
        </w:rPr>
        <w:t>has the meaning set forth in Section 6.4.4 (Non-Conforming DP/DS).</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1.40.</w:t>
      </w:r>
    </w:p>
    <w:p>
      <w:pPr>
        <w:pStyle w:val="TextBody"/>
        <w:bidi w:val="0"/>
        <w:spacing w:before="0" w:after="120"/>
        <w:jc w:val="both"/>
        <w:rPr/>
      </w:pPr>
      <w:r>
        <w:rPr/>
        <w:t>“</w:t>
      </w:r>
      <w:r>
        <w:rPr>
          <w:rFonts w:ascii="Times New Roman;serif" w:hAnsi="Times New Roman;serif"/>
          <w:b w:val="false"/>
          <w:i/>
          <w:sz w:val="20"/>
        </w:rPr>
        <w:t>Order</w:t>
      </w:r>
      <w:r>
        <w:rPr/>
        <w:t xml:space="preserve">” </w:t>
      </w:r>
      <w:r>
        <w:rPr>
          <w:rFonts w:ascii="Times New Roman;serif" w:hAnsi="Times New Roman;serif"/>
          <w:b w:val="false"/>
          <w:sz w:val="20"/>
        </w:rPr>
        <w:t>has the meaning set forth in Section 6.3.2 (Orders).</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3</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1.41.</w:t>
      </w:r>
    </w:p>
    <w:p>
      <w:pPr>
        <w:pStyle w:val="TextBody"/>
        <w:bidi w:val="0"/>
        <w:spacing w:before="0" w:after="120"/>
        <w:jc w:val="both"/>
        <w:rPr/>
      </w:pPr>
      <w:r>
        <w:rPr/>
        <w:t>“</w:t>
      </w:r>
      <w:r>
        <w:rPr>
          <w:rFonts w:ascii="Times New Roman;serif" w:hAnsi="Times New Roman;serif"/>
          <w:b w:val="false"/>
          <w:i/>
          <w:sz w:val="20"/>
        </w:rPr>
        <w:t>Order Date”</w:t>
      </w:r>
      <w:r>
        <w:rPr/>
        <w:t xml:space="preserve"> </w:t>
      </w:r>
      <w:r>
        <w:rPr>
          <w:rFonts w:ascii="Times New Roman;serif" w:hAnsi="Times New Roman;serif"/>
          <w:b w:val="false"/>
          <w:sz w:val="20"/>
        </w:rPr>
        <w:t>means the date Rani places the Order for Initial Supply pursuant to Section 6.2 (Initial Supply).</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1.42.</w:t>
      </w:r>
    </w:p>
    <w:p>
      <w:pPr>
        <w:pStyle w:val="TextBody"/>
        <w:bidi w:val="0"/>
        <w:spacing w:before="0" w:after="120"/>
        <w:jc w:val="both"/>
        <w:rPr/>
      </w:pPr>
      <w:r>
        <w:rPr/>
        <w:t>“</w:t>
      </w:r>
      <w:r>
        <w:rPr>
          <w:rFonts w:ascii="Times New Roman;serif" w:hAnsi="Times New Roman;serif"/>
          <w:b w:val="false"/>
          <w:i/>
          <w:sz w:val="20"/>
        </w:rPr>
        <w:t xml:space="preserve">Party” </w:t>
      </w:r>
      <w:r>
        <w:rPr>
          <w:rFonts w:ascii="Times New Roman;serif" w:hAnsi="Times New Roman;serif"/>
          <w:b w:val="false"/>
          <w:sz w:val="20"/>
        </w:rPr>
        <w:t xml:space="preserve">or </w:t>
      </w:r>
      <w:r>
        <w:rPr/>
        <w:t>“</w:t>
      </w:r>
      <w:r>
        <w:rPr>
          <w:rFonts w:ascii="Times New Roman;serif" w:hAnsi="Times New Roman;serif"/>
          <w:b w:val="false"/>
          <w:i/>
          <w:sz w:val="20"/>
        </w:rPr>
        <w:t xml:space="preserve">Parties” </w:t>
      </w:r>
      <w:r>
        <w:rPr>
          <w:rFonts w:ascii="Times New Roman;serif" w:hAnsi="Times New Roman;serif"/>
          <w:b w:val="false"/>
          <w:sz w:val="20"/>
        </w:rPr>
        <w:t>has the meaning set forth in the Preamble.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1.43.</w:t>
      </w:r>
    </w:p>
    <w:p>
      <w:pPr>
        <w:pStyle w:val="TextBody"/>
        <w:bidi w:val="0"/>
        <w:spacing w:before="0" w:after="120"/>
        <w:jc w:val="both"/>
        <w:rPr/>
      </w:pPr>
      <w:r>
        <w:rPr/>
        <w:t>“</w:t>
      </w:r>
      <w:r>
        <w:rPr>
          <w:rFonts w:ascii="Times New Roman;serif" w:hAnsi="Times New Roman;serif"/>
          <w:b w:val="false"/>
          <w:i/>
          <w:sz w:val="20"/>
        </w:rPr>
        <w:t>Patent”</w:t>
      </w:r>
      <w:r>
        <w:rPr/>
        <w:t xml:space="preserve"> </w:t>
      </w:r>
      <w:r>
        <w:rPr>
          <w:rFonts w:ascii="Times New Roman;serif" w:hAnsi="Times New Roman;serif"/>
          <w:b w:val="false"/>
          <w:sz w:val="20"/>
        </w:rPr>
        <w:t>means any of the following, whether existing now or in the future, anywhere in the world: (i) any patents and patent applications (including provisional applications); (ii) any patent applications filed either from such patents or patent applications (including provisional applications) or from an application claiming priority from either of these, including continuations, continuations-in-part, divisionals, converted provisionals, continued prosecution applications, and substitute applications; (iii) any patents issued based on or claiming priority to any such patent applications in (i) and (ii); (iv) any and all extensions or restorations by existing or future extension or restoration mechanisms, including adjustments, revalidations, renewals, reissues, re-examinations and extensions (including any supplementary protection certificates and the like) of the foregoing patents or patent applications in (i), (ii) and (iii); and (v) any similar rights, including so-called pipeline protection, or any importation, revalidation, confirmation or introduction patent or registration patent or patents of addition to any of such foregoing patents or patent applications.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1.44.</w:t>
      </w:r>
    </w:p>
    <w:p>
      <w:pPr>
        <w:pStyle w:val="TextBody"/>
        <w:bidi w:val="0"/>
        <w:spacing w:before="0" w:after="120"/>
        <w:jc w:val="both"/>
        <w:rPr/>
      </w:pPr>
      <w:r>
        <w:rPr/>
        <w:t>“</w:t>
      </w:r>
      <w:r>
        <w:rPr>
          <w:rFonts w:ascii="Times New Roman;serif" w:hAnsi="Times New Roman;serif"/>
          <w:b w:val="false"/>
          <w:i/>
          <w:sz w:val="20"/>
        </w:rPr>
        <w:t xml:space="preserve">Person” </w:t>
      </w:r>
      <w:r>
        <w:rPr>
          <w:rFonts w:ascii="Times New Roman;serif" w:hAnsi="Times New Roman;serif"/>
          <w:b w:val="false"/>
          <w:sz w:val="20"/>
        </w:rPr>
        <w:t>means an individual, corporation, partnership, limited liability company, limited partnership, trust, business trust, association, joint stock company, joint venture, pool, syndicate, “group” as defined in Section 13(d)(3) of the U.S. Securities Exchange Act of 1934, as amended, sole proprietorship, unincorporated organization, Governmental Authority or any other form of entity not specifically listed herein.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1.45.</w:t>
      </w:r>
    </w:p>
    <w:p>
      <w:pPr>
        <w:pStyle w:val="TextBody"/>
        <w:bidi w:val="0"/>
        <w:spacing w:before="0" w:after="120"/>
        <w:jc w:val="both"/>
        <w:rPr/>
      </w:pPr>
      <w:r>
        <w:rPr/>
        <w:t>“</w:t>
      </w:r>
      <w:r>
        <w:rPr>
          <w:rFonts w:ascii="Times New Roman;serif" w:hAnsi="Times New Roman;serif"/>
          <w:b w:val="false"/>
          <w:i/>
          <w:sz w:val="20"/>
        </w:rPr>
        <w:t xml:space="preserve">Phase 1 Data” </w:t>
      </w:r>
      <w:r>
        <w:rPr>
          <w:rFonts w:ascii="Times New Roman;serif" w:hAnsi="Times New Roman;serif"/>
          <w:b w:val="false"/>
          <w:sz w:val="20"/>
        </w:rPr>
        <w:t>has the meaning set forth in Section 5.1 (Right of First Negotiation).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1.46.</w:t>
      </w:r>
    </w:p>
    <w:p>
      <w:pPr>
        <w:pStyle w:val="TextBody"/>
        <w:bidi w:val="0"/>
        <w:spacing w:before="0" w:after="120"/>
        <w:jc w:val="both"/>
        <w:rPr/>
      </w:pPr>
      <w:r>
        <w:rPr/>
        <w:t>“</w:t>
      </w:r>
      <w:r>
        <w:rPr>
          <w:rFonts w:ascii="Times New Roman;serif" w:hAnsi="Times New Roman;serif"/>
          <w:b w:val="false"/>
          <w:i/>
          <w:sz w:val="20"/>
        </w:rPr>
        <w:t>Phase 1 Trial”</w:t>
      </w:r>
      <w:r>
        <w:rPr/>
        <w:t xml:space="preserve"> </w:t>
      </w:r>
      <w:r>
        <w:rPr>
          <w:rFonts w:ascii="Times New Roman;serif" w:hAnsi="Times New Roman;serif"/>
          <w:b w:val="false"/>
          <w:sz w:val="20"/>
        </w:rPr>
        <w:t>means, with respect to the United States, any human clinical trial, the principal purpose of which is preliminary determination of safety in healthy individuals or patients as required under 21 C.F.R. §312.21(a), or, with respect to a jurisdiction other than the United States, an equivalent clinical study</w:t>
      </w:r>
      <w:r>
        <w:rPr>
          <w:rFonts w:ascii="Times New Roman;serif" w:hAnsi="Times New Roman;serif"/>
          <w:b w:val="false"/>
          <w:i/>
          <w:sz w:val="20"/>
        </w:rPr>
        <w: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1.47.</w:t>
      </w:r>
    </w:p>
    <w:p>
      <w:pPr>
        <w:pStyle w:val="TextBody"/>
        <w:bidi w:val="0"/>
        <w:spacing w:before="0" w:after="120"/>
        <w:jc w:val="both"/>
        <w:rPr/>
      </w:pPr>
      <w:r>
        <w:rPr/>
        <w:t>“</w:t>
      </w:r>
      <w:r>
        <w:rPr>
          <w:rFonts w:ascii="Times New Roman;serif" w:hAnsi="Times New Roman;serif"/>
          <w:b w:val="false"/>
          <w:i/>
          <w:sz w:val="20"/>
        </w:rPr>
        <w:t>Phase 2 Trial”</w:t>
      </w:r>
      <w:r>
        <w:rPr/>
        <w:t xml:space="preserve"> </w:t>
      </w:r>
      <w:r>
        <w:rPr>
          <w:rFonts w:ascii="Times New Roman;serif" w:hAnsi="Times New Roman;serif"/>
          <w:b w:val="false"/>
          <w:sz w:val="20"/>
        </w:rPr>
        <w:t>means a human clinical trial on sufficient numbers of patients that is designed to establish the safety and preliminary efficacy of a drug for its intended use, and that satisfies the requirements of 21 CFR 312.21(b) (or its successor regulation), or, with respect to a jurisdiction other than the United States, an equivalent clinical study.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1.48.</w:t>
      </w:r>
    </w:p>
    <w:p>
      <w:pPr>
        <w:pStyle w:val="TextBody"/>
        <w:bidi w:val="0"/>
        <w:spacing w:before="0" w:after="120"/>
        <w:jc w:val="both"/>
        <w:rPr/>
      </w:pPr>
      <w:r>
        <w:rPr/>
        <w:t>“</w:t>
      </w:r>
      <w:r>
        <w:rPr>
          <w:rFonts w:ascii="Times New Roman;serif" w:hAnsi="Times New Roman;serif"/>
          <w:b w:val="false"/>
          <w:i/>
          <w:sz w:val="20"/>
        </w:rPr>
        <w:t xml:space="preserve">Phase 3 Trial” </w:t>
      </w:r>
      <w:r>
        <w:rPr>
          <w:rFonts w:ascii="Times New Roman;serif" w:hAnsi="Times New Roman;serif"/>
          <w:b w:val="false"/>
          <w:sz w:val="20"/>
        </w:rPr>
        <w:t>means a human clinical trial of sufficient numbers of patients that, if the defined end-points are met, is intended to be a pivotal trial for obtaining Regulatory Approval or otherwise intended to supplement existing data on the drug and thereby establish that a drug is sufficiently safe and efficacious for its intended use for the purposes of obtaining Regulatory Approval, and that satisfies the requirements of 21 CFR 312.21(c), or, with respect to a jurisdiction other than the United States, an equivalent clinical study.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1.49.</w:t>
      </w:r>
    </w:p>
    <w:p>
      <w:pPr>
        <w:pStyle w:val="TextBody"/>
        <w:bidi w:val="0"/>
        <w:spacing w:before="0" w:after="120"/>
        <w:jc w:val="both"/>
        <w:rPr/>
      </w:pPr>
      <w:r>
        <w:rPr/>
        <w:t>“</w:t>
      </w:r>
      <w:r>
        <w:rPr>
          <w:rFonts w:ascii="Times New Roman;serif" w:hAnsi="Times New Roman;serif"/>
          <w:b w:val="false"/>
          <w:i/>
          <w:sz w:val="20"/>
        </w:rPr>
        <w:t>Product”</w:t>
      </w:r>
      <w:r>
        <w:rPr/>
        <w:t xml:space="preserve"> </w:t>
      </w:r>
      <w:r>
        <w:rPr>
          <w:rFonts w:ascii="Times New Roman;serif" w:hAnsi="Times New Roman;serif"/>
          <w:b w:val="false"/>
          <w:sz w:val="20"/>
        </w:rPr>
        <w:t>means an orally-administered therapeutic product using Rani Oral Delivery Technology and containing adalimumab as the sole therapeutic agent.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1.50.</w:t>
      </w:r>
    </w:p>
    <w:p>
      <w:pPr>
        <w:pStyle w:val="TextBody"/>
        <w:bidi w:val="0"/>
        <w:spacing w:before="0" w:after="120"/>
        <w:jc w:val="both"/>
        <w:rPr/>
      </w:pPr>
      <w:r>
        <w:rPr/>
        <w:t>“</w:t>
      </w:r>
      <w:r>
        <w:rPr>
          <w:rFonts w:ascii="Times New Roman;serif" w:hAnsi="Times New Roman;serif"/>
          <w:b w:val="false"/>
          <w:i/>
          <w:sz w:val="20"/>
        </w:rPr>
        <w:t>Program Data”</w:t>
      </w:r>
      <w:r>
        <w:rPr/>
        <w:t xml:space="preserve"> </w:t>
      </w:r>
      <w:r>
        <w:rPr>
          <w:rFonts w:ascii="Times New Roman;serif" w:hAnsi="Times New Roman;serif"/>
          <w:b w:val="false"/>
          <w:sz w:val="20"/>
        </w:rPr>
        <w:t>has the meaning set forth in Section 8.5 (Program Data).</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1.51.</w:t>
      </w:r>
    </w:p>
    <w:p>
      <w:pPr>
        <w:pStyle w:val="TextBody"/>
        <w:bidi w:val="0"/>
        <w:spacing w:before="0" w:after="120"/>
        <w:jc w:val="both"/>
        <w:rPr/>
      </w:pPr>
      <w:r>
        <w:rPr/>
        <w:t>“</w:t>
      </w:r>
      <w:r>
        <w:rPr>
          <w:rFonts w:ascii="Times New Roman;serif" w:hAnsi="Times New Roman;serif"/>
          <w:b w:val="false"/>
          <w:i/>
          <w:sz w:val="20"/>
        </w:rPr>
        <w:t>Program Inventions”</w:t>
      </w:r>
      <w:r>
        <w:rPr/>
        <w:t xml:space="preserve"> </w:t>
      </w:r>
      <w:r>
        <w:rPr>
          <w:rFonts w:ascii="Times New Roman;serif" w:hAnsi="Times New Roman;serif"/>
          <w:b w:val="false"/>
          <w:sz w:val="20"/>
        </w:rPr>
        <w:t>means inventions generated in performance of this Agreement for the manufacture, development and commercialization of Product.</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1.52.</w:t>
      </w:r>
    </w:p>
    <w:p>
      <w:pPr>
        <w:pStyle w:val="TextBody"/>
        <w:bidi w:val="0"/>
        <w:spacing w:before="0" w:after="120"/>
        <w:jc w:val="both"/>
        <w:rPr/>
      </w:pPr>
      <w:r>
        <w:rPr/>
        <w:t>“</w:t>
      </w:r>
      <w:r>
        <w:rPr>
          <w:rFonts w:ascii="Times New Roman;serif" w:hAnsi="Times New Roman;serif"/>
          <w:b w:val="false"/>
          <w:i/>
          <w:sz w:val="20"/>
        </w:rPr>
        <w:t>Quality Agreement</w:t>
      </w:r>
      <w:r>
        <w:rPr/>
        <w:t xml:space="preserve">” </w:t>
      </w:r>
      <w:r>
        <w:rPr>
          <w:rFonts w:ascii="Times New Roman;serif" w:hAnsi="Times New Roman;serif"/>
          <w:b w:val="false"/>
          <w:sz w:val="20"/>
        </w:rPr>
        <w:t xml:space="preserve">means a Quality Agreement entered into between the Parties related to the manufacture and supply of Drug Product and/or Drug Substance, as contemplated by Section 6.6 (Quality Agreement).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1.53.</w:t>
      </w:r>
    </w:p>
    <w:p>
      <w:pPr>
        <w:pStyle w:val="TextBody"/>
        <w:bidi w:val="0"/>
        <w:spacing w:before="0" w:after="120"/>
        <w:jc w:val="both"/>
        <w:rPr/>
      </w:pPr>
      <w:r>
        <w:rPr/>
        <w:t>“</w:t>
      </w:r>
      <w:r>
        <w:rPr>
          <w:rFonts w:ascii="Times New Roman;serif" w:hAnsi="Times New Roman;serif"/>
          <w:b w:val="false"/>
          <w:i/>
          <w:sz w:val="20"/>
        </w:rPr>
        <w:t xml:space="preserve">Rani” </w:t>
      </w:r>
      <w:r>
        <w:rPr>
          <w:rFonts w:ascii="Times New Roman;serif" w:hAnsi="Times New Roman;serif"/>
          <w:b w:val="false"/>
          <w:sz w:val="20"/>
        </w:rPr>
        <w:t>has the meaning set forth in the Preamble.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1.54.</w:t>
      </w:r>
    </w:p>
    <w:p>
      <w:pPr>
        <w:pStyle w:val="TextBody"/>
        <w:bidi w:val="0"/>
        <w:spacing w:before="0" w:after="120"/>
        <w:jc w:val="both"/>
        <w:rPr/>
      </w:pPr>
      <w:r>
        <w:rPr/>
        <w:t>“</w:t>
      </w:r>
      <w:r>
        <w:rPr>
          <w:rFonts w:ascii="Times New Roman;serif" w:hAnsi="Times New Roman;serif"/>
          <w:b w:val="false"/>
          <w:i/>
          <w:sz w:val="20"/>
        </w:rPr>
        <w:t xml:space="preserve">Rani Indemnitees” </w:t>
      </w:r>
      <w:r>
        <w:rPr>
          <w:rFonts w:ascii="Times New Roman;serif" w:hAnsi="Times New Roman;serif"/>
          <w:b w:val="false"/>
          <w:sz w:val="20"/>
        </w:rPr>
        <w:t>has the meaning set forth in Section 12.1.2 (Celltrion Indemnity).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1.55.</w:t>
      </w:r>
    </w:p>
    <w:p>
      <w:pPr>
        <w:pStyle w:val="TextBody"/>
        <w:bidi w:val="0"/>
        <w:spacing w:before="0" w:after="120"/>
        <w:jc w:val="both"/>
        <w:rPr/>
      </w:pPr>
      <w:r>
        <w:rPr/>
        <w:t>“</w:t>
      </w:r>
      <w:r>
        <w:rPr>
          <w:rFonts w:ascii="Times New Roman;serif" w:hAnsi="Times New Roman;serif"/>
          <w:b w:val="false"/>
          <w:i/>
          <w:sz w:val="20"/>
        </w:rPr>
        <w:t>Rani Oral Delivery Technology”</w:t>
      </w:r>
      <w:r>
        <w:rPr/>
        <w:t xml:space="preserve"> </w:t>
      </w:r>
      <w:r>
        <w:rPr>
          <w:rFonts w:ascii="Times New Roman;serif" w:hAnsi="Times New Roman;serif"/>
          <w:b w:val="false"/>
          <w:sz w:val="20"/>
        </w:rPr>
        <w:t>means oral delivery technology Controlled by Rani or its Affiliates, including the RaniPill</w:t>
      </w:r>
      <w:r>
        <w:rPr>
          <w:rFonts w:ascii="Times New Roman;serif" w:hAnsi="Times New Roman;serif"/>
          <w:b w:val="false"/>
          <w:sz w:val="13"/>
        </w:rPr>
        <w:t>TM</w:t>
      </w:r>
      <w:r>
        <w:rPr/>
        <w:t xml:space="preserve"> </w:t>
      </w:r>
      <w:r>
        <w:rPr>
          <w:rFonts w:ascii="Times New Roman;serif" w:hAnsi="Times New Roman;serif"/>
          <w:b w:val="false"/>
          <w:sz w:val="20"/>
        </w:rPr>
        <w:t>capsule devices (including the RaniPill HC) for the oral delivery of therapeutic molecules, microtablet formulation technology, and any improvements thereto.</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1.56.</w:t>
      </w:r>
    </w:p>
    <w:p>
      <w:pPr>
        <w:pStyle w:val="TextBody"/>
        <w:bidi w:val="0"/>
        <w:spacing w:before="0" w:after="120"/>
        <w:jc w:val="both"/>
        <w:rPr/>
      </w:pPr>
      <w:r>
        <w:rPr/>
        <w:t>“</w:t>
      </w:r>
      <w:r>
        <w:rPr>
          <w:rFonts w:ascii="Times New Roman;serif" w:hAnsi="Times New Roman;serif"/>
          <w:b w:val="false"/>
          <w:i/>
          <w:sz w:val="20"/>
        </w:rPr>
        <w:t>Rani Territory”</w:t>
      </w:r>
      <w:r>
        <w:rPr/>
        <w:t xml:space="preserve"> </w:t>
      </w:r>
      <w:r>
        <w:rPr>
          <w:rFonts w:ascii="Times New Roman;serif" w:hAnsi="Times New Roman;serif"/>
          <w:b w:val="false"/>
          <w:sz w:val="20"/>
        </w:rPr>
        <w:t>means the entire world other than the ROFN Territory.</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4</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1.57.</w:t>
      </w:r>
    </w:p>
    <w:p>
      <w:pPr>
        <w:pStyle w:val="TextBody"/>
        <w:bidi w:val="0"/>
        <w:spacing w:before="0" w:after="120"/>
        <w:jc w:val="both"/>
        <w:rPr/>
      </w:pPr>
      <w:r>
        <w:rPr/>
        <w:t>“</w:t>
      </w:r>
      <w:r>
        <w:rPr>
          <w:rFonts w:ascii="Times New Roman;serif" w:hAnsi="Times New Roman;serif"/>
          <w:b w:val="false"/>
          <w:i/>
          <w:sz w:val="20"/>
        </w:rPr>
        <w:t>Receiving Party</w:t>
      </w:r>
      <w:r>
        <w:rPr/>
        <w:t xml:space="preserve">” </w:t>
      </w:r>
      <w:r>
        <w:rPr>
          <w:rFonts w:ascii="Times New Roman;serif" w:hAnsi="Times New Roman;serif"/>
          <w:b w:val="false"/>
          <w:sz w:val="20"/>
        </w:rPr>
        <w:t>shall mean a Party that receives Confidential Information from the other Party under this Agreement.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1.58.</w:t>
      </w:r>
    </w:p>
    <w:p>
      <w:pPr>
        <w:pStyle w:val="TextBody"/>
        <w:bidi w:val="0"/>
        <w:spacing w:before="0" w:after="120"/>
        <w:jc w:val="both"/>
        <w:rPr/>
      </w:pPr>
      <w:r>
        <w:rPr/>
        <w:t>“</w:t>
      </w:r>
      <w:r>
        <w:rPr>
          <w:rFonts w:ascii="Times New Roman;serif" w:hAnsi="Times New Roman;serif"/>
          <w:b w:val="false"/>
          <w:i/>
          <w:sz w:val="20"/>
        </w:rPr>
        <w:t>Regulatory Approval”</w:t>
      </w:r>
      <w:r>
        <w:rPr/>
        <w:t xml:space="preserve"> </w:t>
      </w:r>
      <w:r>
        <w:rPr>
          <w:rFonts w:ascii="Times New Roman;serif" w:hAnsi="Times New Roman;serif"/>
          <w:b w:val="false"/>
          <w:sz w:val="20"/>
        </w:rPr>
        <w:t>means, with respect to a given therapeutic product, the product-specific approvals, licenses, permits, certifications, registrations or authorizations from Governmental Authorities necessary under applicable Law for the commercial distribution, manufacture, marketing and sale of such product in a country or some or all of an extra-national territory.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1.59.</w:t>
      </w:r>
    </w:p>
    <w:p>
      <w:pPr>
        <w:pStyle w:val="TextBody"/>
        <w:bidi w:val="0"/>
        <w:spacing w:before="0" w:after="120"/>
        <w:jc w:val="both"/>
        <w:rPr/>
      </w:pPr>
      <w:r>
        <w:rPr/>
        <w:t>“</w:t>
      </w:r>
      <w:r>
        <w:rPr>
          <w:rFonts w:ascii="Times New Roman;serif" w:hAnsi="Times New Roman;serif"/>
          <w:b w:val="false"/>
          <w:i/>
          <w:sz w:val="20"/>
        </w:rPr>
        <w:t xml:space="preserve">Regulatory Filing” </w:t>
      </w:r>
      <w:r>
        <w:rPr>
          <w:rFonts w:ascii="Times New Roman;serif" w:hAnsi="Times New Roman;serif"/>
          <w:b w:val="false"/>
          <w:sz w:val="20"/>
        </w:rPr>
        <w:t>means a filing with any Governmental Authority with respect to the development, manufacture, marketing, commercialization or reimbursement of a therapeutic product.</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1.60.</w:t>
      </w:r>
    </w:p>
    <w:p>
      <w:pPr>
        <w:pStyle w:val="TextBody"/>
        <w:bidi w:val="0"/>
        <w:spacing w:before="0" w:after="120"/>
        <w:jc w:val="both"/>
        <w:rPr/>
      </w:pPr>
      <w:r>
        <w:rPr/>
        <w:t>“</w:t>
      </w:r>
      <w:r>
        <w:rPr>
          <w:rFonts w:ascii="Times New Roman;serif" w:hAnsi="Times New Roman;serif"/>
          <w:b w:val="false"/>
          <w:i/>
          <w:sz w:val="20"/>
        </w:rPr>
        <w:t xml:space="preserve">ROFN” </w:t>
      </w:r>
      <w:r>
        <w:rPr>
          <w:rFonts w:ascii="Times New Roman;serif" w:hAnsi="Times New Roman;serif"/>
          <w:b w:val="false"/>
          <w:sz w:val="20"/>
        </w:rPr>
        <w:t>means the right of first negotiation as set forth in Section 5.1 (Right of First Negotiation).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1.61.</w:t>
      </w:r>
    </w:p>
    <w:p>
      <w:pPr>
        <w:pStyle w:val="TextBody"/>
        <w:bidi w:val="0"/>
        <w:spacing w:before="0" w:after="120"/>
        <w:jc w:val="both"/>
        <w:rPr/>
      </w:pPr>
      <w:r>
        <w:rPr/>
        <w:t>“</w:t>
      </w:r>
      <w:r>
        <w:rPr>
          <w:rFonts w:ascii="Times New Roman;serif" w:hAnsi="Times New Roman;serif"/>
          <w:b w:val="false"/>
          <w:i/>
          <w:sz w:val="20"/>
        </w:rPr>
        <w:t>ROFN Exercise Date”</w:t>
      </w:r>
      <w:r>
        <w:rPr/>
        <w:t xml:space="preserve"> </w:t>
      </w:r>
      <w:r>
        <w:rPr>
          <w:rFonts w:ascii="Times New Roman;serif" w:hAnsi="Times New Roman;serif"/>
          <w:b w:val="false"/>
          <w:sz w:val="20"/>
        </w:rPr>
        <w:t>means the date on which Celltrion has delivered to Rani a ROFN Exercise Notice in accordance with Section 5.1 (Right of First Negotiation).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1.62.</w:t>
      </w:r>
    </w:p>
    <w:p>
      <w:pPr>
        <w:pStyle w:val="TextBody"/>
        <w:bidi w:val="0"/>
        <w:spacing w:before="0" w:after="120"/>
        <w:jc w:val="both"/>
        <w:rPr/>
      </w:pPr>
      <w:r>
        <w:rPr/>
        <w:t>“</w:t>
      </w:r>
      <w:r>
        <w:rPr>
          <w:rFonts w:ascii="Times New Roman;serif" w:hAnsi="Times New Roman;serif"/>
          <w:b w:val="false"/>
          <w:i/>
          <w:sz w:val="20"/>
        </w:rPr>
        <w:t xml:space="preserve">ROFN Exercise Notice” </w:t>
      </w:r>
      <w:r>
        <w:rPr>
          <w:rFonts w:ascii="Times New Roman;serif" w:hAnsi="Times New Roman;serif"/>
          <w:b w:val="false"/>
          <w:sz w:val="20"/>
        </w:rPr>
        <w:t>has the meaning set forth in Section 5.1 (Right of First Negotiation).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1.63.</w:t>
      </w:r>
    </w:p>
    <w:p>
      <w:pPr>
        <w:pStyle w:val="TextBody"/>
        <w:bidi w:val="0"/>
        <w:spacing w:before="0" w:after="120"/>
        <w:jc w:val="both"/>
        <w:rPr/>
      </w:pPr>
      <w:r>
        <w:rPr/>
        <w:t>“</w:t>
      </w:r>
      <w:r>
        <w:rPr>
          <w:rFonts w:ascii="Times New Roman;serif" w:hAnsi="Times New Roman;serif"/>
          <w:b w:val="false"/>
          <w:i/>
          <w:sz w:val="20"/>
        </w:rPr>
        <w:t xml:space="preserve">ROFN Exercise Period” </w:t>
      </w:r>
      <w:r>
        <w:rPr>
          <w:rFonts w:ascii="Times New Roman;serif" w:hAnsi="Times New Roman;serif"/>
          <w:b w:val="false"/>
          <w:sz w:val="20"/>
        </w:rPr>
        <w:t>has the meaning set forth in Section 5.1 (Right of First Negotiation) and, subject to Section 5.5 (End of ROFN), will expire upon the earlier of (i) the end of thirty (30) days after receipt by Celltrion of the Phase 1 Data, (ii) the ROFN Exercise Date and (iii) the date this Agreement is terminated.</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1.64.</w:t>
      </w:r>
    </w:p>
    <w:p>
      <w:pPr>
        <w:pStyle w:val="TextBody"/>
        <w:bidi w:val="0"/>
        <w:spacing w:before="0" w:after="120"/>
        <w:jc w:val="both"/>
        <w:rPr/>
      </w:pPr>
      <w:r>
        <w:rPr/>
        <w:t>“</w:t>
      </w:r>
      <w:r>
        <w:rPr>
          <w:rFonts w:ascii="Times New Roman;serif" w:hAnsi="Times New Roman;serif"/>
          <w:b w:val="false"/>
          <w:i/>
          <w:sz w:val="20"/>
        </w:rPr>
        <w:t xml:space="preserve">ROFN Negotiation Period” </w:t>
      </w:r>
      <w:r>
        <w:rPr>
          <w:rFonts w:ascii="Times New Roman;serif" w:hAnsi="Times New Roman;serif"/>
          <w:b w:val="false"/>
          <w:sz w:val="20"/>
        </w:rPr>
        <w:t>has the meaning set forth in Section 5.3 (Negotiation Period) and, subject to Section 5.5 (End of ROFN), will expire upon the earlier of (i) the end of ninety (90) days after the ROFN Exercise Date, (ii) the date the Parties enter into a definitive agreement under Section 5.4 (Definitive Agreement) and (iii) the date this Agreement is terminated.</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1.65.</w:t>
      </w:r>
    </w:p>
    <w:p>
      <w:pPr>
        <w:pStyle w:val="TextBody"/>
        <w:bidi w:val="0"/>
        <w:spacing w:before="0" w:after="120"/>
        <w:jc w:val="both"/>
        <w:rPr/>
      </w:pPr>
      <w:r>
        <w:rPr/>
        <w:t>“</w:t>
      </w:r>
      <w:r>
        <w:rPr>
          <w:rFonts w:ascii="Times New Roman;serif" w:hAnsi="Times New Roman;serif"/>
          <w:b w:val="false"/>
          <w:i/>
          <w:sz w:val="20"/>
        </w:rPr>
        <w:t xml:space="preserve">ROFN Territory” </w:t>
      </w:r>
      <w:r>
        <w:rPr>
          <w:rFonts w:ascii="Times New Roman;serif" w:hAnsi="Times New Roman;serif"/>
          <w:b w:val="false"/>
          <w:sz w:val="20"/>
        </w:rPr>
        <w:t>has the meaning set forth in Section 5.1 (Right of First Negotiation).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1.66.</w:t>
      </w:r>
    </w:p>
    <w:p>
      <w:pPr>
        <w:pStyle w:val="TextBody"/>
        <w:bidi w:val="0"/>
        <w:spacing w:before="0" w:after="120"/>
        <w:jc w:val="both"/>
        <w:rPr/>
      </w:pPr>
      <w:r>
        <w:rPr/>
        <w:t>“</w:t>
      </w:r>
      <w:r>
        <w:rPr>
          <w:rFonts w:ascii="Times New Roman;serif" w:hAnsi="Times New Roman;serif"/>
          <w:b w:val="false"/>
          <w:i/>
          <w:sz w:val="20"/>
        </w:rPr>
        <w:t>Routine In-Person Audit</w:t>
      </w:r>
      <w:r>
        <w:rPr/>
        <w:t xml:space="preserve">” </w:t>
      </w:r>
      <w:r>
        <w:rPr>
          <w:rFonts w:ascii="Times New Roman;serif" w:hAnsi="Times New Roman;serif"/>
          <w:b w:val="false"/>
          <w:sz w:val="20"/>
        </w:rPr>
        <w:t>has the meaning set forth in Section 6.7 (Rani Inspections).</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1.67.</w:t>
      </w:r>
    </w:p>
    <w:p>
      <w:pPr>
        <w:pStyle w:val="TextBody"/>
        <w:bidi w:val="0"/>
        <w:spacing w:before="0" w:after="120"/>
        <w:jc w:val="both"/>
        <w:rPr/>
      </w:pPr>
      <w:r>
        <w:rPr/>
        <w:t>“</w:t>
      </w:r>
      <w:r>
        <w:rPr>
          <w:rFonts w:ascii="Times New Roman;serif" w:hAnsi="Times New Roman;serif"/>
          <w:b w:val="false"/>
          <w:i/>
          <w:sz w:val="20"/>
        </w:rPr>
        <w:t>Specifications</w:t>
      </w:r>
      <w:r>
        <w:rPr/>
        <w:t xml:space="preserve">” </w:t>
      </w:r>
      <w:r>
        <w:rPr>
          <w:rFonts w:ascii="Times New Roman;serif" w:hAnsi="Times New Roman;serif"/>
          <w:b w:val="false"/>
          <w:sz w:val="20"/>
        </w:rPr>
        <w:t>means the product specifications and the manufacturing process approved by the European Medicines Agency (EMA), unless mutually agreed otherwise by the Parties hereunder.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1.68.</w:t>
      </w:r>
    </w:p>
    <w:p>
      <w:pPr>
        <w:pStyle w:val="TextBody"/>
        <w:bidi w:val="0"/>
        <w:spacing w:before="0" w:after="120"/>
        <w:jc w:val="both"/>
        <w:rPr/>
      </w:pPr>
      <w:r>
        <w:rPr/>
        <w:t>“</w:t>
      </w:r>
      <w:r>
        <w:rPr>
          <w:rFonts w:ascii="Times New Roman;serif" w:hAnsi="Times New Roman;serif"/>
          <w:b w:val="false"/>
          <w:i/>
          <w:sz w:val="20"/>
        </w:rPr>
        <w:t>Stage 1 Supply</w:t>
      </w:r>
      <w:r>
        <w:rPr/>
        <w:t xml:space="preserve">” </w:t>
      </w:r>
      <w:r>
        <w:rPr>
          <w:rFonts w:ascii="Times New Roman;serif" w:hAnsi="Times New Roman;serif"/>
          <w:b w:val="false"/>
          <w:sz w:val="20"/>
        </w:rPr>
        <w:t>means supply of Drug Product for use in preclinical testing and/or Phase 1 Trials.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1.69.</w:t>
      </w:r>
    </w:p>
    <w:p>
      <w:pPr>
        <w:pStyle w:val="TextBody"/>
        <w:bidi w:val="0"/>
        <w:spacing w:before="0" w:after="120"/>
        <w:jc w:val="both"/>
        <w:rPr/>
      </w:pPr>
      <w:r>
        <w:rPr/>
        <w:t>“</w:t>
      </w:r>
      <w:r>
        <w:rPr>
          <w:rFonts w:ascii="Times New Roman;serif" w:hAnsi="Times New Roman;serif"/>
          <w:b w:val="false"/>
          <w:i/>
          <w:sz w:val="20"/>
        </w:rPr>
        <w:t>Stage 2 Supply</w:t>
      </w:r>
      <w:r>
        <w:rPr/>
        <w:t xml:space="preserve">” </w:t>
      </w:r>
      <w:r>
        <w:rPr>
          <w:rFonts w:ascii="Times New Roman;serif" w:hAnsi="Times New Roman;serif"/>
          <w:b w:val="false"/>
          <w:sz w:val="20"/>
        </w:rPr>
        <w:t>means supply of Drug Substance for use in, or to support, Phase 2 Trials, Phase 3 Trials and/or late-stage pre-approval activities to support Regulatory Approval of Product.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1.70.</w:t>
      </w:r>
    </w:p>
    <w:p>
      <w:pPr>
        <w:pStyle w:val="TextBody"/>
        <w:bidi w:val="0"/>
        <w:spacing w:before="0" w:after="120"/>
        <w:jc w:val="both"/>
        <w:rPr/>
      </w:pPr>
      <w:r>
        <w:rPr/>
        <w:t>“</w:t>
      </w:r>
      <w:r>
        <w:rPr>
          <w:rFonts w:ascii="Times New Roman;serif" w:hAnsi="Times New Roman;serif"/>
          <w:b w:val="false"/>
          <w:i/>
          <w:sz w:val="20"/>
        </w:rPr>
        <w:t>Stage 3 Supply</w:t>
      </w:r>
      <w:r>
        <w:rPr/>
        <w:t xml:space="preserve">” </w:t>
      </w:r>
      <w:r>
        <w:rPr>
          <w:rFonts w:ascii="Times New Roman;serif" w:hAnsi="Times New Roman;serif"/>
          <w:b w:val="false"/>
          <w:sz w:val="20"/>
        </w:rPr>
        <w:t>means supply of Drug Substance for use in commercial Product after receipt of Regulatory Approval therefor.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1.71.</w:t>
      </w:r>
    </w:p>
    <w:p>
      <w:pPr>
        <w:pStyle w:val="TextBody"/>
        <w:bidi w:val="0"/>
        <w:spacing w:before="0" w:after="120"/>
        <w:jc w:val="both"/>
        <w:rPr/>
      </w:pPr>
      <w:r>
        <w:rPr/>
        <w:t>“</w:t>
      </w:r>
      <w:r>
        <w:rPr>
          <w:rFonts w:ascii="Times New Roman;serif" w:hAnsi="Times New Roman;serif"/>
          <w:b w:val="false"/>
          <w:i/>
          <w:sz w:val="20"/>
        </w:rPr>
        <w:t xml:space="preserve">Taxes” </w:t>
      </w:r>
      <w:r>
        <w:rPr>
          <w:rFonts w:ascii="Times New Roman;serif" w:hAnsi="Times New Roman;serif"/>
          <w:b w:val="false"/>
          <w:sz w:val="20"/>
        </w:rPr>
        <w:t>means any tax, excise or duty, other than taxes upon income.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1.72.</w:t>
      </w:r>
    </w:p>
    <w:p>
      <w:pPr>
        <w:pStyle w:val="TextBody"/>
        <w:bidi w:val="0"/>
        <w:spacing w:before="0" w:after="120"/>
        <w:jc w:val="both"/>
        <w:rPr/>
      </w:pPr>
      <w:r>
        <w:rPr/>
        <w:t>“</w:t>
      </w:r>
      <w:r>
        <w:rPr>
          <w:rFonts w:ascii="Times New Roman;serif" w:hAnsi="Times New Roman;serif"/>
          <w:b w:val="false"/>
          <w:i/>
          <w:sz w:val="20"/>
        </w:rPr>
        <w:t xml:space="preserve">Term” </w:t>
      </w:r>
      <w:r>
        <w:rPr>
          <w:rFonts w:ascii="Times New Roman;serif" w:hAnsi="Times New Roman;serif"/>
          <w:b w:val="false"/>
          <w:sz w:val="20"/>
        </w:rPr>
        <w:t>means the period beginning on the Effective Date and ending upon the termination of this Agreement pursuant to Article 13 (Term and Termination).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1.73.</w:t>
      </w:r>
    </w:p>
    <w:p>
      <w:pPr>
        <w:pStyle w:val="TextBody"/>
        <w:bidi w:val="0"/>
        <w:spacing w:before="0" w:after="120"/>
        <w:jc w:val="both"/>
        <w:rPr/>
      </w:pPr>
      <w:r>
        <w:rPr/>
        <w:t>“</w:t>
      </w:r>
      <w:r>
        <w:rPr>
          <w:rFonts w:ascii="Times New Roman;serif" w:hAnsi="Times New Roman;serif"/>
          <w:b w:val="false"/>
          <w:i/>
          <w:sz w:val="20"/>
        </w:rPr>
        <w:t>Territory”</w:t>
      </w:r>
      <w:r>
        <w:rPr/>
        <w:t xml:space="preserve"> </w:t>
      </w:r>
      <w:r>
        <w:rPr>
          <w:rFonts w:ascii="Times New Roman;serif" w:hAnsi="Times New Roman;serif"/>
          <w:b w:val="false"/>
          <w:sz w:val="20"/>
        </w:rPr>
        <w:t>means the entire world, which is divided into the ROFN Territory and the Rani Territory as set forth in Sections 5.1 and 5.3, respectively.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1.74.</w:t>
      </w:r>
    </w:p>
    <w:p>
      <w:pPr>
        <w:pStyle w:val="TextBody"/>
        <w:bidi w:val="0"/>
        <w:spacing w:before="0" w:after="120"/>
        <w:jc w:val="both"/>
        <w:rPr/>
      </w:pPr>
      <w:r>
        <w:rPr/>
        <w:t>“</w:t>
      </w:r>
      <w:r>
        <w:rPr>
          <w:rFonts w:ascii="Times New Roman;serif" w:hAnsi="Times New Roman;serif"/>
          <w:b w:val="false"/>
          <w:i/>
          <w:sz w:val="20"/>
        </w:rPr>
        <w:t>Third Party”</w:t>
      </w:r>
      <w:r>
        <w:rPr/>
        <w:t xml:space="preserve"> </w:t>
      </w:r>
      <w:r>
        <w:rPr>
          <w:rFonts w:ascii="Times New Roman;serif" w:hAnsi="Times New Roman;serif"/>
          <w:b w:val="false"/>
          <w:sz w:val="20"/>
        </w:rPr>
        <w:t>means any entity other than a Party or an Affiliate of a Party.</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1.75.</w:t>
      </w:r>
    </w:p>
    <w:p>
      <w:pPr>
        <w:pStyle w:val="TextBody"/>
        <w:bidi w:val="0"/>
        <w:spacing w:before="0" w:after="0"/>
        <w:jc w:val="both"/>
        <w:rPr/>
      </w:pPr>
      <w:r>
        <w:rPr/>
        <w:t>“</w:t>
      </w:r>
      <w:r>
        <w:rPr>
          <w:rFonts w:ascii="Times New Roman;serif" w:hAnsi="Times New Roman;serif"/>
          <w:b w:val="false"/>
          <w:i/>
          <w:sz w:val="20"/>
        </w:rPr>
        <w:t xml:space="preserve">United States” </w:t>
      </w:r>
      <w:r>
        <w:rPr>
          <w:rFonts w:ascii="Times New Roman;serif" w:hAnsi="Times New Roman;serif"/>
          <w:b w:val="false"/>
          <w:sz w:val="20"/>
        </w:rPr>
        <w:t xml:space="preserve">or </w:t>
      </w:r>
      <w:r>
        <w:rPr/>
        <w:t>“</w:t>
      </w:r>
      <w:r>
        <w:rPr>
          <w:rFonts w:ascii="Times New Roman;serif" w:hAnsi="Times New Roman;serif"/>
          <w:b w:val="false"/>
          <w:i/>
          <w:sz w:val="20"/>
        </w:rPr>
        <w:t xml:space="preserve">US” </w:t>
      </w:r>
      <w:r>
        <w:rPr>
          <w:rFonts w:ascii="Times New Roman;serif" w:hAnsi="Times New Roman;serif"/>
          <w:b w:val="false"/>
          <w:sz w:val="20"/>
        </w:rPr>
        <w:t>means the United States of America, including its territories and possessions (including the District of Columbia and Puerto Rico).</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2.</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Governance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2.1.</w:t>
      </w:r>
    </w:p>
    <w:p>
      <w:pPr>
        <w:pStyle w:val="TextBody"/>
        <w:bidi w:val="0"/>
        <w:spacing w:before="0" w:after="120"/>
        <w:jc w:val="both"/>
        <w:rPr/>
      </w:pPr>
      <w:r>
        <w:rPr>
          <w:rFonts w:ascii="Times New Roman;serif" w:hAnsi="Times New Roman;serif"/>
          <w:b w:val="false"/>
          <w:sz w:val="20"/>
          <w:u w:val="single"/>
        </w:rPr>
        <w:t>Joint Steering Committee</w:t>
      </w:r>
      <w:r>
        <w:rPr>
          <w:rFonts w:ascii="Times New Roman;serif" w:hAnsi="Times New Roman;serif"/>
          <w:b w:val="false"/>
          <w:sz w:val="20"/>
        </w:rPr>
        <w:t xml:space="preserve">. Promptly but not later than sixty (60) days following the Effective Date, the Parties will establish a joint steering committee (the </w:t>
      </w:r>
      <w:r>
        <w:rPr/>
        <w:t>“</w:t>
      </w:r>
      <w:r>
        <w:rPr>
          <w:rFonts w:ascii="Times New Roman;serif" w:hAnsi="Times New Roman;serif"/>
          <w:b w:val="false"/>
          <w:i/>
          <w:sz w:val="20"/>
        </w:rPr>
        <w:t>Joint Steering Committee”</w:t>
      </w:r>
      <w:r>
        <w:rPr/>
        <w:t xml:space="preserve"> </w:t>
      </w:r>
      <w:r>
        <w:rPr>
          <w:rFonts w:ascii="Times New Roman;serif" w:hAnsi="Times New Roman;serif"/>
          <w:b w:val="false"/>
          <w:sz w:val="20"/>
        </w:rPr>
        <w:t xml:space="preserve">or </w:t>
      </w:r>
      <w:r>
        <w:rPr/>
        <w:t>“</w:t>
      </w:r>
      <w:r>
        <w:rPr>
          <w:rFonts w:ascii="Times New Roman;serif" w:hAnsi="Times New Roman;serif"/>
          <w:b w:val="false"/>
          <w:i/>
          <w:sz w:val="20"/>
        </w:rPr>
        <w:t>JSC”</w:t>
      </w:r>
      <w:r>
        <w:rPr>
          <w:rFonts w:ascii="Times New Roman;serif" w:hAnsi="Times New Roman;serif"/>
          <w:b w:val="false"/>
          <w:sz w:val="20"/>
        </w:rPr>
        <w:t xml:space="preserve">) consisting of an equal number of representatives from each Party, in order to (i) facilitate information-sharing regarding the conduct and progress of activities by each Party under the Agreement or Quality Agreement and (ii) resolution of matters that may arise regarding the execution of the Parties’ rights and responsibilities under this Agreement </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5</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jc w:val="both"/>
        <w:rPr/>
      </w:pPr>
      <w:r>
        <w:rPr>
          <w:rFonts w:ascii="Times New Roman;serif" w:hAnsi="Times New Roman;serif"/>
          <w:b w:val="false"/>
          <w:sz w:val="20"/>
        </w:rPr>
        <w:t>or the Quality Agreement. The JSC will consist of the Alliance Managers and such other employees of the Parties as mutually agreed. The JSC will meet quarterly, or such other frequency as may be mutually agreed by the Parties. The JSC will have no authority to amend, modify or waive compliance with this Agreement or to create new obligations for a Party not specified in this Agreement.</w:t>
      </w:r>
      <w:r>
        <w:rPr/>
        <w:t xml:space="preserve">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2.2.</w:t>
      </w:r>
    </w:p>
    <w:p>
      <w:pPr>
        <w:pStyle w:val="TextBody"/>
        <w:bidi w:val="0"/>
        <w:spacing w:before="0" w:after="120"/>
        <w:jc w:val="both"/>
        <w:rPr/>
      </w:pPr>
      <w:r>
        <w:rPr>
          <w:rFonts w:ascii="Times New Roman;serif" w:hAnsi="Times New Roman;serif"/>
          <w:b w:val="false"/>
          <w:sz w:val="20"/>
          <w:u w:val="single"/>
        </w:rPr>
        <w:t>Alliance Managers</w:t>
      </w:r>
      <w:r>
        <w:rPr>
          <w:rFonts w:ascii="Times New Roman;serif" w:hAnsi="Times New Roman;serif"/>
          <w:b w:val="false"/>
          <w:sz w:val="20"/>
        </w:rPr>
        <w:t xml:space="preserve">. Promptly but not later than sixty (60) days following the Effective Date, each Party will appoint one or more representatives to act as its respective alliance manager(s) (each, an </w:t>
      </w:r>
      <w:r>
        <w:rPr/>
        <w:t>“</w:t>
      </w:r>
      <w:r>
        <w:rPr>
          <w:rFonts w:ascii="Times New Roman;serif" w:hAnsi="Times New Roman;serif"/>
          <w:b w:val="false"/>
          <w:i/>
          <w:sz w:val="20"/>
        </w:rPr>
        <w:t>Alliance Manager”</w:t>
      </w:r>
      <w:r>
        <w:rPr>
          <w:rFonts w:ascii="Times New Roman;serif" w:hAnsi="Times New Roman;serif"/>
          <w:b w:val="false"/>
          <w:sz w:val="20"/>
        </w:rPr>
        <w:t>). Each Party may replace its respective Alliance Manager(s) at any time upon written notice to the other in accordance with this Agreement. Any Alliance Manager may designate a substitute to temporarily perform the functions of that Alliance Manager. The Alliance Managers will facilitate interactions between the Parties and will serve as a designated point of contact for communication, raising issues or disputes, and planning and coordinating Party interactions, such as JSC meetings.</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3.</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Grant of License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3.1.</w:t>
      </w:r>
    </w:p>
    <w:p>
      <w:pPr>
        <w:pStyle w:val="TextBody"/>
        <w:bidi w:val="0"/>
        <w:spacing w:before="0" w:after="120"/>
        <w:jc w:val="both"/>
        <w:rPr/>
      </w:pPr>
      <w:r>
        <w:rPr>
          <w:rFonts w:ascii="Times New Roman;serif" w:hAnsi="Times New Roman;serif"/>
          <w:b w:val="false"/>
          <w:sz w:val="20"/>
          <w:u w:val="single"/>
        </w:rPr>
        <w:t>License to Rani</w:t>
      </w:r>
      <w:r>
        <w:rPr>
          <w:rFonts w:ascii="Times New Roman;serif" w:hAnsi="Times New Roman;serif"/>
          <w:b w:val="false"/>
          <w:sz w:val="20"/>
        </w:rPr>
        <w:t>. Celltrion hereby grants to Rani, during the Term, effective as of the Effective Date, an exclusive (even as to Celltrion and its Affiliates), worldwide, royalty-free license under Licensed IP solely (a) to make, have made, use, sell, offer for sale, import and otherwise exploit Product, and (b) to reference and use Licensed Information to support the manufacture, development and commercialization of Product, including use in Regulatory Filings for Product. Rani shall require Celltrion’s prior written consent to sublicense the rights granted in this Section 3.1 (License to Rani) to Third Parties prior to the end of the ROFN Exercise Period or, if the ROFN is validly exercised, prior to the end of the ROFN Negotiation Period; except that Rani may sublicense through multiple tiers without consent (i) to subcontractors or vendors to perform work for Rani’s development of the Product, and (ii) after the end of the ROFN Exercise Period or, if the ROFN is validly exercised, after the end of the ROFN Negotiation Period, to Third Parties.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3.2.</w:t>
      </w:r>
    </w:p>
    <w:p>
      <w:pPr>
        <w:pStyle w:val="TextBody"/>
        <w:bidi w:val="0"/>
        <w:spacing w:before="0" w:after="120"/>
        <w:jc w:val="both"/>
        <w:rPr/>
      </w:pPr>
      <w:r>
        <w:rPr>
          <w:rFonts w:ascii="Times New Roman;serif" w:hAnsi="Times New Roman;serif"/>
          <w:b w:val="false"/>
          <w:sz w:val="20"/>
          <w:u w:val="single"/>
        </w:rPr>
        <w:t>Licensed Information</w:t>
      </w:r>
      <w:r>
        <w:rPr>
          <w:rFonts w:ascii="Times New Roman;serif" w:hAnsi="Times New Roman;serif"/>
          <w:b w:val="false"/>
          <w:sz w:val="20"/>
        </w:rPr>
        <w:t xml:space="preserve">. Upon request of Rani, Celltrion will promptly cooperate to provide to Rani all Licensed Information reasonably requested and will provide Rani with letters of authorization (i.e., a right of reference) to any requested Regulatory Filings or Regulatory Approvals related to Drug (e.g., IND, biologics license application or new drug application) that are reasonably necessary for Rani’s development, manufacture or commercialization of Product.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3.3.</w:t>
      </w:r>
    </w:p>
    <w:p>
      <w:pPr>
        <w:pStyle w:val="TextBody"/>
        <w:bidi w:val="0"/>
        <w:spacing w:before="0" w:after="120"/>
        <w:jc w:val="both"/>
        <w:rPr/>
      </w:pPr>
      <w:r>
        <w:rPr>
          <w:rFonts w:ascii="Times New Roman;serif" w:hAnsi="Times New Roman;serif"/>
          <w:b w:val="false"/>
          <w:sz w:val="20"/>
          <w:u w:val="single"/>
        </w:rPr>
        <w:t>Retained Rights and Limitations</w:t>
      </w:r>
      <w:r>
        <w:rPr>
          <w:rFonts w:ascii="Times New Roman;serif" w:hAnsi="Times New Roman;serif"/>
          <w:b w:val="false"/>
          <w:sz w:val="20"/>
        </w:rPr>
        <w:t xml:space="preserve">. No rights to either Party’s Patents or other proprietary rights are granted pursuant to this Agreement except as expressly set forth herein, and all other rights are reserved. For the avoidance of doubt, the license granted in Section 3.1 (License to Rani) does not restrict Celltrion from supplying and commercializing Drug for any product that is not Product, and furthermore the exclusivity granted in Section 3.1 is only limited to the Product and Celltrion shall be free to offer the Licensed IP for any purposes (including, but not necessarily limited to, licensing) for any product that is not Product.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4.</w:t>
      </w:r>
    </w:p>
    <w:p>
      <w:pPr>
        <w:pStyle w:val="TextBody"/>
        <w:bidi w:val="0"/>
        <w:spacing w:before="240" w:after="120"/>
        <w:jc w:val="both"/>
        <w:rPr/>
      </w:pPr>
      <w:r>
        <w:rPr>
          <w:rFonts w:ascii="Times New Roman;serif" w:hAnsi="Times New Roman;serif"/>
          <w:b/>
          <w:smallCaps/>
          <w:sz w:val="20"/>
        </w:rPr>
        <w:t>Roles and Responsibilities</w:t>
      </w:r>
      <w:r>
        <w:rPr>
          <w:smallCaps/>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4.1.</w:t>
      </w:r>
    </w:p>
    <w:p>
      <w:pPr>
        <w:pStyle w:val="TextBody"/>
        <w:bidi w:val="0"/>
        <w:spacing w:before="0" w:after="120"/>
        <w:jc w:val="both"/>
        <w:rPr/>
      </w:pPr>
      <w:r>
        <w:rPr>
          <w:rFonts w:ascii="Times New Roman;serif" w:hAnsi="Times New Roman;serif"/>
          <w:b w:val="false"/>
          <w:sz w:val="20"/>
          <w:u w:val="single"/>
        </w:rPr>
        <w:t>Development, Manufacture and Commercialization of Product</w:t>
      </w:r>
      <w:r>
        <w:rPr>
          <w:rFonts w:ascii="Times New Roman;serif" w:hAnsi="Times New Roman;serif"/>
          <w:b w:val="false"/>
          <w:sz w:val="20"/>
        </w:rPr>
        <w:t>. Rani has sole right to manufacture, develop and commercialize Product (excluding DP and/or DS on its own) worldwide, subject to the ROFN and Celltrion’s rights and responsibilities that may result from exercise thereof. Subject to the ROFN, Rani has the right to partner or sublicense its rights hereunder to Third Parties or to engage Third-Party contractors to perform its responsibilities, including without limitation contract research organizations, contract manufacturing organizations and contract sales organizations.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4.2.</w:t>
      </w:r>
    </w:p>
    <w:p>
      <w:pPr>
        <w:pStyle w:val="TextBody"/>
        <w:bidi w:val="0"/>
        <w:spacing w:before="0" w:after="120"/>
        <w:jc w:val="both"/>
        <w:rPr/>
      </w:pPr>
      <w:r>
        <w:rPr>
          <w:rFonts w:ascii="Times New Roman;serif" w:hAnsi="Times New Roman;serif"/>
          <w:b w:val="false"/>
          <w:sz w:val="20"/>
          <w:u w:val="single"/>
        </w:rPr>
        <w:t>Supply of DP and/or DS</w:t>
      </w:r>
      <w:r>
        <w:rPr>
          <w:rFonts w:ascii="Times New Roman;serif" w:hAnsi="Times New Roman;serif"/>
          <w:b w:val="false"/>
          <w:sz w:val="20"/>
        </w:rPr>
        <w:t>. Celltrion will supply DP and/or DS for Product as set forth in Article 6 (Manufacture and Supply).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4.3.</w:t>
      </w:r>
    </w:p>
    <w:p>
      <w:pPr>
        <w:pStyle w:val="TextBody"/>
        <w:bidi w:val="0"/>
        <w:spacing w:before="0" w:after="120"/>
        <w:jc w:val="both"/>
        <w:rPr/>
      </w:pPr>
      <w:r>
        <w:rPr>
          <w:rFonts w:ascii="Times New Roman;serif" w:hAnsi="Times New Roman;serif"/>
          <w:b w:val="false"/>
          <w:sz w:val="20"/>
          <w:u w:val="single"/>
        </w:rPr>
        <w:t>Regulatory Matters</w:t>
      </w:r>
      <w:r>
        <w:rPr>
          <w:rFonts w:ascii="Times New Roman;serif" w:hAnsi="Times New Roman;serif"/>
          <w:b w:val="false"/>
          <w:sz w:val="20"/>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4.3.1.</w:t>
      </w:r>
    </w:p>
    <w:p>
      <w:pPr>
        <w:pStyle w:val="TextBody"/>
        <w:bidi w:val="0"/>
        <w:spacing w:before="0" w:after="120"/>
        <w:jc w:val="both"/>
        <w:rPr/>
      </w:pPr>
      <w:r>
        <w:rPr>
          <w:rFonts w:ascii="Times New Roman;serif" w:hAnsi="Times New Roman;serif"/>
          <w:b w:val="false"/>
          <w:i/>
          <w:sz w:val="20"/>
        </w:rPr>
        <w:t>Regulatory Responsibilities</w:t>
      </w:r>
      <w:r>
        <w:rPr>
          <w:rFonts w:ascii="Times New Roman;serif" w:hAnsi="Times New Roman;serif"/>
          <w:b w:val="false"/>
          <w:sz w:val="20"/>
        </w:rPr>
        <w:t>. Rani will be responsible for all regulatory activities related to Product, including preparing, submitting and maintaining all Regulatory Filings and Regulatory Approvals for Product and interacting with Governmental Authorities with respect to Product (“</w:t>
      </w:r>
      <w:r>
        <w:rPr>
          <w:rFonts w:ascii="Times New Roman;serif" w:hAnsi="Times New Roman;serif"/>
          <w:b w:val="false"/>
          <w:i/>
          <w:sz w:val="20"/>
        </w:rPr>
        <w:t>Regulatory Activities</w:t>
      </w:r>
      <w:r>
        <w:rPr/>
        <w:t>”</w:t>
      </w:r>
      <w:r>
        <w:rPr>
          <w:rFonts w:ascii="Times New Roman;serif" w:hAnsi="Times New Roman;serif"/>
          <w:b w:val="false"/>
          <w:sz w:val="20"/>
        </w:rPr>
        <w:t xml:space="preserve">). Upon reasonable request of Rani, Celltrion will provide to Rani Licensed Information </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6</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720" w:right="0" w:hanging="0"/>
        <w:jc w:val="both"/>
        <w:rPr/>
      </w:pPr>
      <w:r>
        <w:rPr>
          <w:rFonts w:ascii="Times New Roman;serif" w:hAnsi="Times New Roman;serif"/>
          <w:b w:val="false"/>
          <w:sz w:val="20"/>
        </w:rPr>
        <w:t>in support of the Regulatory Activities, and cooperation reasonably requested by Rani in responding to Governmental Authorities regarding matters related to or involving Drug, or DP and/or DS, including without limitation responding to regulatory questions, and facilitating regulatory inspections as set forth in Section 4.3.3 (Inspections).</w:t>
      </w:r>
      <w:r>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4.3.2.</w:t>
      </w:r>
    </w:p>
    <w:p>
      <w:pPr>
        <w:pStyle w:val="TextBody"/>
        <w:bidi w:val="0"/>
        <w:spacing w:before="0" w:after="120"/>
        <w:jc w:val="both"/>
        <w:rPr/>
      </w:pPr>
      <w:r>
        <w:rPr>
          <w:rFonts w:ascii="Times New Roman;serif" w:hAnsi="Times New Roman;serif"/>
          <w:b w:val="false"/>
          <w:i/>
          <w:sz w:val="20"/>
        </w:rPr>
        <w:t>Regulatory Meetings.</w:t>
      </w:r>
      <w:r>
        <w:rPr/>
        <w:t xml:space="preserve"> </w:t>
      </w:r>
      <w:r>
        <w:rPr>
          <w:rFonts w:ascii="Times New Roman;serif" w:hAnsi="Times New Roman;serif"/>
          <w:b w:val="false"/>
          <w:sz w:val="20"/>
        </w:rPr>
        <w:t>Rani will be responsible for meetings and communications with Governmental Authorities with respect to Product. Celltrion will not contact or interact with Governmental Authorities with respect to Product unless requested by a Governmental Authority or Rani. If Celltrion is contacted by a Governmental Authority with respect to Product, Celltrion will promptly notify Rani thereof and coordinate with Rani with respect to any response. Rani will have the right to participate in and/or attend scheduled meetings between Celltrion and the applicable Governmental Authority with respect to Product, to the extent not prohibited by such Governmental Authority. Celltrion will inform Rani of any unscheduled teleconferences and meetings with Governmental Authorities with respect to the Product reasonably promptly after they occur.</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4.3.3.</w:t>
      </w:r>
    </w:p>
    <w:p>
      <w:pPr>
        <w:pStyle w:val="TextBody"/>
        <w:bidi w:val="0"/>
        <w:spacing w:before="0" w:after="120"/>
        <w:jc w:val="both"/>
        <w:rPr/>
      </w:pPr>
      <w:r>
        <w:rPr>
          <w:rFonts w:ascii="Times New Roman;serif" w:hAnsi="Times New Roman;serif"/>
          <w:b w:val="false"/>
          <w:i/>
          <w:sz w:val="20"/>
        </w:rPr>
        <w:t>Inspections.</w:t>
      </w:r>
      <w:r>
        <w:rPr/>
        <w:t xml:space="preserve"> </w:t>
      </w:r>
      <w:r>
        <w:rPr>
          <w:rFonts w:ascii="Times New Roman;serif" w:hAnsi="Times New Roman;serif"/>
          <w:b w:val="false"/>
          <w:sz w:val="20"/>
        </w:rPr>
        <w:t>Each Party will promptly notify the other Party if it receives notice from a Governmental Authority that it requests or requires to conduct an inspection of Celltrion’s manufacturing facilities or a review of Celltrion’s batch records or other records with respect to Drug Product and/or Drug Substance in connection with Product. In such event, Celltrion agrees to reasonably cooperate with Rani and to allow such Governmental Authority to inspect such manufacturing facilities and/or review such records to the extent reasonably requested or required. The Parties will keep each other informed as to the date(s) and other relevant information related to such inspection. [*] For clarity, this provision relates solely to inspections specifically related to Product, and not general inspections by Governmental Authorities.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4.4.</w:t>
      </w:r>
    </w:p>
    <w:p>
      <w:pPr>
        <w:pStyle w:val="TextBody"/>
        <w:bidi w:val="0"/>
        <w:spacing w:before="0" w:after="120"/>
        <w:jc w:val="both"/>
        <w:rPr/>
      </w:pPr>
      <w:r>
        <w:rPr>
          <w:rFonts w:ascii="Times New Roman;serif" w:hAnsi="Times New Roman;serif"/>
          <w:b w:val="false"/>
          <w:sz w:val="20"/>
          <w:u w:val="single"/>
        </w:rPr>
        <w:t>Safety Reporting</w:t>
      </w:r>
      <w:r>
        <w:rPr>
          <w:rFonts w:ascii="Times New Roman;serif" w:hAnsi="Times New Roman;serif"/>
          <w:b w:val="false"/>
          <w:sz w:val="20"/>
        </w:rPr>
        <w:t>. Both Parties will reasonably cooperate with each other regarding pharmacovigilance matters to the extent reasonably required to enable the other Party to comply with applicable Law. From and after the Effective Date, Rani will be responsible for reporting to the relevant Governmental Authorities all adverse events with respect to the Product, to the extent required by and in accordance with Law; and Celltrion will be responsible for reporting to the relevant Governmental Authorities all adverse events with respect to Drug, to the extent required by and in accordance with Law.</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4.5.</w:t>
      </w:r>
    </w:p>
    <w:p>
      <w:pPr>
        <w:pStyle w:val="TextBody"/>
        <w:bidi w:val="0"/>
        <w:spacing w:before="0" w:after="120"/>
        <w:jc w:val="both"/>
        <w:rPr/>
      </w:pPr>
      <w:r>
        <w:rPr>
          <w:rFonts w:ascii="Times New Roman;serif" w:hAnsi="Times New Roman;serif"/>
          <w:b w:val="false"/>
          <w:sz w:val="20"/>
          <w:u w:val="single"/>
        </w:rPr>
        <w:t>Cooperation Generally</w:t>
      </w:r>
      <w:r>
        <w:rPr>
          <w:rFonts w:ascii="Times New Roman;serif" w:hAnsi="Times New Roman;serif"/>
          <w:b w:val="false"/>
          <w:sz w:val="20"/>
        </w:rPr>
        <w:t>. The Parties will provide each other with any cooperation reasonably requested by the other to carry out the purpose and intent of this Agreement, including without limitation with respect to development, manufacturing, and regulatory matters related to Product.</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5.</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Right of First Negotiation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5.1.</w:t>
      </w:r>
    </w:p>
    <w:p>
      <w:pPr>
        <w:pStyle w:val="TextBody"/>
        <w:bidi w:val="0"/>
        <w:spacing w:before="0" w:after="120"/>
        <w:jc w:val="both"/>
        <w:rPr/>
      </w:pPr>
      <w:r>
        <w:rPr>
          <w:rFonts w:ascii="Times New Roman;serif" w:hAnsi="Times New Roman;serif"/>
          <w:b w:val="false"/>
          <w:sz w:val="20"/>
          <w:u w:val="single"/>
        </w:rPr>
        <w:t>Right of First Negotiation</w:t>
      </w:r>
      <w:r>
        <w:rPr>
          <w:rFonts w:ascii="Times New Roman;serif" w:hAnsi="Times New Roman;serif"/>
          <w:b w:val="false"/>
          <w:sz w:val="20"/>
        </w:rPr>
        <w:t>. Rani grants to Celltrion an exclusive right of first negotiation (“</w:t>
      </w:r>
      <w:r>
        <w:rPr>
          <w:rFonts w:ascii="Times New Roman;serif" w:hAnsi="Times New Roman;serif"/>
          <w:b w:val="false"/>
          <w:i/>
          <w:sz w:val="20"/>
        </w:rPr>
        <w:t>ROFN</w:t>
      </w:r>
      <w:r>
        <w:rPr/>
        <w:t>”</w:t>
      </w:r>
      <w:r>
        <w:rPr>
          <w:rFonts w:ascii="Times New Roman;serif" w:hAnsi="Times New Roman;serif"/>
          <w:b w:val="false"/>
          <w:sz w:val="20"/>
        </w:rPr>
        <w:t>) for the clinical development and commercialization of Product worldwide. Following completion of the first Phase 1 Trial of Product that meets its primary endpoint(s), Rani will provide to Celltrion a data package consisting of topline safety information, pharmacokinetic results and device performance, and the raw data (e.g., excel, SAS file, etc.) related to topline results, from such Phase 1 Trial (the “</w:t>
      </w:r>
      <w:r>
        <w:rPr>
          <w:rFonts w:ascii="Times New Roman;serif" w:hAnsi="Times New Roman;serif"/>
          <w:b w:val="false"/>
          <w:i/>
          <w:sz w:val="20"/>
        </w:rPr>
        <w:t>Phase 1 Data</w:t>
      </w:r>
      <w:r>
        <w:rPr/>
        <w:t>”</w:t>
      </w:r>
      <w:r>
        <w:rPr>
          <w:rFonts w:ascii="Times New Roman;serif" w:hAnsi="Times New Roman;serif"/>
          <w:b w:val="false"/>
          <w:sz w:val="20"/>
        </w:rPr>
        <w:t>). Celltrion will have thirty (30) days from delivery of the Phase 1 Data (the “</w:t>
      </w:r>
      <w:r>
        <w:rPr>
          <w:rFonts w:ascii="Times New Roman;serif" w:hAnsi="Times New Roman;serif"/>
          <w:b w:val="false"/>
          <w:i/>
          <w:sz w:val="20"/>
        </w:rPr>
        <w:t>ROFN Exercise Period</w:t>
      </w:r>
      <w:r>
        <w:rPr/>
        <w:t>”</w:t>
      </w:r>
      <w:r>
        <w:rPr>
          <w:rFonts w:ascii="Times New Roman;serif" w:hAnsi="Times New Roman;serif"/>
          <w:b w:val="false"/>
          <w:sz w:val="20"/>
        </w:rPr>
        <w:t>) to exercise its ROFN by giving Rani written notice thereof (a “</w:t>
      </w:r>
      <w:r>
        <w:rPr>
          <w:rFonts w:ascii="Times New Roman;serif" w:hAnsi="Times New Roman;serif"/>
          <w:b w:val="false"/>
          <w:i/>
          <w:sz w:val="20"/>
        </w:rPr>
        <w:t>ROFN Exercise Notice</w:t>
      </w:r>
      <w:r>
        <w:rPr/>
        <w:t>”</w:t>
      </w:r>
      <w:r>
        <w:rPr>
          <w:rFonts w:ascii="Times New Roman;serif" w:hAnsi="Times New Roman;serif"/>
          <w:b w:val="false"/>
          <w:sz w:val="20"/>
        </w:rPr>
        <w:t>), which will specify the country(ies) with respect to which the ROFN is being exercised (the “</w:t>
      </w:r>
      <w:r>
        <w:rPr>
          <w:rFonts w:ascii="Times New Roman;serif" w:hAnsi="Times New Roman;serif"/>
          <w:b w:val="false"/>
          <w:i/>
          <w:sz w:val="20"/>
        </w:rPr>
        <w:t>ROFN Territory</w:t>
      </w:r>
      <w:r>
        <w:rPr/>
        <w:t>”</w:t>
      </w:r>
      <w:r>
        <w:rPr>
          <w:rFonts w:ascii="Times New Roman;serif" w:hAnsi="Times New Roman;serif"/>
          <w:b w:val="false"/>
          <w:sz w:val="20"/>
        </w:rPr>
        <w:t>). Prior to and during the ROFN Exercise Period and, if the ROFN is validly exercised, during the ROFN Negotiation Period, Rani will not negotiate with Third Parties with respect to a license to commercialize Product and will not provide to Third Parties confidential information about Product for such purpose.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5.2.</w:t>
      </w:r>
    </w:p>
    <w:p>
      <w:pPr>
        <w:pStyle w:val="TextBody"/>
        <w:bidi w:val="0"/>
        <w:spacing w:before="0" w:after="120"/>
        <w:jc w:val="both"/>
        <w:rPr/>
      </w:pPr>
      <w:r>
        <w:rPr>
          <w:rFonts w:ascii="Times New Roman;serif" w:hAnsi="Times New Roman;serif"/>
          <w:b w:val="false"/>
          <w:sz w:val="20"/>
          <w:u w:val="single"/>
        </w:rPr>
        <w:t>Exercise of ROFN</w:t>
      </w:r>
      <w:r>
        <w:rPr>
          <w:rFonts w:ascii="Times New Roman;serif" w:hAnsi="Times New Roman;serif"/>
          <w:b w:val="false"/>
          <w:sz w:val="20"/>
        </w:rPr>
        <w:t xml:space="preserve">. During the ROFN Exercise Period, Rani will use best reasonable efforts to promptly provide to Celltrion any additional information regarding the Product, the Rani Oral Delivery Technology, and/or the Phase 1 Trial of the Product, which is reasonably requested by Celltrion and relevant to a decision whether to exercise the ROFN; provided that, Rani will not have any obligation to provide information not related or specific to Product development and commercialization, or to perform any additional studies or analysis in order to generate such information. </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7</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5.3.</w:t>
      </w:r>
    </w:p>
    <w:p>
      <w:pPr>
        <w:pStyle w:val="TextBody"/>
        <w:bidi w:val="0"/>
        <w:spacing w:before="0" w:after="120"/>
        <w:jc w:val="both"/>
        <w:rPr/>
      </w:pPr>
      <w:r>
        <w:rPr>
          <w:rFonts w:ascii="Times New Roman;serif" w:hAnsi="Times New Roman;serif"/>
          <w:b w:val="false"/>
          <w:sz w:val="20"/>
          <w:u w:val="single"/>
        </w:rPr>
        <w:t>Negotiation Period</w:t>
      </w:r>
      <w:r>
        <w:rPr>
          <w:rFonts w:ascii="Times New Roman;serif" w:hAnsi="Times New Roman;serif"/>
          <w:b w:val="false"/>
          <w:sz w:val="20"/>
        </w:rPr>
        <w:t>. If Celltrion delivers to Rani a ROFN Exercise Notice within the ROFN Exercise Period, then Celltrion will have an exclusive period of ninety (90) days from delivery of the ROFN Exercise Notice (the “</w:t>
      </w:r>
      <w:r>
        <w:rPr>
          <w:rFonts w:ascii="Times New Roman;serif" w:hAnsi="Times New Roman;serif"/>
          <w:b w:val="false"/>
          <w:i/>
          <w:sz w:val="20"/>
        </w:rPr>
        <w:t>ROFN Negotiation Period</w:t>
      </w:r>
      <w:r>
        <w:rPr/>
        <w:t>”</w:t>
      </w:r>
      <w:r>
        <w:rPr>
          <w:rFonts w:ascii="Times New Roman;serif" w:hAnsi="Times New Roman;serif"/>
          <w:b w:val="false"/>
          <w:sz w:val="20"/>
        </w:rPr>
        <w:t>) to negotiate in good faith a definitive agreement with Rani for rights to clinically develop and commercialize Product in the ROFN Territory. Such definitive agreement would include (but not necessarily limited to) (a) supply terms for Rani to exclusively supply Product (in finished form) for Celltrion to conduct clinical development and commercialization of Product in the ROFN Territory (including without limitation forecast and order procedures, shipment and delivery, stability testing, lot size and provisions for continuity of future supply), (b) establishment of a joint committee to oversee development plans for the ROFN Territory, to ensure consistency and coordination of clinical trials across the Rani Territory and the ROFN Territory, and (c) grant of rights and license by Rani to Celltrion (and/or its Affiliate) to clinically develop and commercialize Product for exclusive commercialization in the ROFN Territory. Rani will have the right to continue to advance development of Product during the ROFN Exercise Period and ROFN Negotiation Period. Rani will have no obligation to enter into a definitive agreement without a Commercial Supply Agreement being agreed at the same time.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5.4.</w:t>
      </w:r>
    </w:p>
    <w:p>
      <w:pPr>
        <w:pStyle w:val="TextBody"/>
        <w:bidi w:val="0"/>
        <w:spacing w:before="0" w:after="120"/>
        <w:jc w:val="both"/>
        <w:rPr/>
      </w:pPr>
      <w:r>
        <w:rPr>
          <w:rFonts w:ascii="Times New Roman;serif" w:hAnsi="Times New Roman;serif"/>
          <w:b w:val="false"/>
          <w:sz w:val="20"/>
          <w:u w:val="single"/>
        </w:rPr>
        <w:t>Definitive Agreement</w:t>
      </w:r>
      <w:r>
        <w:rPr>
          <w:rFonts w:ascii="Times New Roman;serif" w:hAnsi="Times New Roman;serif"/>
          <w:b w:val="false"/>
          <w:sz w:val="20"/>
        </w:rPr>
        <w:t xml:space="preserve">. If the Parties enter into a definitive agreement for the clinical development and exclusive commercialization of Product in the ROFN Territory following exercise of the ROFN, such agreement will set forth the respective roles and responsibilities of the Parties for such arrangement. Rani would continue to have final decision-making authority over development and commercialization of Product in the Rani Territory; however, global development plans for Product (including studies that impact countries in both the Rani Territory and ROFN Territory) would be discussed and decided through a joint committee. It is also expected that Celltrion would be solely responsible to conduct, and bear the costs of, all clinical development and commercialization of Product for the ROFN Territory, including seeking and obtaining regulatory approvals, and Rani would provide cooperation reasonably requested therefor, including responding to Governmental Authorities regarding matters related to or involving Rani’s Oral Delivery Technology or the manufacture, development or commercialization of Product outside the ROFN Territory. It is expected that any definitive agreement for the clinical development and commercialization of Product in the ROFN Territory would include an upfront payment, milestones and royalties to Rani in exchange for such rights.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5.5.</w:t>
      </w:r>
    </w:p>
    <w:p>
      <w:pPr>
        <w:pStyle w:val="TextBody"/>
        <w:bidi w:val="0"/>
        <w:spacing w:before="0" w:after="120"/>
        <w:jc w:val="both"/>
        <w:rPr/>
      </w:pPr>
      <w:r>
        <w:rPr>
          <w:rFonts w:ascii="Times New Roman;serif" w:hAnsi="Times New Roman;serif"/>
          <w:b w:val="false"/>
          <w:sz w:val="20"/>
          <w:u w:val="single"/>
        </w:rPr>
        <w:t>End of ROFN</w:t>
      </w:r>
      <w:r>
        <w:rPr>
          <w:rFonts w:ascii="Times New Roman;serif" w:hAnsi="Times New Roman;serif"/>
          <w:b w:val="false"/>
          <w:sz w:val="20"/>
        </w:rPr>
        <w:t xml:space="preserve">. In the event Celltrion does not deliver a ROFN Exercise Notice within the ROFN Exercise Period, or Celltrion notifies Rani that it does not intend to exercise the ROFN or, after timely exercising the ROFN, notifies Rani that Celltrion withdraws its exercise of the ROFN, or the Parties fail to enter into a definitive agreement for the development and commercialization of Product in the ROFN Territory within the ROFN Negotiation Period, then the ROFN will terminate and Rani will have no further obligations under this Agreement related to a ROFN or the negotiation of rights related to Product. Neither the exercise nor the termination of the ROFN will affect the Parties’ other rights and obligations under this Agreement or any other then-existing definitive agreement(s), including without limitation any existing obligations with respect to the supply of DP and/or DS by Celltrion.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6.</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Manufacture and Supply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6.1.</w:t>
      </w:r>
    </w:p>
    <w:p>
      <w:pPr>
        <w:pStyle w:val="TextBody"/>
        <w:bidi w:val="0"/>
        <w:spacing w:before="0" w:after="120"/>
        <w:jc w:val="both"/>
        <w:rPr/>
      </w:pPr>
      <w:r>
        <w:rPr>
          <w:rFonts w:ascii="Times New Roman;serif" w:hAnsi="Times New Roman;serif"/>
          <w:b w:val="false"/>
          <w:sz w:val="20"/>
          <w:u w:val="single"/>
        </w:rPr>
        <w:t>Supply</w:t>
      </w:r>
      <w:r>
        <w:rPr>
          <w:rFonts w:ascii="Times New Roman;serif" w:hAnsi="Times New Roman;serif"/>
          <w:b w:val="false"/>
          <w:sz w:val="20"/>
        </w:rPr>
        <w:t xml:space="preserve">. Rani will obtain supply of Drug Product and/or Drug Substance exclusively from Celltrion (or its Affiliate) for the clinical development and commercialization of Product, subject to the other provisions of this Agreement including without limitation Section 6.9 (Supply Continuity). Rani will use Drug Product and/or Drug Substance solely for the manufacture, development and commercialization of Product, as permitted under this Agreement. For clarity, unless otherwise agreed by the Parties, Stage 1 Supply, Stage 2 Supply and Stage 3 Supply will be in the form of Drug Substance.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6.2.</w:t>
      </w:r>
    </w:p>
    <w:p>
      <w:pPr>
        <w:pStyle w:val="TextBody"/>
        <w:bidi w:val="0"/>
        <w:spacing w:before="0" w:after="120"/>
        <w:jc w:val="both"/>
        <w:rPr/>
      </w:pPr>
      <w:r>
        <w:rPr>
          <w:rFonts w:ascii="Times New Roman;serif" w:hAnsi="Times New Roman;serif"/>
          <w:b w:val="false"/>
          <w:sz w:val="20"/>
          <w:u w:val="single"/>
        </w:rPr>
        <w:t>Initial Supply</w:t>
      </w:r>
      <w:r>
        <w:rPr>
          <w:rFonts w:ascii="Times New Roman;serif" w:hAnsi="Times New Roman;serif"/>
          <w:b w:val="false"/>
          <w:sz w:val="20"/>
        </w:rPr>
        <w:t>. Unless agreed otherwise by the Parties, Rani will order an initial quantity of Stage 1 Supply (</w:t>
      </w:r>
      <w:r>
        <w:rPr/>
        <w:t>“</w:t>
      </w:r>
      <w:r>
        <w:rPr>
          <w:rFonts w:ascii="Times New Roman;serif" w:hAnsi="Times New Roman;serif"/>
          <w:b w:val="false"/>
          <w:i/>
          <w:sz w:val="20"/>
        </w:rPr>
        <w:t>Initial Supply”</w:t>
      </w:r>
      <w:r>
        <w:rPr>
          <w:rFonts w:ascii="Times New Roman;serif" w:hAnsi="Times New Roman;serif"/>
          <w:b w:val="false"/>
          <w:sz w:val="20"/>
        </w:rPr>
        <w:t>) [*] by placing an Order therefor with Celltrion [*], and for clinical supply of Drug Substance beyond the Initial Supply in accordance with Section 6.3.2 below (Orders). If needed, Rani may order additional quantities of Stage 1 Supply by placing Orders therefor with Celltrion as set forth in Section 6.3.2 below (Orders).</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8</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6.3.</w:t>
      </w:r>
    </w:p>
    <w:p>
      <w:pPr>
        <w:pStyle w:val="TextBody"/>
        <w:bidi w:val="0"/>
        <w:spacing w:before="0" w:after="120"/>
        <w:jc w:val="both"/>
        <w:rPr/>
      </w:pPr>
      <w:r>
        <w:rPr>
          <w:rFonts w:ascii="Times New Roman;serif" w:hAnsi="Times New Roman;serif"/>
          <w:b w:val="false"/>
          <w:sz w:val="20"/>
          <w:u w:val="single"/>
        </w:rPr>
        <w:t>Additional Clinical Supply</w:t>
      </w:r>
      <w:r>
        <w:rPr>
          <w:rFonts w:ascii="Times New Roman;serif" w:hAnsi="Times New Roman;serif"/>
          <w:b w:val="false"/>
          <w:sz w:val="20"/>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6.3.1.</w:t>
      </w:r>
    </w:p>
    <w:p>
      <w:pPr>
        <w:pStyle w:val="TextBody"/>
        <w:bidi w:val="0"/>
        <w:spacing w:before="0" w:after="120"/>
        <w:jc w:val="both"/>
        <w:rPr/>
      </w:pPr>
      <w:r>
        <w:rPr>
          <w:rFonts w:ascii="Times New Roman;serif" w:hAnsi="Times New Roman;serif"/>
          <w:b w:val="false"/>
          <w:i/>
          <w:sz w:val="20"/>
        </w:rPr>
        <w:t>Forecasts</w:t>
      </w:r>
      <w:r>
        <w:rPr>
          <w:rFonts w:ascii="Times New Roman;serif" w:hAnsi="Times New Roman;serif"/>
          <w:b w:val="false"/>
          <w:sz w:val="20"/>
        </w:rPr>
        <w:t>. Unless otherwise mutually agreed by the Parties, Rani will provide to Celltrion on or before [*] of each calendar year a written, nonbinding forecast of its clinical requirements for Drug Product and/or Drug Substance for the subsequent calendar year. During each calendar year, Rani will promptly notify Celltrion in the event there is a material change to Rani’s forecast of clinical requirements for Drug Product and/or Drug Substance. Upon receipt of each forecast or changed forecast, Celltrion will promptly notify Rani in the event Celltrion foresees any difficulty supplying Rani the forecasted amount of DP and/or DS for the applicable calendar year.</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6.3.2.</w:t>
      </w:r>
    </w:p>
    <w:p>
      <w:pPr>
        <w:pStyle w:val="TextBody"/>
        <w:bidi w:val="0"/>
        <w:spacing w:before="0" w:after="120"/>
        <w:jc w:val="both"/>
        <w:rPr/>
      </w:pPr>
      <w:r>
        <w:rPr>
          <w:rFonts w:ascii="Times New Roman;serif" w:hAnsi="Times New Roman;serif"/>
          <w:b w:val="false"/>
          <w:i/>
          <w:sz w:val="20"/>
        </w:rPr>
        <w:t>Orders</w:t>
      </w:r>
      <w:r>
        <w:rPr>
          <w:rFonts w:ascii="Times New Roman;serif" w:hAnsi="Times New Roman;serif"/>
          <w:b w:val="false"/>
          <w:sz w:val="20"/>
        </w:rPr>
        <w:t>. For clinical supply of Drug Product and/or Drug Substance beyond the Initial Supply, Rani will place orders for Drug Product and/or Drug Substance with Celltrion by providing binding written purchase orders of its requirements of Drug Product and/or Drug Substance at least [*] days in advance (“</w:t>
      </w:r>
      <w:r>
        <w:rPr>
          <w:rFonts w:ascii="Times New Roman;serif" w:hAnsi="Times New Roman;serif"/>
          <w:b w:val="false"/>
          <w:i/>
          <w:sz w:val="20"/>
        </w:rPr>
        <w:t>Orders</w:t>
      </w:r>
      <w:r>
        <w:rPr/>
        <w:t>”</w:t>
      </w:r>
      <w:r>
        <w:rPr>
          <w:rFonts w:ascii="Times New Roman;serif" w:hAnsi="Times New Roman;serif"/>
          <w:b w:val="false"/>
          <w:sz w:val="20"/>
        </w:rPr>
        <w:t xml:space="preserve">), unless otherwise mutually agreed by the Parties. Each Order will specify the quantity of Drug Product and/or Drug Substance and the proposed delivery date. The minimum order quantity for Drug Substance shall be as set forth in Appendix A (Supply Price Schedule). Celltrion will use commercially reasonable efforts to supply Drug Product and/or Drug Substance to Rani in accordance with each Order. If Celltrion reasonably believes that it will not be able to meet an Order as provided, it will promptly notify Rani in writing within [*] days of receiving such Order. In such event, the Parties will discuss in good faith how best to meet Rani’s requirements of Drug Product and/or Drug Substance set forth in the Order.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6.4.</w:t>
      </w:r>
    </w:p>
    <w:p>
      <w:pPr>
        <w:pStyle w:val="TextBody"/>
        <w:bidi w:val="0"/>
        <w:spacing w:before="0" w:after="120"/>
        <w:jc w:val="both"/>
        <w:rPr/>
      </w:pPr>
      <w:r>
        <w:rPr>
          <w:rFonts w:ascii="Times New Roman;serif" w:hAnsi="Times New Roman;serif"/>
          <w:b w:val="false"/>
          <w:sz w:val="20"/>
          <w:u w:val="single"/>
        </w:rPr>
        <w:t>Manufacturing and Delivery</w:t>
      </w:r>
      <w:r>
        <w:rPr>
          <w:rFonts w:ascii="Times New Roman;serif" w:hAnsi="Times New Roman;serif"/>
          <w:b w:val="false"/>
          <w:sz w:val="20"/>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6.4.1.</w:t>
      </w:r>
    </w:p>
    <w:p>
      <w:pPr>
        <w:pStyle w:val="TextBody"/>
        <w:bidi w:val="0"/>
        <w:spacing w:before="0" w:after="120"/>
        <w:jc w:val="both"/>
        <w:rPr/>
      </w:pPr>
      <w:r>
        <w:rPr>
          <w:rFonts w:ascii="Times New Roman;serif" w:hAnsi="Times New Roman;serif"/>
          <w:b w:val="false"/>
          <w:i/>
          <w:sz w:val="20"/>
        </w:rPr>
        <w:t>Specifications</w:t>
      </w:r>
      <w:r>
        <w:rPr>
          <w:rFonts w:ascii="Times New Roman;serif" w:hAnsi="Times New Roman;serif"/>
          <w:b w:val="false"/>
          <w:sz w:val="20"/>
        </w:rPr>
        <w:t>. Drug Product and/or Drug Substance supplied by Celltrion hereunder will be manufactured in accordance with cGMP, the Quality Agreement, the Specifications and applicable Law. Celltrion will be responsible for keeping its manufacturing facility and manufacturing processes for Drug Product and/or Drug Substance in compliance with cGMP, and applicable Law and regulatory requirements. Unless otherwise mutually agreed, Celltrion will deliver Drug Product and/or Drug Substance in the form set forth in Appendix A (Supply Price Schedule) in containers that are in accordance with Celltrion’s specifications.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6.4.2.</w:t>
      </w:r>
    </w:p>
    <w:p>
      <w:pPr>
        <w:pStyle w:val="TextBody"/>
        <w:bidi w:val="0"/>
        <w:spacing w:before="0" w:after="120"/>
        <w:jc w:val="both"/>
        <w:rPr/>
      </w:pPr>
      <w:r>
        <w:rPr>
          <w:rFonts w:ascii="Times New Roman;serif" w:hAnsi="Times New Roman;serif"/>
          <w:b w:val="false"/>
          <w:i/>
          <w:sz w:val="20"/>
        </w:rPr>
        <w:t>Delivery</w:t>
      </w:r>
      <w:r>
        <w:rPr>
          <w:rFonts w:ascii="Times New Roman;serif" w:hAnsi="Times New Roman;serif"/>
          <w:b w:val="false"/>
          <w:sz w:val="20"/>
        </w:rPr>
        <w:t>. Celltrion will deliver Drug Product and/or Drug Substance to Rani FCA (Celltrion Plant) (Incoterms 2020). Notwithstanding such Incoterms, Celltrion will be responsible for handling customs clearance with respect to DP and/or DS. Celltrion will be responsible for the manufacturer’s release of Drug Product and/or Drug Substance. Celltrion will provide to Rani upon release of each lot of Drug Product and/or Drug Substance complete and accurate certificates of analysis, certificates of compliance, executed batch records, and deviations and related documentation (the “</w:t>
      </w:r>
      <w:r>
        <w:rPr>
          <w:rFonts w:ascii="Times New Roman;serif" w:hAnsi="Times New Roman;serif"/>
          <w:b w:val="false"/>
          <w:i/>
          <w:sz w:val="20"/>
        </w:rPr>
        <w:t>Disposition Package</w:t>
      </w:r>
      <w:r>
        <w:rPr/>
        <w:t>”</w:t>
      </w:r>
      <w:r>
        <w:rPr>
          <w:rFonts w:ascii="Times New Roman;serif" w:hAnsi="Times New Roman;serif"/>
          <w:b w:val="false"/>
          <w:sz w:val="20"/>
        </w:rPr>
        <w:t>). As Rani may request from time to time, Celltrion will make analytical methods used for testing and release of Drug Product and/or Drug Substance and test results, and such other documentation reasonably requested, available for Rani’s inspection, which records will be complete and accurate.</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6.4.3.</w:t>
      </w:r>
    </w:p>
    <w:p>
      <w:pPr>
        <w:pStyle w:val="TextBody"/>
        <w:bidi w:val="0"/>
        <w:spacing w:before="0" w:after="120"/>
        <w:jc w:val="both"/>
        <w:rPr/>
      </w:pPr>
      <w:r>
        <w:rPr>
          <w:rFonts w:ascii="Times New Roman;serif" w:hAnsi="Times New Roman;serif"/>
          <w:b w:val="false"/>
          <w:i/>
          <w:sz w:val="20"/>
        </w:rPr>
        <w:t>Minimum Shelf Life</w:t>
      </w:r>
      <w:r>
        <w:rPr>
          <w:rFonts w:ascii="Times New Roman;serif" w:hAnsi="Times New Roman;serif"/>
          <w:b w:val="false"/>
          <w:sz w:val="20"/>
        </w:rPr>
        <w:t>. Upon delivery hereunder, Drug Product and/or Drug Substance supplied by Celltrion will have a minimum residual shelf life of not less than [*] of its approved shelf life (and, in any event, no less than [*] months of minimum residual shelf life), prior to any re-testing that may be available to extend the retest date. Upon reasonable request by Rani and mutual agreement by Celltrion, which will not be unreasonably withheld, Celltrion will perform retesting of DP and/or DS and provide retest results and an updated certificate of analysis to Rani.</w:t>
      </w:r>
    </w:p>
    <w:p>
      <w:pPr>
        <w:pStyle w:val="TextBody"/>
        <w:bidi w:val="0"/>
        <w:spacing w:before="0" w:after="0"/>
        <w:ind w:left="0" w:right="0" w:hanging="0"/>
        <w:jc w:val="left"/>
        <w:rPr/>
      </w:pPr>
      <w:r>
        <w:rPr/>
        <w:t> </w:t>
      </w:r>
    </w:p>
    <w:tbl>
      <w:tblPr>
        <w:tblW w:w="2567" w:type="dxa"/>
        <w:jc w:val="left"/>
        <w:tblInd w:w="0" w:type="dxa"/>
        <w:tblLayout w:type="fixed"/>
        <w:tblCellMar>
          <w:top w:w="28" w:type="dxa"/>
          <w:left w:w="28" w:type="dxa"/>
          <w:bottom w:w="28" w:type="dxa"/>
          <w:right w:w="28" w:type="dxa"/>
        </w:tblCellMar>
      </w:tblPr>
      <w:tblGrid>
        <w:gridCol w:w="1516"/>
        <w:gridCol w:w="105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051"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9</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6.4.4.</w:t>
      </w:r>
    </w:p>
    <w:p>
      <w:pPr>
        <w:pStyle w:val="TextBody"/>
        <w:bidi w:val="0"/>
        <w:spacing w:before="0" w:after="120"/>
        <w:jc w:val="both"/>
        <w:rPr/>
      </w:pPr>
      <w:r>
        <w:rPr>
          <w:rFonts w:ascii="Times New Roman;serif" w:hAnsi="Times New Roman;serif"/>
          <w:b w:val="false"/>
          <w:i/>
          <w:sz w:val="20"/>
        </w:rPr>
        <w:t>Non-Conforming DP/DS</w:t>
      </w:r>
      <w:r>
        <w:rPr>
          <w:rFonts w:ascii="Times New Roman;serif" w:hAnsi="Times New Roman;serif"/>
          <w:b w:val="false"/>
          <w:sz w:val="20"/>
        </w:rPr>
        <w:t>. In the event that any DP and/or DS released by Celltrion and delivered hereunder fails to conform with the Specifications at the time such DP and/or DS is delivered to Rani, Rani may reject the same by giving written notice thereof to Celltrion (a “</w:t>
      </w:r>
      <w:r>
        <w:rPr>
          <w:rFonts w:ascii="Times New Roman;serif" w:hAnsi="Times New Roman;serif"/>
          <w:b w:val="false"/>
          <w:i/>
          <w:sz w:val="20"/>
        </w:rPr>
        <w:t>Notice</w:t>
      </w:r>
      <w:r>
        <w:rPr/>
        <w:t>”</w:t>
      </w:r>
      <w:r>
        <w:rPr>
          <w:rFonts w:ascii="Times New Roman;serif" w:hAnsi="Times New Roman;serif"/>
          <w:b w:val="false"/>
          <w:sz w:val="20"/>
        </w:rPr>
        <w:t xml:space="preserve">), within [*] days after receipt of the DP and/or DS at Rani’s facility, and for latent defects, within [*] days after discovery of such latent defect, which Notice will specify the manner in which the DP and/or DS fails to conform to the Specifications. If Rani reasonably suspects that any DP and/or DS hereunder fails to conform to the Specifications, Rani may provide Notice to Celltrion, during the time periods described above, and the period for Rani to accept or reject such DP and/or DS will be extended by the period reasonably required to complete an inspection of such DP and/or DS and subsequent investigation, if any; provided that, Rani will target conclusion of any such inspection and investigation within [*] days of commencement of such inspection. If Celltrion disagrees with Rani’s conclusion with respect to the non-conformance of such DP and/or DS, Celltrion will have the right to request that Rani submit its investigation report to an independent Third-Party expert mutually agreed upon by the Parties for review. Such independent Third-Party expert will review and make a determination as to non-conformance, and such expert’s report will be shared with both Parties and its conclusion will determine conformance or non-conformance with the Specifications. The cost of such expert review will be borne by the Party whose position was contrary to the expert’s determination (i.e., Rani if the expert determines the DP and/or DS conformed to Specifications at the time of delivery, or Celltrion if the expert determines the DP and/or DS did not so conform at the time of delivery).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6.4.5.</w:t>
      </w:r>
    </w:p>
    <w:p>
      <w:pPr>
        <w:pStyle w:val="TextBody"/>
        <w:bidi w:val="0"/>
        <w:spacing w:before="0" w:after="120"/>
        <w:jc w:val="both"/>
        <w:rPr/>
      </w:pPr>
      <w:r>
        <w:rPr>
          <w:rFonts w:ascii="Times New Roman;serif" w:hAnsi="Times New Roman;serif"/>
          <w:b w:val="false"/>
          <w:i/>
          <w:sz w:val="20"/>
        </w:rPr>
        <w:t>Changes to Manufacturing</w:t>
      </w:r>
      <w:r>
        <w:rPr>
          <w:rFonts w:ascii="Times New Roman;serif" w:hAnsi="Times New Roman;serif"/>
          <w:b w:val="false"/>
          <w:sz w:val="20"/>
        </w:rPr>
        <w:t>. If changes to the Specifications of DP and/or DS are required, Celltrion will provide prior notification to Rani. Following the change of control process, where required, necessary regulatory applications may be submitted to regulatory authorities. All other updates, including regulatory authorities’ approval, will be implemented in accordance with change of control process, and be notified to Rani. Any reasonable and documented additional costs incurred by Rani as a result of any changes to the Specifications of the DP and/or DS shall be borne by Celltrion. Celltrion will notify Rani in writing of any changes in or to the Specifications, Celltrion’s manufacturing facilities or procedures, vendors, raw materials or capital equipment that will or may require Rani to amend its Regulatory Filings related to Product or otherwise as reasonably necessary to enable Rani to fulfill its regulatory obligations with respect to Product.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6.5.</w:t>
      </w:r>
    </w:p>
    <w:p>
      <w:pPr>
        <w:pStyle w:val="TextBody"/>
        <w:bidi w:val="0"/>
        <w:spacing w:before="0" w:after="120"/>
        <w:jc w:val="both"/>
        <w:rPr/>
      </w:pPr>
      <w:r>
        <w:rPr>
          <w:rFonts w:ascii="Times New Roman;serif" w:hAnsi="Times New Roman;serif"/>
          <w:b w:val="false"/>
          <w:sz w:val="20"/>
          <w:u w:val="single"/>
        </w:rPr>
        <w:t>Commercial Supply</w:t>
      </w:r>
      <w:r>
        <w:rPr>
          <w:rFonts w:ascii="Times New Roman;serif" w:hAnsi="Times New Roman;serif"/>
          <w:b w:val="false"/>
          <w:sz w:val="20"/>
        </w:rPr>
        <w:t>. Promptly following the Order Date for the Initial Supply, Celltrion will use its reasonable efforts to facilitate discussions among Celltrion, Rani and [*] with respect to a commercial supply agreement for Stage 3 Supply of Drug Substance (“</w:t>
      </w:r>
      <w:r>
        <w:rPr>
          <w:rFonts w:ascii="Times New Roman;serif" w:hAnsi="Times New Roman;serif"/>
          <w:b w:val="false"/>
          <w:i/>
          <w:sz w:val="20"/>
        </w:rPr>
        <w:t>Commercial Supply Agreement</w:t>
      </w:r>
      <w:r>
        <w:rPr/>
        <w:t>”</w:t>
      </w:r>
      <w:r>
        <w:rPr>
          <w:rFonts w:ascii="Times New Roman;serif" w:hAnsi="Times New Roman;serif"/>
          <w:b w:val="false"/>
          <w:sz w:val="20"/>
        </w:rPr>
        <w:t>) and a corresponding quality agreement. Celltrion and Rani will cooperate in good faith with an aim toward working out with [*] basic commercial supply terms within [*] after the Effective Date. It is acknowledged and understood that Rani may choose to stop or pause its preclinical and/or clinical activities with respect to Product at any time if it believes the parties are not making sufficient progress toward agreeing upon commercial supply terms and/or executing a commercial supply agreement.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6.6.</w:t>
      </w:r>
    </w:p>
    <w:p>
      <w:pPr>
        <w:pStyle w:val="TextBody"/>
        <w:bidi w:val="0"/>
        <w:spacing w:before="0" w:after="120"/>
        <w:jc w:val="both"/>
        <w:rPr/>
      </w:pPr>
      <w:r>
        <w:rPr>
          <w:rFonts w:ascii="Times New Roman;serif" w:hAnsi="Times New Roman;serif"/>
          <w:b w:val="false"/>
          <w:sz w:val="20"/>
          <w:u w:val="single"/>
        </w:rPr>
        <w:t>Quality Agreement</w:t>
      </w:r>
      <w:r>
        <w:rPr>
          <w:rFonts w:ascii="Times New Roman;serif" w:hAnsi="Times New Roman;serif"/>
          <w:b w:val="false"/>
          <w:sz w:val="20"/>
        </w:rPr>
        <w:t xml:space="preserve">. Within thirty (30) days after the Effective Date, the Parties will enter into a quality agreement governing the quality and specifications of clinical Drug Product and/or Drug Substance to be supplied hereunder. Such quality agreement will be documented in writing, and will be regularly updated as needed by mutual written agreement of the Parties.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10</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6.7.</w:t>
      </w:r>
    </w:p>
    <w:p>
      <w:pPr>
        <w:pStyle w:val="TextBody"/>
        <w:bidi w:val="0"/>
        <w:spacing w:before="0" w:after="120"/>
        <w:jc w:val="both"/>
        <w:rPr/>
      </w:pPr>
      <w:r>
        <w:rPr>
          <w:rFonts w:ascii="Times New Roman;serif" w:hAnsi="Times New Roman;serif"/>
          <w:b w:val="false"/>
          <w:sz w:val="20"/>
          <w:u w:val="single"/>
        </w:rPr>
        <w:t>Rani Inspections</w:t>
      </w:r>
      <w:r>
        <w:rPr>
          <w:rFonts w:ascii="Times New Roman;serif" w:hAnsi="Times New Roman;serif"/>
          <w:b w:val="false"/>
          <w:sz w:val="20"/>
        </w:rPr>
        <w:t>. Subject to the terms and conditions of this Agreement, Rani may visit and inspect, no more than [*], at its own expense, Celltrion’s (a) manufacturing facilities for Drug Product and/or Drug Substance, (b) quality control and analytical laboratories for the testing of Drug Product and/or Drug Substance, and (c) documents and records relating to (a) and (b) above or as otherwise reasonably requested, in each case to the extent such facilities or records relate to the Drug Product and/or Drug Substance supplied to Rani pursuant to this Agreement (“</w:t>
      </w:r>
      <w:r>
        <w:rPr>
          <w:rFonts w:ascii="Times New Roman;serif" w:hAnsi="Times New Roman;serif"/>
          <w:b w:val="false"/>
          <w:i/>
          <w:sz w:val="20"/>
        </w:rPr>
        <w:t>Routine In-Person Audit</w:t>
      </w:r>
      <w:r>
        <w:rPr/>
        <w:t>”</w:t>
      </w:r>
      <w:r>
        <w:rPr>
          <w:rFonts w:ascii="Times New Roman;serif" w:hAnsi="Times New Roman;serif"/>
          <w:b w:val="false"/>
          <w:sz w:val="20"/>
        </w:rPr>
        <w:t>). For Routine In-Person Audits, [*]. In case of a significant quality issue that affects the Drug Product and/or Drug Substance, the Parties may discuss to allow a for cause audit. Rani’s inspections will be limited in scope to what is reasonably necessary to confirm that Celltrion complies, or has complied, with cGMP, this Agreement and the Quality Agreement in manufacturing the Drug Product and/or Drug Substance. Rani will coordinate all inspections with Celltrion and provide Celltrion with no less than [*] days prior written notice of any proposed routine inspection, and each in-person inspection will be [*] unless otherwise agreed between the Parties. The Parties will agree on timing and scope for any for cause audits, based on the exigency of the matter at issue. In addition, Celltrion will reasonably consider any specific requests from Rani for quality-related documentation outside of an in-person inspection. Inspections will be conducted in accordance with Celltrion’s reasonable procedures during normal hours of operation. Any information obtained by Rani in the course of such inspections will be treated as Celltrion Confidential Information.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6.8.</w:t>
      </w:r>
    </w:p>
    <w:p>
      <w:pPr>
        <w:pStyle w:val="TextBody"/>
        <w:bidi w:val="0"/>
        <w:spacing w:before="0" w:after="120"/>
        <w:jc w:val="both"/>
        <w:rPr/>
      </w:pPr>
      <w:r>
        <w:rPr>
          <w:rFonts w:ascii="Times New Roman;serif" w:hAnsi="Times New Roman;serif"/>
          <w:b w:val="false"/>
          <w:sz w:val="20"/>
          <w:u w:val="single"/>
        </w:rPr>
        <w:t>Shortage Allocation</w:t>
      </w:r>
      <w:r>
        <w:rPr>
          <w:rFonts w:ascii="Times New Roman;serif" w:hAnsi="Times New Roman;serif"/>
          <w:b w:val="false"/>
          <w:sz w:val="20"/>
        </w:rPr>
        <w:t xml:space="preserve">. In the event of a shortage of Drug Product and/or Drug Substance such that Celltrion reasonably believes that it will not be able to supply Rani’s requirements, Celltrion will promptly provide written notice to Rani thereof. If Celltrion actually cannot supply (a) Rani’s Orders in full in accordance with the Agreement and (b) Celltrion’s requirements for Drug Product and/or Drug Substance (including its obligations to licensees or distributors of Celltrion), then Celltrion will reasonably allocate Drug Product and/or Drug Substance such that each of Rani and Celltrion (together with its licensees or distributors) will suffer a pro rata shortage, determined by reference to the Drug Product and/or Drug Substance requirements of Rani as forecast by Rani and the requirements of Celltrion (together with its licensees and distributors) forecast by Celltrion.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6.9.</w:t>
      </w:r>
    </w:p>
    <w:p>
      <w:pPr>
        <w:pStyle w:val="TextBody"/>
        <w:bidi w:val="0"/>
        <w:spacing w:before="0" w:after="0"/>
        <w:jc w:val="both"/>
        <w:rPr/>
      </w:pPr>
      <w:r>
        <w:rPr>
          <w:rFonts w:ascii="Times New Roman;serif" w:hAnsi="Times New Roman;serif"/>
          <w:b w:val="false"/>
          <w:sz w:val="20"/>
          <w:u w:val="single"/>
        </w:rPr>
        <w:t>Supply Continuity</w:t>
      </w:r>
      <w:r>
        <w:rPr>
          <w:rFonts w:ascii="Times New Roman;serif" w:hAnsi="Times New Roman;serif"/>
          <w:b w:val="false"/>
          <w:sz w:val="20"/>
        </w:rPr>
        <w:t>. In case Celltrion is unable to, or reasonably believes that it will not be able to, supply Rani’s requirements of Drug Product and/or Drug Substance under this Agreement, Celltrion will promptly notify Rani of any actual or potential disruption to its ability to supply Drug Product and/or Drug Substance to Rani in full in accordance with the terms of this Agreement (a “</w:t>
      </w:r>
      <w:r>
        <w:rPr>
          <w:rFonts w:ascii="Times New Roman;serif" w:hAnsi="Times New Roman;serif"/>
          <w:b w:val="false"/>
          <w:i/>
          <w:sz w:val="20"/>
        </w:rPr>
        <w:t>Supply Disruption</w:t>
      </w:r>
      <w:r>
        <w:rPr/>
        <w:t>”</w:t>
      </w:r>
      <w:r>
        <w:rPr>
          <w:rFonts w:ascii="Times New Roman;serif" w:hAnsi="Times New Roman;serif"/>
          <w:b w:val="false"/>
          <w:sz w:val="20"/>
        </w:rPr>
        <w:t>). In such event, the Parties will promptly meet to discuss such situation and to seek a mutually agreeable mitigation or resolution to the Supply Disruption (which could include, without limitation, build-up of inventory, or other solutions). During any Supply Disruption, Rani, subject to [*] days’ prior written notice to Celltrion, will have the right to obtain supply of Drug Product and/or Drug Substance or other adalimumab biosimilar for use in Product from Third Parties (“</w:t>
      </w:r>
      <w:r>
        <w:rPr>
          <w:rFonts w:ascii="Times New Roman;serif" w:hAnsi="Times New Roman;serif"/>
          <w:b w:val="false"/>
          <w:i/>
          <w:sz w:val="20"/>
        </w:rPr>
        <w:t>Alternate Supply</w:t>
      </w:r>
      <w:r>
        <w:rPr/>
        <w:t>”</w:t>
      </w:r>
      <w:r>
        <w:rPr>
          <w:rFonts w:ascii="Times New Roman;serif" w:hAnsi="Times New Roman;serif"/>
          <w:b w:val="false"/>
          <w:sz w:val="20"/>
        </w:rPr>
        <w:t xml:space="preserve">) as it determines to be reasonably necessary or appropriate to avoid or remedy a Supply Disruption (including, without limitation, such period(s) or quantities of supply to which Rani has to reasonably commit in order to obtain supply from such Third Parties with respect to a Supply Disruption). If, as of the time Celltrion has remedied a Supply Disruption (and no further Supply Disruption is foreseeable), Rani will use reasonable efforts to transition back to use of Celltrion supply of DP and/or DS hereunder if and when reasonably practicable, provided that it would not unduly interfere with Rani’s continued development, manufacture or commercialization of Product as determined by Rani in its reasonable judgment. Celltrion will reimburse Rani for the difference between the costs of obtaining Alternate Supply and the cost of obtaining such supply from Celltrion, as well as costs associated with mitigation activities with respect to a Supply Disruption hereunder (and Rani may offset such costs against any amounts owed to Celltrion hereunder), in addition to any other remedies available at law or in equity.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7.</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Payment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7.1.</w:t>
      </w:r>
    </w:p>
    <w:p>
      <w:pPr>
        <w:pStyle w:val="TextBody"/>
        <w:bidi w:val="0"/>
        <w:spacing w:before="0" w:after="120"/>
        <w:jc w:val="both"/>
        <w:rPr/>
      </w:pPr>
      <w:r>
        <w:rPr>
          <w:rFonts w:ascii="Times New Roman;serif" w:hAnsi="Times New Roman;serif"/>
          <w:b w:val="false"/>
          <w:sz w:val="20"/>
          <w:u w:val="single"/>
        </w:rPr>
        <w:t>Supply Price</w:t>
      </w:r>
      <w:r>
        <w:rPr>
          <w:rFonts w:ascii="Times New Roman;serif" w:hAnsi="Times New Roman;serif"/>
          <w:b w:val="false"/>
          <w:sz w:val="20"/>
        </w:rPr>
        <w:t xml:space="preserve">. Rani will pay Celltrion for the supply of Drug Product and/or Drug Substance as set forth in the Supply Price Schedule attached to this Agreement as Appendix A.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11</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7.2.</w:t>
      </w:r>
    </w:p>
    <w:p>
      <w:pPr>
        <w:pStyle w:val="TextBody"/>
        <w:bidi w:val="0"/>
        <w:spacing w:before="0" w:after="120"/>
        <w:jc w:val="both"/>
        <w:rPr/>
      </w:pPr>
      <w:r>
        <w:rPr>
          <w:rFonts w:ascii="Times New Roman;serif" w:hAnsi="Times New Roman;serif"/>
          <w:b w:val="false"/>
          <w:sz w:val="20"/>
          <w:u w:val="single"/>
        </w:rPr>
        <w:t>Reimbursement</w:t>
      </w:r>
      <w:r>
        <w:rPr>
          <w:rFonts w:ascii="Times New Roman;serif" w:hAnsi="Times New Roman;serif"/>
          <w:b w:val="false"/>
          <w:sz w:val="20"/>
        </w:rPr>
        <w:t>. Any reimbursement for FTE time expressly contemplated under this Agreement will be billed on an hourly basis, multiplying the number of reimbursable hours worked times the FTE Rate. Any reimbursement of out-of-pocket costs expressly contemplated under this Agreement will be billed at cost, with no mark-up. The Party to be reimbursed will include appropriate documentation for reimbursable costs, in such detail reasonably agreed by the Parties, with any invoice submitted therefor.</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7.3.</w:t>
      </w:r>
    </w:p>
    <w:p>
      <w:pPr>
        <w:pStyle w:val="TextBody"/>
        <w:bidi w:val="0"/>
        <w:spacing w:before="0" w:after="120"/>
        <w:jc w:val="both"/>
        <w:rPr/>
      </w:pPr>
      <w:r>
        <w:rPr>
          <w:rFonts w:ascii="Times New Roman;serif" w:hAnsi="Times New Roman;serif"/>
          <w:b w:val="false"/>
          <w:sz w:val="20"/>
          <w:u w:val="single"/>
        </w:rPr>
        <w:t>Invoices</w:t>
      </w:r>
      <w:r>
        <w:rPr>
          <w:rFonts w:ascii="Times New Roman;serif" w:hAnsi="Times New Roman;serif"/>
          <w:b w:val="false"/>
          <w:sz w:val="20"/>
        </w:rPr>
        <w:t xml:space="preserve">. Upon delivery of supply of Drug Product and/or Drug Substance in accordance with the terms of this Agreement, Celltrion will invoice Rani the applicable supply price for Drug Product and/or Drug Substance delivered. For any other amounts that are payable or reimbursable hereunder, the applicable Party will invoice the other Party for the amount of such payment or reimbursement. The invoicing Party will itemize in the invoice, and include with the invoice, copies of appropriate documentation for any reimbursable costs incurred. All undisputed invoices will be payable within [*] days of receipt. All invoices will be in U.S. Dollars. Each Party will provide the other Party promptly upon request with any reasonably requested information related to withholding taxes or otherwise reasonably required to process payment.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7.4.</w:t>
      </w:r>
    </w:p>
    <w:p>
      <w:pPr>
        <w:pStyle w:val="TextBody"/>
        <w:bidi w:val="0"/>
        <w:spacing w:before="0" w:after="120"/>
        <w:jc w:val="both"/>
        <w:rPr/>
      </w:pPr>
      <w:r>
        <w:rPr>
          <w:rFonts w:ascii="Times New Roman;serif" w:hAnsi="Times New Roman;serif"/>
          <w:b w:val="false"/>
          <w:sz w:val="20"/>
          <w:u w:val="single"/>
        </w:rPr>
        <w:t>Payment Method</w:t>
      </w:r>
      <w:r>
        <w:rPr>
          <w:rFonts w:ascii="Times New Roman;serif" w:hAnsi="Times New Roman;serif"/>
          <w:b w:val="false"/>
          <w:sz w:val="20"/>
        </w:rPr>
        <w:t>. All payments made hereunder between the Parties will be made in U.S. Dollars. Each Party will pay all sums due hereunder by check, wire transfer, or electronic funds transfer (EFT) in immediately available funds. Each Party will promptly notify the other Party of the appropriate account information to facilitate any such payments. All amounts payable under this Agreement will be paid in full (subject to Section 7.8 (Withholding)).</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7.5.</w:t>
      </w:r>
    </w:p>
    <w:p>
      <w:pPr>
        <w:pStyle w:val="TextBody"/>
        <w:bidi w:val="0"/>
        <w:spacing w:before="0" w:after="120"/>
        <w:jc w:val="both"/>
        <w:rPr/>
      </w:pPr>
      <w:r>
        <w:rPr>
          <w:rFonts w:ascii="Times New Roman;serif" w:hAnsi="Times New Roman;serif"/>
          <w:b w:val="false"/>
          <w:sz w:val="20"/>
          <w:u w:val="single"/>
        </w:rPr>
        <w:t>Currency Conversion</w:t>
      </w:r>
      <w:r>
        <w:rPr>
          <w:rFonts w:ascii="Times New Roman;serif" w:hAnsi="Times New Roman;serif"/>
          <w:b w:val="false"/>
          <w:sz w:val="20"/>
        </w:rPr>
        <w:t xml:space="preserve">. With respect to each calendar quarter, for countries other than the United States, whenever conversion of payments from any foreign currency is required, such conversion will be made at the average rate of exchange for the currency of the applicable country during the calendar quarter to which such payments relate, as reported in </w:t>
      </w:r>
      <w:r>
        <w:rPr>
          <w:rFonts w:ascii="Times New Roman;serif" w:hAnsi="Times New Roman;serif"/>
          <w:b w:val="false"/>
          <w:i/>
          <w:sz w:val="20"/>
        </w:rPr>
        <w:t>Bloomberg Professional</w:t>
      </w:r>
      <w:r>
        <w:rPr>
          <w:rFonts w:ascii="Times New Roman;serif" w:hAnsi="Times New Roman;serif"/>
          <w:b w:val="false"/>
          <w:sz w:val="20"/>
        </w:rPr>
        <w:t xml:space="preserve">, a service of Bloomberg L.P., or in the event </w:t>
      </w:r>
      <w:r>
        <w:rPr>
          <w:rFonts w:ascii="Times New Roman;serif" w:hAnsi="Times New Roman;serif"/>
          <w:b w:val="false"/>
          <w:i/>
          <w:sz w:val="20"/>
        </w:rPr>
        <w:t>Bloomberg Professional</w:t>
      </w:r>
      <w:r>
        <w:rPr/>
        <w:t xml:space="preserve"> </w:t>
      </w:r>
      <w:r>
        <w:rPr>
          <w:rFonts w:ascii="Times New Roman;serif" w:hAnsi="Times New Roman;serif"/>
          <w:b w:val="false"/>
          <w:sz w:val="20"/>
        </w:rPr>
        <w:t xml:space="preserve">is not available then </w:t>
      </w:r>
      <w:r>
        <w:rPr>
          <w:rFonts w:ascii="Times New Roman;serif" w:hAnsi="Times New Roman;serif"/>
          <w:b w:val="false"/>
          <w:i/>
          <w:sz w:val="20"/>
        </w:rPr>
        <w:t>The Wall Street Journal</w:t>
      </w:r>
      <w:r>
        <w:rPr>
          <w:rFonts w:ascii="Times New Roman;serif" w:hAnsi="Times New Roman;serif"/>
          <w:b w:val="false"/>
          <w:sz w:val="20"/>
        </w:rPr>
        <w:t>.</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7.6.</w:t>
      </w:r>
    </w:p>
    <w:p>
      <w:pPr>
        <w:pStyle w:val="TextBody"/>
        <w:bidi w:val="0"/>
        <w:spacing w:before="0" w:after="120"/>
        <w:jc w:val="both"/>
        <w:rPr/>
      </w:pPr>
      <w:r>
        <w:rPr>
          <w:rFonts w:ascii="Times New Roman;serif" w:hAnsi="Times New Roman;serif"/>
          <w:b w:val="false"/>
          <w:sz w:val="20"/>
          <w:u w:val="single"/>
        </w:rPr>
        <w:t>Audits</w:t>
      </w:r>
      <w:r>
        <w:rPr>
          <w:rFonts w:ascii="Times New Roman;serif" w:hAnsi="Times New Roman;serif"/>
          <w:b w:val="false"/>
          <w:sz w:val="20"/>
        </w:rPr>
        <w:t xml:space="preserve">. Each Party will keep complete and accurate records pertaining to its activities hereunder for which the other Party is obligated to pay or reimburse such Party, in sufficient detail to permit the paying Party to reasonably confirm the accuracy of all payments due hereunder and such records will be open (in such form as may be available or reasonably requested by a certified public accountant in accordance with this Section 7.6 (Audits)) to inspection for [*] following the end of the period to which they pertain. Each Party will have the right, at its own expense, to have an independent, certified public accountant, selected by it review such records of the other Party upon reasonable notice and during regular business hours and under reasonable obligations of confidentiality. The report of such accountant will be made available to both Parties simultaneously, promptly upon its completion; </w:t>
      </w:r>
      <w:r>
        <w:rPr>
          <w:rFonts w:ascii="Times New Roman;serif" w:hAnsi="Times New Roman;serif"/>
          <w:b w:val="false"/>
          <w:i/>
          <w:sz w:val="20"/>
        </w:rPr>
        <w:t>provided, however</w:t>
      </w:r>
      <w:r>
        <w:rPr>
          <w:rFonts w:ascii="Times New Roman;serif" w:hAnsi="Times New Roman;serif"/>
          <w:b w:val="false"/>
          <w:sz w:val="20"/>
        </w:rPr>
        <w:t xml:space="preserve">, that the Party being audited will have the right to review and comment on the final draft version of the report prior to it being finalized. Each Party’s audit rights with respect to any calendar year shall expire [*] after the end of such year and the books and records for any particular calendar year will only be subject to [*] audit. If the inspection leads to the discovery of a discrepancy to the auditing Party’s detriment, then the other Party will pay to the auditing Party the amount of the discrepancy. If the inspection leads to the discovery of a discrepancy to the detriment of the Party being audited, then the auditing Party will pay to the Party being audited the amount of the discrepancy. The auditing Party will pay the full cost of the inspection unless the discrepancy is to the detriment of the auditing Party and is greater than [*] of the amount actually paid for the audited period, in which case the Party being audited will pay the cost of such inspection.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7.7.</w:t>
      </w:r>
    </w:p>
    <w:p>
      <w:pPr>
        <w:pStyle w:val="TextBody"/>
        <w:bidi w:val="0"/>
        <w:spacing w:before="0" w:after="120"/>
        <w:jc w:val="both"/>
        <w:rPr/>
      </w:pPr>
      <w:r>
        <w:rPr>
          <w:rFonts w:ascii="Times New Roman;serif" w:hAnsi="Times New Roman;serif"/>
          <w:b w:val="false"/>
          <w:sz w:val="20"/>
          <w:u w:val="single"/>
        </w:rPr>
        <w:t>Taxes</w:t>
      </w:r>
      <w:r>
        <w:rPr>
          <w:rFonts w:ascii="Times New Roman;serif" w:hAnsi="Times New Roman;serif"/>
          <w:b w:val="false"/>
          <w:sz w:val="20"/>
        </w:rPr>
        <w:t>. All Taxes levied on account of a payment made by one Party to the other Party pursuant to this Agreement may be subject to the withholding and remittance provisions of Section 7.8 (Withholding).</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7.8.</w:t>
      </w:r>
    </w:p>
    <w:p>
      <w:pPr>
        <w:pStyle w:val="TextBody"/>
        <w:bidi w:val="0"/>
        <w:spacing w:before="0" w:after="120"/>
        <w:jc w:val="both"/>
        <w:rPr/>
      </w:pPr>
      <w:r>
        <w:rPr>
          <w:rFonts w:ascii="Times New Roman;serif" w:hAnsi="Times New Roman;serif"/>
          <w:b w:val="false"/>
          <w:sz w:val="20"/>
          <w:u w:val="single"/>
        </w:rPr>
        <w:t>Withholding</w:t>
      </w:r>
      <w:r>
        <w:rPr>
          <w:rFonts w:ascii="Times New Roman;serif" w:hAnsi="Times New Roman;serif"/>
          <w:b w:val="false"/>
          <w:sz w:val="20"/>
        </w:rPr>
        <w:t xml:space="preserve">. In the event that Law requires one Party to pay or withhold Taxes with respect to any payment to be made by the Party pursuant to this Agreement, the Party will notify the other Party in writing of such payment or withholding requirements prior to making the payment to the other Party and provide such assistance to the other Party, including the provision of such documentation as may be required by a tax authority, as may be reasonably necessary in the other Party’s efforts to claim an exemption from or reduction of such Taxes. The paying Party will, in accordance with Law, withhold Taxes from the amount due, remit such Taxes to the appropriate tax authority, and furnish the other Party with proof of payment of such Taxes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12</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jc w:val="both"/>
        <w:rPr/>
      </w:pPr>
      <w:r>
        <w:rPr>
          <w:rFonts w:ascii="Times New Roman;serif" w:hAnsi="Times New Roman;serif"/>
          <w:b w:val="false"/>
          <w:sz w:val="20"/>
        </w:rPr>
        <w:t>promptly following obtaining the relevant payment certificate. If Taxes are paid to a tax authority, the paying Party will provide such assistance to the other Party as is reasonably required to obtain a refund of Taxes withheld, or obtain a credit with respect to Taxes paid.</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7.9.</w:t>
      </w:r>
    </w:p>
    <w:p>
      <w:pPr>
        <w:pStyle w:val="TextBody"/>
        <w:bidi w:val="0"/>
        <w:spacing w:before="0" w:after="120"/>
        <w:jc w:val="both"/>
        <w:rPr/>
      </w:pPr>
      <w:r>
        <w:rPr>
          <w:rFonts w:ascii="Times New Roman;serif" w:hAnsi="Times New Roman;serif"/>
          <w:b w:val="false"/>
          <w:sz w:val="20"/>
          <w:u w:val="single"/>
        </w:rPr>
        <w:t>Late Payment</w:t>
      </w:r>
      <w:r>
        <w:rPr>
          <w:rFonts w:ascii="Times New Roman;serif" w:hAnsi="Times New Roman;serif"/>
          <w:b w:val="false"/>
          <w:sz w:val="20"/>
        </w:rPr>
        <w:t>. Any payments or portions thereof due hereunder which are not paid when due will bear interest at the Contract Interest Rate calculated on the number of days such payment is delinquent. This Section 7.9 (Late Payment) will in no way limit any other remedies available to either Party.</w:t>
      </w:r>
      <w:r>
        <w:rPr/>
        <w:t xml:space="preserve">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7.10.</w:t>
      </w:r>
    </w:p>
    <w:p>
      <w:pPr>
        <w:pStyle w:val="TextBody"/>
        <w:bidi w:val="0"/>
        <w:spacing w:before="0" w:after="120"/>
        <w:jc w:val="both"/>
        <w:rPr/>
      </w:pPr>
      <w:r>
        <w:rPr>
          <w:rFonts w:ascii="Times New Roman;serif" w:hAnsi="Times New Roman;serif"/>
          <w:b w:val="false"/>
          <w:sz w:val="20"/>
          <w:u w:val="single"/>
        </w:rPr>
        <w:t>Appropriate Compensation</w:t>
      </w:r>
      <w:r>
        <w:rPr>
          <w:rFonts w:ascii="Times New Roman;serif" w:hAnsi="Times New Roman;serif"/>
          <w:b w:val="false"/>
          <w:i/>
          <w:sz w:val="20"/>
        </w:rPr>
        <w:t xml:space="preserve">. </w:t>
      </w:r>
      <w:r>
        <w:rPr>
          <w:rFonts w:ascii="Times New Roman;serif" w:hAnsi="Times New Roman;serif"/>
          <w:b w:val="false"/>
          <w:sz w:val="20"/>
        </w:rPr>
        <w:t xml:space="preserve">In addition to the ROFN and other non-financial consideration granted by Rani to Celltrion under this Agreement, the Parties agree that the payments for supply of Drug Product and/or Drug Substance represent the mechanism and overall monetary value agreed by the Parties for compensating Celltrion for the rights and license granted hereunder and the supply of Drug Product and/or Drug Substance. </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7.11.</w:t>
      </w:r>
    </w:p>
    <w:p>
      <w:pPr>
        <w:pStyle w:val="TextBody"/>
        <w:bidi w:val="0"/>
        <w:spacing w:before="0" w:after="120"/>
        <w:jc w:val="both"/>
        <w:rPr/>
      </w:pPr>
      <w:r>
        <w:rPr>
          <w:rFonts w:ascii="Times New Roman;serif" w:hAnsi="Times New Roman;serif"/>
          <w:b w:val="false"/>
          <w:sz w:val="20"/>
          <w:u w:val="single"/>
        </w:rPr>
        <w:t>Sublicense Payments</w:t>
      </w:r>
      <w:r>
        <w:rPr>
          <w:rFonts w:ascii="Times New Roman;serif" w:hAnsi="Times New Roman;serif"/>
          <w:b w:val="false"/>
          <w:sz w:val="20"/>
        </w:rPr>
        <w:t>. Celltrion will be responsible for any Third-Party license payments, milestones and royalties owed with respect to the manufacture, use, supply, or sale of Drug Product and/or Drug Substance under this Agreement in connection with Product, with respect to intellectual property that: (a) is licensed by Celltrion prior to or as of the Effective Date or (b) is licensed or acquired by Celltrion after the Effective Date without Rani’s prior written agreement.</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7.12.</w:t>
      </w:r>
    </w:p>
    <w:p>
      <w:pPr>
        <w:pStyle w:val="TextBody"/>
        <w:bidi w:val="0"/>
        <w:spacing w:before="0" w:after="0"/>
        <w:jc w:val="both"/>
        <w:rPr/>
      </w:pPr>
      <w:r>
        <w:rPr>
          <w:rFonts w:ascii="Times New Roman;serif" w:hAnsi="Times New Roman;serif"/>
          <w:b w:val="false"/>
          <w:sz w:val="20"/>
          <w:u w:val="single"/>
        </w:rPr>
        <w:t>No Additions or Deductions</w:t>
      </w:r>
      <w:r>
        <w:rPr>
          <w:rFonts w:ascii="Times New Roman;serif" w:hAnsi="Times New Roman;serif"/>
          <w:b w:val="false"/>
          <w:sz w:val="20"/>
        </w:rPr>
        <w:t xml:space="preserve">. Except as expressly set forth in this Agreement, neither Party will have the right to add any additional charges to, or make any deductions from, amounts otherwise payable pursuant to this Agreement on account of any royalty or other amount payable by such Party to any Third Party.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8.</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 xml:space="preserve">Intellectual Property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8.1.</w:t>
      </w:r>
    </w:p>
    <w:p>
      <w:pPr>
        <w:pStyle w:val="TextBody"/>
        <w:bidi w:val="0"/>
        <w:spacing w:before="0" w:after="120"/>
        <w:jc w:val="both"/>
        <w:rPr/>
      </w:pPr>
      <w:r>
        <w:rPr>
          <w:rFonts w:ascii="Times New Roman;serif" w:hAnsi="Times New Roman;serif"/>
          <w:b w:val="false"/>
          <w:sz w:val="20"/>
          <w:u w:val="single"/>
        </w:rPr>
        <w:t>Program Inventions</w:t>
      </w:r>
      <w:r>
        <w:rPr>
          <w:rFonts w:ascii="Times New Roman;serif" w:hAnsi="Times New Roman;serif"/>
          <w:b w:val="false"/>
          <w:sz w:val="20"/>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8.1.1.</w:t>
      </w:r>
    </w:p>
    <w:p>
      <w:pPr>
        <w:pStyle w:val="TextBody"/>
        <w:bidi w:val="0"/>
        <w:spacing w:before="0" w:after="120"/>
        <w:jc w:val="both"/>
        <w:rPr/>
      </w:pPr>
      <w:r>
        <w:rPr>
          <w:rFonts w:ascii="Times New Roman;serif" w:hAnsi="Times New Roman;serif"/>
          <w:b w:val="false"/>
          <w:i/>
          <w:sz w:val="20"/>
        </w:rPr>
        <w:t>Ownership</w:t>
      </w:r>
      <w:r>
        <w:rPr>
          <w:rFonts w:ascii="Times New Roman;serif" w:hAnsi="Times New Roman;serif"/>
          <w:b w:val="false"/>
          <w:sz w:val="20"/>
        </w:rPr>
        <w:t>. Celltrion will own Program Inventions solely related and limited to the Drug (but no other composition or subject matter including adalimumab or biosimilars thereto or other TNF-α molecules, other than Drug), including without limitation the composition, formulation (except as noted below), manufacture or use of Drug. Rani will own all other Program Inventions, including Program Inventions that relate to the formulation of molecules for use in Rani Oral Delivery Technology, including without limitation microtablet formulations of Drug, and oral dosing regimens.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8.1.2.</w:t>
      </w:r>
    </w:p>
    <w:p>
      <w:pPr>
        <w:pStyle w:val="TextBody"/>
        <w:bidi w:val="0"/>
        <w:spacing w:before="0" w:after="120"/>
        <w:jc w:val="both"/>
        <w:rPr/>
      </w:pPr>
      <w:r>
        <w:rPr>
          <w:rFonts w:ascii="Times New Roman;serif" w:hAnsi="Times New Roman;serif"/>
          <w:b w:val="false"/>
          <w:i/>
          <w:sz w:val="20"/>
        </w:rPr>
        <w:t>License</w:t>
      </w:r>
      <w:r>
        <w:rPr>
          <w:rFonts w:ascii="Times New Roman;serif" w:hAnsi="Times New Roman;serif"/>
          <w:b w:val="false"/>
          <w:sz w:val="20"/>
        </w:rPr>
        <w:t>. Rani grants to Celltrion a perpetual, exclusive, royalty-free, worldwide right and license, with the right to sublicense, under Program Inventions solely to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8.2.</w:t>
      </w:r>
    </w:p>
    <w:p>
      <w:pPr>
        <w:pStyle w:val="TextBody"/>
        <w:bidi w:val="0"/>
        <w:spacing w:before="0" w:after="120"/>
        <w:jc w:val="both"/>
        <w:rPr/>
      </w:pPr>
      <w:r>
        <w:rPr>
          <w:rFonts w:ascii="Times New Roman;serif" w:hAnsi="Times New Roman;serif"/>
          <w:b w:val="false"/>
          <w:sz w:val="20"/>
          <w:u w:val="single"/>
        </w:rPr>
        <w:t>Cooperation</w:t>
      </w:r>
      <w:r>
        <w:rPr>
          <w:rFonts w:ascii="Times New Roman;serif" w:hAnsi="Times New Roman;serif"/>
          <w:b w:val="false"/>
          <w:sz w:val="20"/>
        </w:rPr>
        <w:t>. Each Party will promptly notify the other upon becoming aware (a) of any suspected or threatened material infringement of any Licensed IP, or (b) of any claim that Rani’s, or its Affiliates’ or sublicensees’, exercise of the rights granted under the Licensed IP hereunder infringes any rights or Patents of a Third Party.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8.3.</w:t>
      </w:r>
    </w:p>
    <w:p>
      <w:pPr>
        <w:pStyle w:val="TextBody"/>
        <w:bidi w:val="0"/>
        <w:spacing w:before="0" w:after="120"/>
        <w:jc w:val="both"/>
        <w:rPr/>
      </w:pPr>
      <w:r>
        <w:rPr>
          <w:rFonts w:ascii="Times New Roman;serif" w:hAnsi="Times New Roman;serif"/>
          <w:b w:val="false"/>
          <w:sz w:val="20"/>
          <w:u w:val="single"/>
        </w:rPr>
        <w:t>Patent and IP Handling</w:t>
      </w:r>
      <w:r>
        <w:rPr>
          <w:rFonts w:ascii="Times New Roman;serif" w:hAnsi="Times New Roman;serif"/>
          <w:b w:val="false"/>
          <w:sz w:val="20"/>
        </w:rPr>
        <w:t xml:space="preserve">. Each Party, at its sole cost, will have the sole right, but not the obligation, to (a) handle preparation, filing, prosecution, maintenance and defense (including responses to patent office communications, any office actions, oppositions, interferences and challenges (whether before a patent authority or judicial body) of its Patent rights and other intellectual property rights, (b) enforce its patent rights and other intellectual property rights against any actual, alleged or threatened infringement or misappropriation by Third Parties (including without limitation the handling of oppositions, and (c) settle any such matters in its sole discretion, subject to its obligations, and the licenses and rights granted, under this Agreement.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8.4.</w:t>
      </w:r>
    </w:p>
    <w:p>
      <w:pPr>
        <w:pStyle w:val="TextBody"/>
        <w:bidi w:val="0"/>
        <w:spacing w:before="0" w:after="120"/>
        <w:jc w:val="both"/>
        <w:rPr/>
      </w:pPr>
      <w:r>
        <w:rPr>
          <w:rFonts w:ascii="Times New Roman;serif" w:hAnsi="Times New Roman;serif"/>
          <w:b w:val="false"/>
          <w:sz w:val="20"/>
          <w:u w:val="single"/>
        </w:rPr>
        <w:t>Defense and Settlement of Third-Party Claims</w:t>
      </w:r>
      <w:r>
        <w:rPr>
          <w:rFonts w:ascii="Times New Roman;serif" w:hAnsi="Times New Roman;serif"/>
          <w:b w:val="false"/>
          <w:sz w:val="20"/>
        </w:rPr>
        <w:t xml:space="preserve">. If a Third Party asserts against a Party (or its Affiliates) that a Patent right or other right owned by the Third Party is infringed by the manufacture, use, sale, offer for sale, importation or exploitation of Product in the course of a Party or its Affiliate performing its rights and obligations under this Agreement, such Party will promptly notify the other Party and will have the sole right to defend itself against such claims. Upon request of the named Party, the other Party will reasonably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13</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jc w:val="both"/>
        <w:rPr/>
      </w:pPr>
      <w:r>
        <w:rPr>
          <w:rFonts w:ascii="Times New Roman;serif" w:hAnsi="Times New Roman;serif"/>
          <w:b w:val="false"/>
          <w:sz w:val="20"/>
        </w:rPr>
        <w:t>cooperate with the named Party with respect to the defense of such claims, and the named Party will reimburse the other Party any reasonable, documented, out-of-pocket costs incurred in connection therewith.</w:t>
      </w:r>
      <w:r>
        <w:rPr/>
        <w:t xml:space="preserve">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8.5.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bookmarkStart w:id="23" w:name="ole_link4"/>
      <w:bookmarkEnd w:id="23"/>
      <w:r>
        <w:rPr>
          <w:rFonts w:ascii="Times New Roman;serif" w:hAnsi="Times New Roman;serif"/>
          <w:b w:val="false"/>
          <w:sz w:val="20"/>
          <w:u w:val="single"/>
        </w:rPr>
        <w:t>Program Data</w:t>
      </w:r>
      <w:r>
        <w:rPr>
          <w:rFonts w:ascii="Times New Roman;serif" w:hAnsi="Times New Roman;serif"/>
          <w:b w:val="false"/>
          <w:sz w:val="20"/>
        </w:rPr>
        <w:t>. Rani will own all data and know-how generated in the performance of the Agreement (“</w:t>
      </w:r>
      <w:r>
        <w:rPr>
          <w:rFonts w:ascii="Times New Roman;serif" w:hAnsi="Times New Roman;serif"/>
          <w:b w:val="false"/>
          <w:i/>
          <w:sz w:val="20"/>
        </w:rPr>
        <w:t>Program Data</w:t>
      </w:r>
      <w:r>
        <w:rPr/>
        <w:t>”</w:t>
      </w:r>
      <w:r>
        <w:rPr>
          <w:rFonts w:ascii="Times New Roman;serif" w:hAnsi="Times New Roman;serif"/>
          <w:b w:val="false"/>
          <w:sz w:val="20"/>
        </w:rPr>
        <w:t xml:space="preserve">). Rani will provide to Celltrion, and grants to Celltrion a right to use, Program Data applicable to Drug as set forth in Section 4.4 (Safety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9.</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Confidentiality and Publications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9.1.</w:t>
      </w:r>
    </w:p>
    <w:p>
      <w:pPr>
        <w:pStyle w:val="TextBody"/>
        <w:bidi w:val="0"/>
        <w:spacing w:before="0" w:after="120"/>
        <w:jc w:val="both"/>
        <w:rPr/>
      </w:pPr>
      <w:r>
        <w:rPr>
          <w:rFonts w:ascii="Times New Roman;serif" w:hAnsi="Times New Roman;serif"/>
          <w:b w:val="false"/>
          <w:sz w:val="20"/>
          <w:u w:val="single"/>
        </w:rPr>
        <w:t>Confidentiality</w:t>
      </w:r>
      <w:r>
        <w:rPr>
          <w:rFonts w:ascii="Times New Roman;serif" w:hAnsi="Times New Roman;serif"/>
          <w:b w:val="false"/>
          <w:sz w:val="20"/>
        </w:rPr>
        <w:t>. Confidentiality obligations of the Parties under this Agreement with respect to Confidential Information shall be governed by the Mutual Confidentiality and Non-Disclosure Agreement between the Parties dated May 26, 2023 (the “</w:t>
      </w:r>
      <w:r>
        <w:rPr>
          <w:rFonts w:ascii="Times New Roman;serif" w:hAnsi="Times New Roman;serif"/>
          <w:b w:val="false"/>
          <w:i/>
          <w:sz w:val="20"/>
        </w:rPr>
        <w:t>Confidentiality Agreement</w:t>
      </w:r>
      <w:r>
        <w:rPr/>
        <w:t>”</w:t>
      </w:r>
      <w:r>
        <w:rPr>
          <w:rFonts w:ascii="Times New Roman;serif" w:hAnsi="Times New Roman;serif"/>
          <w:b w:val="false"/>
          <w:sz w:val="20"/>
        </w:rPr>
        <w:t>). All Confidential Information exchanged between the Parties under this Agreement will be deemed Confidential Information of the Disclosing Party and will be subject to the terms of the Confidentiality Agreement.</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[Not used]</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9.3.</w:t>
      </w:r>
    </w:p>
    <w:p>
      <w:pPr>
        <w:pStyle w:val="TextBody"/>
        <w:bidi w:val="0"/>
        <w:spacing w:before="0" w:after="120"/>
        <w:jc w:val="both"/>
        <w:rPr/>
      </w:pPr>
      <w:r>
        <w:rPr>
          <w:rFonts w:ascii="Times New Roman;serif" w:hAnsi="Times New Roman;serif"/>
          <w:b w:val="false"/>
          <w:sz w:val="20"/>
          <w:u w:val="single"/>
        </w:rPr>
        <w:t>Terms and Conditions Confidential</w:t>
      </w:r>
      <w:r>
        <w:rPr>
          <w:rFonts w:ascii="Times New Roman;serif" w:hAnsi="Times New Roman;serif"/>
          <w:b w:val="false"/>
          <w:sz w:val="20"/>
        </w:rPr>
        <w:t xml:space="preserve">. Neither Party will disclose the terms and conditions of this Agreement except as may be required by Law. Notwithstanding the foregoing, if a Party is required by Law or the rules of any securities exchange or automated quotation system to make any such disclosure of this Agreement, it will, except where impracticable for necessary disclosures, give reasonable advance notice to the other Party of such disclosure requirement and the Parties will consult with one another concerning which terms of this Agreement will be requested to be redacted in any public disclosure of the Agreement, and in any event each Party will seek reasonable confidential treatment for any public disclosure by any such Governmental Authority. Each Party will have the right to disclose this Agreement to potential acquirors, investors or lenders of such Party, as a part of their due diligence investigations, provided that such potential acquirors, investors or lenders have agreed in writing to keep the terms of this Agreement confidential and to use such confidential information solely for the purpose permitted pursuant to this Section 9.3 (Terms and Conditions Confidential). Each Party will have the right to issue press releases in regards to this Agreement with the prior written agreement of the other Party or as required to comply with any Law or by the rules of any stock exchange or automated quotation system (in the case of such required disclosure, by providing reasonable advance notice to the other Party and reasonably considering comments provided by such other Party). Notwithstanding the foregoing, the Parties will agree upon an initial press release to announce the execution of this Agreement; thereafter, each Party may disclose to Third Parties the information contained in such press release without the need for further approval by the other Party.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9.4.</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[Not used].</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9.5.</w:t>
      </w:r>
    </w:p>
    <w:p>
      <w:pPr>
        <w:pStyle w:val="TextBody"/>
        <w:bidi w:val="0"/>
        <w:spacing w:before="0" w:after="120"/>
        <w:jc w:val="both"/>
        <w:rPr/>
      </w:pPr>
      <w:r>
        <w:rPr>
          <w:rFonts w:ascii="Times New Roman;serif" w:hAnsi="Times New Roman;serif"/>
          <w:b w:val="false"/>
          <w:sz w:val="20"/>
          <w:u w:val="single"/>
        </w:rPr>
        <w:t>Data; Publications and Presentations</w:t>
      </w:r>
      <w:r>
        <w:rPr>
          <w:rFonts w:ascii="Times New Roman;serif" w:hAnsi="Times New Roman;serif"/>
          <w:b w:val="false"/>
          <w:sz w:val="20"/>
        </w:rPr>
        <w:t>. Rani will own all data related to the research, development, manufacture, regulatory activities and commercialization of Product conducted by Rani hereunder (“</w:t>
      </w:r>
      <w:r>
        <w:rPr>
          <w:rFonts w:ascii="Times New Roman;serif" w:hAnsi="Times New Roman;serif"/>
          <w:b w:val="false"/>
          <w:i/>
          <w:sz w:val="20"/>
        </w:rPr>
        <w:t>Rani Data</w:t>
      </w:r>
      <w:r>
        <w:rPr/>
        <w:t>”</w:t>
      </w:r>
      <w:r>
        <w:rPr>
          <w:rFonts w:ascii="Times New Roman;serif" w:hAnsi="Times New Roman;serif"/>
          <w:b w:val="false"/>
          <w:sz w:val="20"/>
        </w:rPr>
        <w:t>). Rani will have the right to publish and present publicly (e.g., at meetings of healthcare professionals, conferences, symposia) Rani Data, provided however, that Rani will not disclose any Confidential Information of Celltrion, including Celltrion Confidential Information related to Drug, without Celltrion’s prior written approval, which it shall not unreasonably withhold. If Celltrion reasonably requests to publish and present publicly (e.g., at meetings of healthcare professionals, conferences, symposia) Rani Data, Rani will consider such request in good faith (it being understood that Rani will have priority in publishing data related to Product, and that it is reasonable for Rani to withhold consent in order to preserve an opportunity to seek protection for intellectual property, to protect business-sensitive information, or to preserve Rani’s publication strategy). Rani will have a right to review in advance and prior to granting its consent, any publication of Rani Data proposed by Celltrion, and may require removal of Rani Confidential Information from any such publication.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9.6.</w:t>
      </w:r>
    </w:p>
    <w:p>
      <w:pPr>
        <w:pStyle w:val="TextBody"/>
        <w:bidi w:val="0"/>
        <w:spacing w:before="0" w:after="120"/>
        <w:jc w:val="both"/>
        <w:rPr/>
      </w:pPr>
      <w:r>
        <w:rPr>
          <w:rFonts w:ascii="Times New Roman;serif" w:hAnsi="Times New Roman;serif"/>
          <w:b w:val="false"/>
          <w:sz w:val="20"/>
          <w:u w:val="single"/>
        </w:rPr>
        <w:t>Attorney-Client Privilege</w:t>
      </w:r>
      <w:r>
        <w:rPr>
          <w:rFonts w:ascii="Times New Roman;serif" w:hAnsi="Times New Roman;serif"/>
          <w:b w:val="false"/>
          <w:sz w:val="20"/>
        </w:rPr>
        <w:t xml:space="preserve">. Neither Party is waiving, nor shall be deemed to have waived or diminished, any of its attorney work product protections, attorney-client privileges or similar protections and privileges as a result of disclosing information pursuant to this Agreement, or any of its Confidential Information (including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14</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jc w:val="both"/>
        <w:rPr/>
      </w:pPr>
      <w:r>
        <w:rPr>
          <w:rFonts w:ascii="Times New Roman;serif" w:hAnsi="Times New Roman;serif"/>
          <w:b w:val="false"/>
          <w:sz w:val="20"/>
        </w:rPr>
        <w:t>Confidential Information related to pending or threatened litigation) to the receiving Party, regardless of whether the disclosing Party has asserted, or is or may be entitled to assert, such privileges and protections.</w:t>
      </w:r>
      <w:r>
        <w:rPr/>
        <w:t xml:space="preserve">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9.7.</w:t>
      </w:r>
    </w:p>
    <w:p>
      <w:pPr>
        <w:pStyle w:val="TextBody"/>
        <w:bidi w:val="0"/>
        <w:spacing w:before="0" w:after="0"/>
        <w:jc w:val="both"/>
        <w:rPr/>
      </w:pPr>
      <w:r>
        <w:rPr>
          <w:rFonts w:ascii="Times New Roman;serif" w:hAnsi="Times New Roman;serif"/>
          <w:b w:val="false"/>
          <w:sz w:val="20"/>
          <w:u w:val="single"/>
        </w:rPr>
        <w:t>National Core Technology</w:t>
      </w:r>
      <w:r>
        <w:rPr>
          <w:rFonts w:ascii="Times New Roman;serif" w:hAnsi="Times New Roman;serif"/>
          <w:b w:val="false"/>
          <w:sz w:val="20"/>
        </w:rPr>
        <w:t>. Celltrion owns certain technology relating to large scale animal-cell culture and purification of antibodies of over 10,000 liters, and certain information regarding such is Celltrion National Core Technology. Celltrion National Core Technology is protected by the laws of the Republic of Korea (specifically, the ACT ON PREVENTION OF DIVULGENCE AND PROTECTION OF INDUSTRIAL</w:t>
      </w:r>
      <w:r>
        <w:rPr/>
        <w:t xml:space="preserve"> </w:t>
      </w:r>
      <w:r>
        <w:rPr>
          <w:rFonts w:ascii="Times New Roman;serif" w:hAnsi="Times New Roman;serif"/>
          <w:b w:val="false"/>
          <w:sz w:val="20"/>
        </w:rPr>
        <w:t>TECHNOLOGY) and requires Celltrion (a) to take sufficient measures to prevent divulgence of Celltrion National Core Technology; and (b) to obtain approval from the applicable Korean governmental agency to export the Celltrion National Core Technology to a foreign enterprise; and (c) to list all the Rani personnel who has or shall have access to Celltrion National Core Technology. Rani agrees and acknowledges that (i) Celltrion has a right to perform due diligence on Rani to determine whether Rani’s information protection measures meet Celltrion’s relevant policy for the same; and (ii) any exportation of Celltrion National Core Technology to Rani (if applicable) shall only occur after such potential exportation has been reviewed and approved by the applicable Korean governmental agency. Celltrion shall use its reasonable best efforts to obtain prompt review and approval of any such potential exportation. Confidentiality obligations related to Celltrion National Core Technology shall be covered by and addressed in and through the Confidentiality Agreement.</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10.</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Representations, Warranties and Covenants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10.1.</w:t>
      </w:r>
    </w:p>
    <w:p>
      <w:pPr>
        <w:pStyle w:val="TextBody"/>
        <w:bidi w:val="0"/>
        <w:spacing w:before="0" w:after="120"/>
        <w:jc w:val="both"/>
        <w:rPr/>
      </w:pPr>
      <w:r>
        <w:rPr>
          <w:rFonts w:ascii="Times New Roman;serif" w:hAnsi="Times New Roman;serif"/>
          <w:b w:val="false"/>
          <w:sz w:val="20"/>
          <w:u w:val="single"/>
        </w:rPr>
        <w:t>Mutual Representations and Warranties</w:t>
      </w:r>
      <w:r>
        <w:rPr>
          <w:rFonts w:ascii="Times New Roman;serif" w:hAnsi="Times New Roman;serif"/>
          <w:b w:val="false"/>
          <w:sz w:val="20"/>
        </w:rPr>
        <w:t>. Each of the Parties hereby represents and warrants as of the Effective Date as follows: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10.1.1.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It is duly organized and validly existing under the Laws of its jurisdiction of organization and it has full corporate power and authority and has taken all corporate action necessary to enter into and perform this Agreement;</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10.1.2.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This Agreement is a legal and valid obligation binding upon such Party and enforceable in accordance with its terms; the execution, delivery and performance of the Agreement by such Party does not conflict with any agreement, instrument or understanding, oral or written, by which it is bound, nor violate any Law;</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10.1.3.</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To its knowledge, no government authorization, consent, approval, license, exemption of or filing or registration with any court or Governmental Authority, under Law, is or will be necessary for, or in connection with, the entering into of this Agreement or the transaction contemplated by this Agreement, or (except for regulatory approvals, licenses, clearances and the like necessary for the research, development, manufacture, sales or marketing of pharmaceutical products and except for any required filing with the U.S. Securities and Exchange Commission) for the performance by it of its obligations under this Agreement; and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10.1.4.</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It has not granted any right to any Third Party relating to its respective intellectual property, Drug Product, Drug Substance or Product which conflicts with the rights granted to the other Party hereunder.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10.2.</w:t>
      </w:r>
    </w:p>
    <w:p>
      <w:pPr>
        <w:pStyle w:val="TextBody"/>
        <w:bidi w:val="0"/>
        <w:spacing w:before="0" w:after="120"/>
        <w:jc w:val="both"/>
        <w:rPr/>
      </w:pPr>
      <w:r>
        <w:rPr>
          <w:rFonts w:ascii="Times New Roman;serif" w:hAnsi="Times New Roman;serif"/>
          <w:b w:val="false"/>
          <w:sz w:val="20"/>
          <w:u w:val="single"/>
        </w:rPr>
        <w:t>Celltrion Representations and Warranties</w:t>
      </w:r>
      <w:r>
        <w:rPr>
          <w:rFonts w:ascii="Times New Roman;serif" w:hAnsi="Times New Roman;serif"/>
          <w:b w:val="false"/>
          <w:sz w:val="20"/>
        </w:rPr>
        <w:t>. Celltrion hereby represents that, as of the Effective Date:</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owns or otherwise Controls all of the rights, title and interest in and to the Licensed IP and Licensed Information and has the right to grant to Rani the rights therein purported to be granted to Rani under this Agreement;</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has developed the cell line and manufacturing process for Drug Product and Drug Substance in compliance with all applicable Laws and owns or Controls the right to use such cell line and manufacturing process for Drug Product and Drug Substance and to supply and sell such Drug Product and Drug Substance to Rani as contemplated by this Agreement;</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15</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10.2.3.</w:t>
      </w:r>
    </w:p>
    <w:p>
      <w:pPr>
        <w:pStyle w:val="TextBody"/>
        <w:bidi w:val="0"/>
        <w:spacing w:before="0" w:after="120"/>
        <w:jc w:val="both"/>
        <w:rPr/>
      </w:pPr>
      <w:r>
        <w:rPr>
          <w:rFonts w:ascii="Times New Roman;serif" w:hAnsi="Times New Roman;serif"/>
          <w:b w:val="false"/>
          <w:sz w:val="20"/>
        </w:rPr>
        <w:t>In developing the cell line and manufacturing process for Drug Product and Drug Substance and in generating the Licensed Information, Celltrion has not used any employee or permitted subcontractor who is or has been debarred 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w:t>
      </w:r>
      <w:r>
        <w:rPr>
          <w:rFonts w:ascii="Times New Roman;serif" w:hAnsi="Times New Roman;serif"/>
          <w:b w:val="false"/>
          <w:sz w:val="20"/>
          <w:u w:val="single"/>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10.2.4.</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warrants that Drug Product and Drug Substance supplied to Rani hereunder will be manufactured in accordance with applicable U.S. Laws (including cGMP) and the Quality Agreement and will, upon delivery, conform to the applicable Specifications for Drug Product or Drug Substance, as applicable, in effect at the time the Drug Product or Drug Substance is delivered to Rani hereunder;</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10.2.5.</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has not received any communication from any Third Party asserting or alleging that the development, manufacture, use or sale of Drug Product, Drug Substance or Drug misappropriates or infringes the rights of such Third Party (or if it has received such communication, it has settled or resolved such matter in a manner that preserves its rights to develop, manufacture, use or sell Drug Product, Drug Substance and Drug); and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10.2.6.</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has not received any communication that a Governmental Authority has initiated, or intends to initiate, any investigation or action to withdraw any Regulatory Filing or Regulatory Approval with respect to the development, manufacture or commercialization of Drug Product, Drug Substance or Drug.</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10.3.</w:t>
      </w:r>
    </w:p>
    <w:p>
      <w:pPr>
        <w:pStyle w:val="TextBody"/>
        <w:bidi w:val="0"/>
        <w:spacing w:before="0" w:after="120"/>
        <w:jc w:val="both"/>
        <w:rPr/>
      </w:pPr>
      <w:r>
        <w:rPr>
          <w:rFonts w:ascii="Times New Roman;serif" w:hAnsi="Times New Roman;serif"/>
          <w:b w:val="false"/>
          <w:sz w:val="20"/>
          <w:u w:val="single"/>
        </w:rPr>
        <w:t>Rani Representations and Warranties</w:t>
      </w:r>
      <w:r>
        <w:rPr>
          <w:rFonts w:ascii="Times New Roman;serif" w:hAnsi="Times New Roman;serif"/>
          <w:b w:val="false"/>
          <w:sz w:val="20"/>
        </w:rPr>
        <w:t>. Rani hereby represents that, as of the Effective Date:</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10.3.1.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Rani owns or otherwise Controls all of the rights, title and interest in and to the Rani Oral Delivery Technology and has the right to grant to Celltrion the rights therein purported to be granted to Celltrion under this Agreement;</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10.3.2.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In developing Rani Oral Delivery Technology, Rani has not used any employee or permitted subcontractor who is or has been debarred 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10.3.3.</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Rani has not received any communication from any Third Party asserting or alleging that the development, manufacture, use or sale of Product misappropriates or infringes the rights of such Third Party.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10.4.</w:t>
      </w:r>
    </w:p>
    <w:p>
      <w:pPr>
        <w:pStyle w:val="TextBody"/>
        <w:bidi w:val="0"/>
        <w:spacing w:before="0" w:after="120"/>
        <w:jc w:val="both"/>
        <w:rPr/>
      </w:pPr>
      <w:r>
        <w:rPr>
          <w:rFonts w:ascii="Times New Roman;serif" w:hAnsi="Times New Roman;serif"/>
          <w:b w:val="false"/>
          <w:sz w:val="20"/>
          <w:u w:val="single"/>
        </w:rPr>
        <w:t>Disclaimer of Warranties</w:t>
      </w:r>
      <w:r>
        <w:rPr>
          <w:rFonts w:ascii="Times New Roman;serif" w:hAnsi="Times New Roman;serif"/>
          <w:b w:val="false"/>
          <w:sz w:val="20"/>
        </w:rPr>
        <w:t>. EXCEPT AS SET FORTH IN THIS ARTICLE 10 (</w:t>
      </w:r>
      <w:r>
        <w:rPr>
          <w:rFonts w:ascii="Times New Roman;serif" w:hAnsi="Times New Roman;serif"/>
          <w:b w:val="false"/>
          <w:caps/>
          <w:sz w:val="20"/>
        </w:rPr>
        <w:t>REPRESENTATIONS, WARRANTIES AND COVENANTS</w:t>
      </w:r>
      <w:r>
        <w:rPr>
          <w:rFonts w:ascii="Times New Roman;serif" w:hAnsi="Times New Roman;serif"/>
          <w:b w:val="false"/>
          <w:sz w:val="20"/>
        </w:rPr>
        <w:t xml:space="preserve">), RANI AND CELLTRION EXPRESSLY DISCLAIM ANY AND ALL REPRESENTATIONS AND WARRANTIES, EXPRESS, IMPLIED, STATUTORY OR OTHERWISE, WITH RESPECT TO THIS AGREEMENT, INCLUDING ANY WARRANTY OF MERCHANTABILITY OR FITNESS FOR A PARTICULAR PURPOSE, VALIDITY OR NONINFRINGEMENT OF INTELLECTUAL PROPERTY RIGHTS.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10.5.</w:t>
      </w:r>
    </w:p>
    <w:p>
      <w:pPr>
        <w:pStyle w:val="TextBody"/>
        <w:bidi w:val="0"/>
        <w:spacing w:before="0" w:after="120"/>
        <w:jc w:val="both"/>
        <w:rPr/>
      </w:pPr>
      <w:r>
        <w:rPr>
          <w:rFonts w:ascii="Times New Roman;serif" w:hAnsi="Times New Roman;serif"/>
          <w:b w:val="false"/>
          <w:sz w:val="20"/>
          <w:u w:val="single"/>
        </w:rPr>
        <w:t>Mutual Covenants</w:t>
      </w:r>
      <w:r>
        <w:rPr>
          <w:rFonts w:ascii="Times New Roman;serif" w:hAnsi="Times New Roman;serif"/>
          <w:b w:val="false"/>
          <w:sz w:val="20"/>
        </w:rPr>
        <w:t>. Each of the Parties hereby covenants to the other Party as follows: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10.5.1.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It will carry out its activities hereunder in compliance with Law; and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10.5.2.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 xml:space="preserve">It will not grant to any Third Party any right that conflicts with the rights granted to the other Party hereunder.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16</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10.6.</w:t>
      </w:r>
    </w:p>
    <w:p>
      <w:pPr>
        <w:pStyle w:val="TextBody"/>
        <w:bidi w:val="0"/>
        <w:spacing w:before="0" w:after="120"/>
        <w:jc w:val="both"/>
        <w:rPr/>
      </w:pPr>
      <w:r>
        <w:rPr>
          <w:rFonts w:ascii="Times New Roman;serif" w:hAnsi="Times New Roman;serif"/>
          <w:b w:val="false"/>
          <w:sz w:val="20"/>
          <w:u w:val="single"/>
        </w:rPr>
        <w:t>Celltrion Covenants</w:t>
      </w:r>
      <w:r>
        <w:rPr>
          <w:rFonts w:ascii="Times New Roman;serif" w:hAnsi="Times New Roman;serif"/>
          <w:b w:val="false"/>
          <w:sz w:val="20"/>
        </w:rPr>
        <w:t>. Celltrion hereby covenants to Rani as follows: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10.6.1.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 xml:space="preserve">Celltrion has and will maintain all necessary government permits, including without limitation, health and safety and environmental permits necessary for the conduct of the actions it undertakes pursuant to its manufacturing and supply obligations hereunder;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10.6.2.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All data and information relating to Drug Product and/or Drug Substance to which Celltrion grants Rani a letter of authorization or right of reference, and Licensed Information provided by Celltrion to Rani hereunder, will be accurate and complete in all material respects when granted or provided;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10.6.3.</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 xml:space="preserve">Celltrion will keep in effect and maintain all Regulatory Filings and Regulatory Approvals to which it grants Rani a letter of authorization or right of reference hereunder;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10.6.4.</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will not use in the performance of this Agreement any employee or permitted subcontractor who is or has been debarred 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10.6.5.</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Celltrion (and, if applicable, its owners, officers, directors, employees and agents) have not and will not pay, give, offer or promise to pay or give, or authorize the payment, directly or indirectly, of any money or anything of value to any government official or employee (including employees of state-owned institutions), for the purpose of (a) influencing any act or decision of such official or of such government, (b) inducing that person to do or omit doing any act in violation of his or her lawful duty, (c) securing an improper advantage, or (d) influencing such official to use his influence with the government to effect or influence the decision of such government, in order to assist Celltrion and/or Rani in obtaining or retaining business for or with or directing business to any person.</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10.7.</w:t>
      </w:r>
    </w:p>
    <w:p>
      <w:pPr>
        <w:pStyle w:val="TextBody"/>
        <w:bidi w:val="0"/>
        <w:spacing w:before="0" w:after="120"/>
        <w:jc w:val="both"/>
        <w:rPr/>
      </w:pPr>
      <w:r>
        <w:rPr>
          <w:rFonts w:ascii="Times New Roman;serif" w:hAnsi="Times New Roman;serif"/>
          <w:b w:val="false"/>
          <w:sz w:val="20"/>
          <w:u w:val="single"/>
        </w:rPr>
        <w:t>Rani Covenants</w:t>
      </w:r>
      <w:r>
        <w:rPr>
          <w:rFonts w:ascii="Times New Roman;serif" w:hAnsi="Times New Roman;serif"/>
          <w:b w:val="false"/>
          <w:sz w:val="20"/>
        </w:rPr>
        <w:t>. Rani hereby covenants to Celltrion as follows: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10.7.1.</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 xml:space="preserve">Rani has and will maintain all necessary government permits, including without limitation, health and safety and environmental permits necessary for the conduct of the actions it undertakes pursuant to its rights obligations hereunder;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10.7.2.</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All data and information relating to Product provided by Rani to Celltrion hereunder will be accurate and complete in all material respects when provided;</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10.7.3.</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Rani will not use in the performance of this Agreement any employee or permitted subcontractor who is or has been debarred by any regulatory authority or is or has been the subject of debarment proceedings by any regulatory authority, or any person whose name appears on, or is associated with any name or entity on, the U.S. government’s U.S. Department of Commerce Entity List and Denied Persons List, the U.S. Department of Treasury Specially Designated National and Blocked Persons List or the U.S. Department of State Debarred Parties List (these lists are available at http://www.bis.doc.gov/complianceandenforcement/listocheck.htm); and</w:t>
      </w:r>
    </w:p>
    <w:p>
      <w:pPr>
        <w:pStyle w:val="TextBody"/>
        <w:bidi w:val="0"/>
        <w:spacing w:before="0" w:after="0"/>
        <w:ind w:left="720" w:right="0" w:hanging="0"/>
        <w:jc w:val="both"/>
        <w:rPr>
          <w:rFonts w:ascii="Times New Roman" w:hAnsi="Times New Roman"/>
          <w:b w:val="false"/>
          <w:sz w:val="20"/>
        </w:rPr>
      </w:pPr>
      <w:r>
        <w:rPr>
          <w:rFonts w:ascii="Times New Roman" w:hAnsi="Times New Roman"/>
          <w:b w:val="false"/>
          <w:sz w:val="20"/>
        </w:rPr>
        <w:t>10.7.4.</w:t>
      </w:r>
    </w:p>
    <w:p>
      <w:pPr>
        <w:pStyle w:val="TextBody"/>
        <w:bidi w:val="0"/>
        <w:jc w:val="both"/>
        <w:rPr>
          <w:rFonts w:ascii="Times New Roman;serif" w:hAnsi="Times New Roman;serif"/>
          <w:b w:val="false"/>
          <w:sz w:val="20"/>
        </w:rPr>
      </w:pPr>
      <w:r>
        <w:rPr>
          <w:rFonts w:ascii="Times New Roman;serif" w:hAnsi="Times New Roman;serif"/>
          <w:b w:val="false"/>
          <w:sz w:val="20"/>
        </w:rPr>
        <w:t>Rani (and, if applicable, its owners, officers, directors, employees and agents) has not and will not pay, give, offer or promise to pay or give, or authorize the payment, directly or indirectly, of any money or anything of value to any government official or employee (including employees of state-owned institutions), for the purpose of (a) influencing any act or decision of such official or of such government, (b) inducing that person to do or omit doing any act in violation of his or her lawful duty, (c) securing an improper advantage, or (d) influencing such official to use his influence with the government to effect or influence the decision of such government, in order to assist Celltrion and/or Rani in obtaining or retaining business for or with or directing business to any person.</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17</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11.</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Limitations of Liability; Insurance</w:t>
      </w:r>
    </w:p>
    <w:p>
      <w:pPr>
        <w:pStyle w:val="TextBody"/>
        <w:bidi w:val="0"/>
        <w:spacing w:before="0" w:after="120"/>
        <w:ind w:left="0" w:right="43" w:hanging="0"/>
        <w:jc w:val="both"/>
        <w:rPr>
          <w:rFonts w:ascii="Times New Roman" w:hAnsi="Times New Roman"/>
          <w:b w:val="false"/>
          <w:sz w:val="20"/>
        </w:rPr>
      </w:pPr>
      <w:r>
        <w:rPr>
          <w:rFonts w:ascii="Times New Roman" w:hAnsi="Times New Roman"/>
          <w:b w:val="false"/>
          <w:sz w:val="20"/>
        </w:rPr>
        <w:t>11.1.</w:t>
      </w:r>
    </w:p>
    <w:p>
      <w:pPr>
        <w:pStyle w:val="TextBody"/>
        <w:bidi w:val="0"/>
        <w:spacing w:before="0" w:after="120"/>
        <w:jc w:val="both"/>
        <w:rPr/>
      </w:pPr>
      <w:r>
        <w:rPr>
          <w:rFonts w:ascii="Times New Roman;serif" w:hAnsi="Times New Roman;serif"/>
          <w:b w:val="false"/>
          <w:sz w:val="20"/>
          <w:u w:val="single"/>
        </w:rPr>
        <w:t>Limitations of Liability</w:t>
      </w:r>
      <w:r>
        <w:rPr>
          <w:rFonts w:ascii="Times New Roman;serif" w:hAnsi="Times New Roman;serif"/>
          <w:b w:val="false"/>
          <w:sz w:val="20"/>
        </w:rPr>
        <w:t xml:space="preserve">. IN NO EVENT SHALL EITHER PARTY BE LIABLE TO THE OTHER PARTY FOR ANY INDIRECT, SPECIAL, INCIDENTAL, EXEMPLARY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11.1 (Limitations of Liability) will not apply with respect to (a) either Party’s indemnification obligations under Article 12 (Indemnification), (b) either Party’s breach of the Confidentiality Agreement, or (c) gross negligence or willful misconduct of a Party.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11.2.</w:t>
      </w:r>
    </w:p>
    <w:p>
      <w:pPr>
        <w:pStyle w:val="TextBody"/>
        <w:bidi w:val="0"/>
        <w:spacing w:before="0" w:after="0"/>
        <w:jc w:val="both"/>
        <w:rPr/>
      </w:pPr>
      <w:r>
        <w:rPr>
          <w:rFonts w:ascii="Times New Roman;serif" w:hAnsi="Times New Roman;serif"/>
          <w:b w:val="false"/>
          <w:sz w:val="20"/>
          <w:u w:val="single"/>
        </w:rPr>
        <w:t>Insurance</w:t>
      </w:r>
      <w:r>
        <w:rPr>
          <w:rFonts w:ascii="Times New Roman;serif" w:hAnsi="Times New Roman;serif"/>
          <w:b w:val="false"/>
          <w:sz w:val="20"/>
        </w:rPr>
        <w:t>. During the Term and for [*] years thereafter each Party will obtain and maintain insurance adequate to cover its obligations and activities hereunder with reputable and financially secure insurance carriers in a form and at levels as customary for a company of its size in the pharmaceutical industry (or reasonable self-insurance sufficient to provide materially the same level and type of protection).</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12.</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Indemnification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12.1.</w:t>
      </w:r>
    </w:p>
    <w:p>
      <w:pPr>
        <w:pStyle w:val="TextBody"/>
        <w:bidi w:val="0"/>
        <w:spacing w:before="0" w:after="120"/>
        <w:jc w:val="both"/>
        <w:rPr/>
      </w:pPr>
      <w:r>
        <w:rPr>
          <w:rFonts w:ascii="Times New Roman;serif" w:hAnsi="Times New Roman;serif"/>
          <w:b w:val="false"/>
          <w:sz w:val="20"/>
          <w:u w:val="single"/>
        </w:rPr>
        <w:t>Indemnity</w:t>
      </w:r>
      <w:r>
        <w:rPr>
          <w:rFonts w:ascii="Times New Roman;serif" w:hAnsi="Times New Roman;serif"/>
          <w:b w:val="false"/>
          <w:sz w:val="20"/>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12.1.1.</w:t>
      </w:r>
    </w:p>
    <w:p>
      <w:pPr>
        <w:pStyle w:val="TextBody"/>
        <w:bidi w:val="0"/>
        <w:spacing w:before="0" w:after="120"/>
        <w:jc w:val="both"/>
        <w:rPr/>
      </w:pPr>
      <w:r>
        <w:rPr>
          <w:rFonts w:ascii="Times New Roman;serif" w:hAnsi="Times New Roman;serif"/>
          <w:b w:val="false"/>
          <w:sz w:val="20"/>
        </w:rPr>
        <w:t xml:space="preserve">Subject to the remainder of this Article 12 (Indemnification) Rani will defend, indemnify, and hold harmless Celltrion, its Affiliates, and their respective directors, officers, employees and agents (solely to the extent acting within their agency) (collectively, </w:t>
      </w:r>
      <w:r>
        <w:rPr/>
        <w:t>“</w:t>
      </w:r>
      <w:r>
        <w:rPr>
          <w:rFonts w:ascii="Times New Roman;serif" w:hAnsi="Times New Roman;serif"/>
          <w:b w:val="false"/>
          <w:i/>
          <w:sz w:val="20"/>
        </w:rPr>
        <w:t>Celltrion Indemnitees”</w:t>
      </w:r>
      <w:r>
        <w:rPr>
          <w:rFonts w:ascii="Times New Roman;serif" w:hAnsi="Times New Roman;serif"/>
          <w:b w:val="false"/>
          <w:sz w:val="20"/>
        </w:rPr>
        <w:t xml:space="preserve">), at Rani’s cost and expense, from and against any and all liabilities, losses, costs, damages, fees or expenses (collectively, </w:t>
      </w:r>
      <w:r>
        <w:rPr/>
        <w:t>“</w:t>
      </w:r>
      <w:r>
        <w:rPr>
          <w:rFonts w:ascii="Times New Roman;serif" w:hAnsi="Times New Roman;serif"/>
          <w:b w:val="false"/>
          <w:i/>
          <w:sz w:val="20"/>
        </w:rPr>
        <w:t>Losses”</w:t>
      </w:r>
      <w:r>
        <w:rPr>
          <w:rFonts w:ascii="Times New Roman;serif" w:hAnsi="Times New Roman;serif"/>
          <w:b w:val="false"/>
          <w:sz w:val="20"/>
        </w:rPr>
        <w:t xml:space="preserve">) (including reasonable legal expenses and attorneys’ fees incurred by any Celltrion Indemnitees until such time as Rani has acknowledged and assumed its indemnification obligation hereunder with respect to the applicable Claim) arising out of any claim, action, lawsuit, or other proceeding (collectively, </w:t>
      </w:r>
      <w:r>
        <w:rPr/>
        <w:t>“</w:t>
      </w:r>
      <w:r>
        <w:rPr>
          <w:rFonts w:ascii="Times New Roman;serif" w:hAnsi="Times New Roman;serif"/>
          <w:b w:val="false"/>
          <w:i/>
          <w:sz w:val="20"/>
        </w:rPr>
        <w:t>Claims”</w:t>
      </w:r>
      <w:r>
        <w:rPr>
          <w:rFonts w:ascii="Times New Roman;serif" w:hAnsi="Times New Roman;serif"/>
          <w:b w:val="false"/>
          <w:sz w:val="20"/>
        </w:rPr>
        <w:t xml:space="preserve">) brought against any Celltrion Indemnitee by a Third Party to the extent such Losses result from (a) the negligence or willful misconduct of Rani, its Affiliates or agents in performing under this Agreement or the Confidentiality Agreement, (b) a breach by Rani of this Agreement or the Confidentiality Agreement, including any failure of Rani’s representations or warranties in Section 10.1 (Mutual Representations and Warranties) and Section 10.3 (Rani Representations and Warranties) to be true, or (c) Rani’s, its Affiliate’s or its licensee’s development, manufacture or commercialization of the Product, including product liability related to Product except to the extent related to Drug Product and/or Drug Substance manufacturing defects; but in each case above excluding such Losses to the extent they arise from (a), (b) or (c) of Section 12.1.2 below.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12.1.2.</w:t>
      </w:r>
    </w:p>
    <w:p>
      <w:pPr>
        <w:pStyle w:val="TextBody"/>
        <w:bidi w:val="0"/>
        <w:spacing w:before="0" w:after="120"/>
        <w:jc w:val="both"/>
        <w:rPr/>
      </w:pPr>
      <w:r>
        <w:rPr>
          <w:rFonts w:ascii="Times New Roman;serif" w:hAnsi="Times New Roman;serif"/>
          <w:b w:val="false"/>
          <w:sz w:val="20"/>
        </w:rPr>
        <w:t xml:space="preserve">Subject to the remainder of this Article 12 (Indemnification), Celltrion will defend, indemnify, and hold harmless Rani, its Affiliates, and their respective directors, officers, employees and agents (solely to the extent acting within their agency) (collectively, </w:t>
      </w:r>
      <w:r>
        <w:rPr/>
        <w:t>“</w:t>
      </w:r>
      <w:r>
        <w:rPr>
          <w:rFonts w:ascii="Times New Roman;serif" w:hAnsi="Times New Roman;serif"/>
          <w:b w:val="false"/>
          <w:i/>
          <w:sz w:val="20"/>
        </w:rPr>
        <w:t>Rani Indemnitees”</w:t>
      </w:r>
      <w:r>
        <w:rPr>
          <w:rFonts w:ascii="Times New Roman;serif" w:hAnsi="Times New Roman;serif"/>
          <w:b w:val="false"/>
          <w:sz w:val="20"/>
        </w:rPr>
        <w:t xml:space="preserve">), at Celltrion’s cost and expense, from and against any and all Losses (including reasonable legal expenses and attorneys’ fees incurred by any Rani Indemnitees until such time as Celltrion has acknowledged and assumed its indemnification obligation hereunder with respect to the applicable Claim) arising out of any Claim brought against any Rani Indemnitee by a Third Party to the extent such Losses result from (a) the negligence or willful misconduct of Celltrion, or its Affiliates or agents in performing under this Agreement or the Confidentiality Agreement, (b) a breach by Celltrion of this Agreement or the Confidentiality Agreement, including any failure of Celltrion’s representations or warranties in Section 10.1 (Mutual Representations and Warranties) and 10.2 (Celltrion Representations and Warranties) to be true, or (c) Celltrion’s, its Affiliate’s or its licensee’s development, manufacture or commercialization of Drug or manufacturing defects with respect to Drug Product and/or Drug Substance; but in each case above excluding such Losses to the extent they arise from (a), (b) or (c) of Section 12.1.1 above.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18</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12.2.</w:t>
      </w:r>
    </w:p>
    <w:p>
      <w:pPr>
        <w:pStyle w:val="TextBody"/>
        <w:bidi w:val="0"/>
        <w:spacing w:before="0" w:after="0"/>
        <w:jc w:val="both"/>
        <w:rPr/>
      </w:pPr>
      <w:r>
        <w:rPr>
          <w:rFonts w:ascii="Times New Roman;serif" w:hAnsi="Times New Roman;serif"/>
          <w:b w:val="false"/>
          <w:sz w:val="20"/>
          <w:u w:val="single"/>
        </w:rPr>
        <w:t>Claim for Indemnification</w:t>
      </w:r>
      <w:r>
        <w:rPr>
          <w:rFonts w:ascii="Times New Roman;serif" w:hAnsi="Times New Roman;serif"/>
          <w:b w:val="false"/>
          <w:sz w:val="20"/>
        </w:rPr>
        <w:t xml:space="preserve">. A Rani Indemnitee or a Celltrion Indemnitee (the </w:t>
      </w:r>
      <w:r>
        <w:rPr/>
        <w:t>“</w:t>
      </w:r>
      <w:r>
        <w:rPr>
          <w:rFonts w:ascii="Times New Roman;serif" w:hAnsi="Times New Roman;serif"/>
          <w:b w:val="false"/>
          <w:i/>
          <w:sz w:val="20"/>
        </w:rPr>
        <w:t>Indemnified Party”</w:t>
      </w:r>
      <w:r>
        <w:rPr>
          <w:rFonts w:ascii="Times New Roman;serif" w:hAnsi="Times New Roman;serif"/>
          <w:b w:val="false"/>
          <w:sz w:val="20"/>
        </w:rPr>
        <w:t xml:space="preserve">) seeking indemnification under this Article 12 (Indemnification) will promptly notify the other Party (the </w:t>
      </w:r>
      <w:r>
        <w:rPr/>
        <w:t>“</w:t>
      </w:r>
      <w:r>
        <w:rPr>
          <w:rFonts w:ascii="Times New Roman;serif" w:hAnsi="Times New Roman;serif"/>
          <w:b w:val="false"/>
          <w:i/>
          <w:sz w:val="20"/>
        </w:rPr>
        <w:t>Indemnifying Party”</w:t>
      </w:r>
      <w:r>
        <w:rPr>
          <w:rFonts w:ascii="Times New Roman;serif" w:hAnsi="Times New Roman;serif"/>
          <w:b w:val="false"/>
          <w:sz w:val="20"/>
        </w:rPr>
        <w:t xml:space="preserve">) of the Claim or Loss and, when known, the facts constituting the basis for the Claim; </w:t>
      </w:r>
      <w:r>
        <w:rPr>
          <w:rFonts w:ascii="Times New Roman;serif" w:hAnsi="Times New Roman;serif"/>
          <w:b w:val="false"/>
          <w:i/>
          <w:sz w:val="20"/>
        </w:rPr>
        <w:t>provided, however</w:t>
      </w:r>
      <w:r>
        <w:rPr>
          <w:rFonts w:ascii="Times New Roman;serif" w:hAnsi="Times New Roman;serif"/>
          <w:b w:val="false"/>
          <w:sz w:val="20"/>
        </w:rPr>
        <w:t xml:space="preserve">, that the failure by an Indemnified Party to give such notice or to otherwise meet its obligations under this Section 12.2 (Claim for Indemnification) will not relieve the Indemnifying Party of its indemnification obligation under this Agreement except to the extent that the Indemnifying Party is actually prejudiced as a result of such failure. Except as set forth below in this Section, the Indemnifying Party will have exclusive control of the defense and settlement of all Claims for which it is responsible for indemnification and will promptly assume defense thereof at its own expense. The Indemnified Party may, at its own expense, participate in the defense of a Claim with counsel of its own choosing. The Indemnified Party will not settle or compromise such Claim for which it is entitled to indemnification without the prior written consent of the Indemnifying Party, unless the Indemnifying Party is in breach of its obligation to defend hereunder. In no event will the Indemnifying Party settle any Claim without the prior written consent of the other Party if such settlement does not include a complete release from liability on such Claim or if such settlement would involve undertaking an obligation other than the payment of money, would bind or impair the other Party, or includes any admission of wrongdoing or that any intellectual property or proprietary right of the other Party is invalid or unenforceable. The Indemnified Party will reasonably cooperate with the Indemnifying Party at the Indemnifying Party's expense.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13.</w:t>
      </w:r>
    </w:p>
    <w:p>
      <w:pPr>
        <w:pStyle w:val="TextBody"/>
        <w:bidi w:val="0"/>
        <w:spacing w:before="240" w:after="120"/>
        <w:jc w:val="both"/>
        <w:rPr>
          <w:rFonts w:ascii="Times New Roman;serif" w:hAnsi="Times New Roman;serif"/>
          <w:b/>
          <w:smallCaps/>
          <w:sz w:val="20"/>
        </w:rPr>
      </w:pPr>
      <w:r>
        <w:rPr>
          <w:rFonts w:ascii="Times New Roman;serif" w:hAnsi="Times New Roman;serif"/>
          <w:b/>
          <w:smallCaps/>
          <w:sz w:val="20"/>
        </w:rPr>
        <w:t>Term and Termination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13.1.</w:t>
      </w:r>
    </w:p>
    <w:p>
      <w:pPr>
        <w:pStyle w:val="TextBody"/>
        <w:bidi w:val="0"/>
        <w:spacing w:before="0" w:after="120"/>
        <w:jc w:val="both"/>
        <w:rPr/>
      </w:pPr>
      <w:r>
        <w:rPr>
          <w:rFonts w:ascii="Times New Roman;serif" w:hAnsi="Times New Roman;serif"/>
          <w:b w:val="false"/>
          <w:sz w:val="20"/>
          <w:u w:val="single"/>
        </w:rPr>
        <w:t>Term</w:t>
      </w:r>
      <w:r>
        <w:rPr>
          <w:rFonts w:ascii="Times New Roman;serif" w:hAnsi="Times New Roman;serif"/>
          <w:b w:val="false"/>
          <w:sz w:val="20"/>
        </w:rPr>
        <w:t xml:space="preserve">. This Agreement will come into effect as of the Effective Date and remain in effect until terminated in accordance with this Article 13 (Term and Termination).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13.2.</w:t>
      </w:r>
    </w:p>
    <w:p>
      <w:pPr>
        <w:pStyle w:val="TextBody"/>
        <w:bidi w:val="0"/>
        <w:spacing w:before="0" w:after="120"/>
        <w:jc w:val="both"/>
        <w:rPr/>
      </w:pPr>
      <w:r>
        <w:rPr>
          <w:rFonts w:ascii="Times New Roman;serif" w:hAnsi="Times New Roman;serif"/>
          <w:b w:val="false"/>
          <w:sz w:val="20"/>
          <w:u w:val="single"/>
        </w:rPr>
        <w:t>Termination</w:t>
      </w:r>
      <w:r>
        <w:rPr>
          <w:rFonts w:ascii="Times New Roman;serif" w:hAnsi="Times New Roman;serif"/>
          <w:b w:val="false"/>
          <w:sz w:val="20"/>
        </w:rPr>
        <w:t>. This Agreement may be terminated as follows:</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13.2.1.</w:t>
      </w:r>
    </w:p>
    <w:p>
      <w:pPr>
        <w:pStyle w:val="TextBody"/>
        <w:bidi w:val="0"/>
        <w:spacing w:before="0" w:after="120"/>
        <w:jc w:val="both"/>
        <w:rPr/>
      </w:pPr>
      <w:r>
        <w:rPr>
          <w:rFonts w:ascii="Times New Roman;serif" w:hAnsi="Times New Roman;serif"/>
          <w:b w:val="false"/>
          <w:i/>
          <w:sz w:val="20"/>
        </w:rPr>
        <w:t>Mutual Agreement</w:t>
      </w:r>
      <w:r>
        <w:rPr>
          <w:rFonts w:ascii="Times New Roman;serif" w:hAnsi="Times New Roman;serif"/>
          <w:b w:val="false"/>
          <w:sz w:val="20"/>
        </w:rPr>
        <w:t>. The Parties may terminate the Agreement at any time upon mutual agreement.</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13.2.2.</w:t>
      </w:r>
    </w:p>
    <w:p>
      <w:pPr>
        <w:pStyle w:val="TextBody"/>
        <w:bidi w:val="0"/>
        <w:spacing w:before="0" w:after="120"/>
        <w:jc w:val="both"/>
        <w:rPr/>
      </w:pPr>
      <w:r>
        <w:rPr>
          <w:rFonts w:ascii="Times New Roman;serif" w:hAnsi="Times New Roman;serif"/>
          <w:b w:val="false"/>
          <w:i/>
          <w:sz w:val="20"/>
        </w:rPr>
        <w:t xml:space="preserve">Termination for Convenience. </w:t>
      </w:r>
      <w:r>
        <w:rPr>
          <w:rFonts w:ascii="Times New Roman;serif" w:hAnsi="Times New Roman;serif"/>
          <w:b w:val="false"/>
          <w:sz w:val="20"/>
        </w:rPr>
        <w:t>Rani will have the right to terminate this Agreement at any time (a) prior to [*], upon [*] days’ prior written notice to Celltrion, and (b) after [*], upon [*] days’ prior written notice to Celltrion. Notwithstanding the foregoing in this Section 13.2.2 (Termination for Convenience), prior to completing a Phase 1 Trial with Product, Rani may [*]. Termination for convenience under this Section 13.2.2 shall not terminate automatically any definitive agreement entered into between the Parties following exercise of the ROFN (as set forth in Section 5 (Right of First Negotiation)) and/or the Commercial Supply Agreement.</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13.2.3.</w:t>
      </w:r>
    </w:p>
    <w:p>
      <w:pPr>
        <w:pStyle w:val="TextBody"/>
        <w:bidi w:val="0"/>
        <w:spacing w:before="0" w:after="120"/>
        <w:jc w:val="both"/>
        <w:rPr/>
      </w:pPr>
      <w:r>
        <w:rPr>
          <w:rFonts w:ascii="Times New Roman;serif" w:hAnsi="Times New Roman;serif"/>
          <w:b w:val="false"/>
          <w:i/>
          <w:sz w:val="20"/>
        </w:rPr>
        <w:t>Phase 1 Delay.</w:t>
      </w:r>
      <w:r>
        <w:rPr/>
        <w:t xml:space="preserve"> </w:t>
      </w:r>
      <w:r>
        <w:rPr>
          <w:rFonts w:ascii="Times New Roman;serif" w:hAnsi="Times New Roman;serif"/>
          <w:b w:val="false"/>
          <w:sz w:val="20"/>
        </w:rPr>
        <w:t>Celltrion will have the right to terminate this Agreement if Rani fails to (a) Initiate a Phase 1 Trial with Product [*], or (b) deliver the Phase 1 Data to Celltrion [*], in each case commencing from delivery of the full amount of Initial Supply to Rani that complies with the terms of this Agreement. For clarity, if such Phase 1 Trial has multiple parts (e.g., a part 2 repeat-dose portion), then for purposes of the preceding sentence the Phase 1 Data shall mean solely the data related to the single-dose or single-ascending dose portion of such trial, as applicable. Such period will be extended for any delays caused by Celltrion, and if requested by Rani Celltrion will consider in good faith an extension if there are delays caused by matters outside the Parties’ reasonable control. If Rani intends to extend such period for any delay it believes is caused by Celltrion, it will promptly notify Celltrion so the Parties can confirm or dispute such proposed extension.</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13.2.4.</w:t>
      </w:r>
    </w:p>
    <w:p>
      <w:pPr>
        <w:pStyle w:val="TextBody"/>
        <w:bidi w:val="0"/>
        <w:spacing w:before="0" w:after="120"/>
        <w:jc w:val="both"/>
        <w:rPr/>
      </w:pPr>
      <w:r>
        <w:rPr>
          <w:rFonts w:ascii="Times New Roman;serif" w:hAnsi="Times New Roman;serif"/>
          <w:b w:val="false"/>
          <w:i/>
          <w:sz w:val="20"/>
        </w:rPr>
        <w:t xml:space="preserve">Termination for Material Breach. </w:t>
      </w:r>
      <w:r>
        <w:rPr>
          <w:rFonts w:ascii="Times New Roman;serif" w:hAnsi="Times New Roman;serif"/>
          <w:b w:val="false"/>
          <w:sz w:val="20"/>
        </w:rPr>
        <w:t xml:space="preserve">If either Party believes that the other Party is in material breach of this Agreement, then such Party may deliver notice of such material breach (specifying the nature of the breach in reasonable detail) to the other Party. If the breaching Party (or its Affiliate) fails to cure such material breach within [*] days after the receipt of such notice (or [*] days with respect to any failure to pay amounts due hereunder), then the other Party will be permitted to terminate this Agreement by written notice; </w:t>
      </w:r>
      <w:r>
        <w:rPr>
          <w:rFonts w:ascii="Times New Roman;serif" w:hAnsi="Times New Roman;serif"/>
          <w:b w:val="false"/>
          <w:i/>
          <w:sz w:val="20"/>
        </w:rPr>
        <w:t>provided, however</w:t>
      </w:r>
      <w:r>
        <w:rPr>
          <w:rFonts w:ascii="Times New Roman;serif" w:hAnsi="Times New Roman;serif"/>
          <w:b w:val="false"/>
          <w:sz w:val="20"/>
        </w:rPr>
        <w:t xml:space="preserve">, if the breaching Party notifies the other Party within such [*] day period (or [*] day period with respect to failure to pay amounts due hereunder) that it disagrees in good faith with such asserted basis for termination, this Agreement will not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19</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720" w:right="0" w:hanging="0"/>
        <w:jc w:val="both"/>
        <w:rPr/>
      </w:pPr>
      <w:r>
        <w:rPr>
          <w:rFonts w:ascii="Times New Roman;serif" w:hAnsi="Times New Roman;serif"/>
          <w:b w:val="false"/>
          <w:sz w:val="20"/>
        </w:rPr>
        <w:t>terminate unless and until the matter has been finally resolved in accordance with Section 14.3 (Governing Law; Arbitration).</w:t>
      </w:r>
      <w:r>
        <w:rPr/>
        <w:t xml:space="preserve"> </w:t>
      </w:r>
    </w:p>
    <w:p>
      <w:pPr>
        <w:pStyle w:val="TextBody"/>
        <w:bidi w:val="0"/>
        <w:spacing w:before="0" w:after="120"/>
        <w:ind w:left="720" w:right="0" w:hanging="0"/>
        <w:jc w:val="both"/>
        <w:rPr>
          <w:rFonts w:ascii="Times New Roman" w:hAnsi="Times New Roman"/>
          <w:b w:val="false"/>
          <w:sz w:val="20"/>
        </w:rPr>
      </w:pPr>
      <w:r>
        <w:rPr>
          <w:rFonts w:ascii="Times New Roman" w:hAnsi="Times New Roman"/>
          <w:b w:val="false"/>
          <w:sz w:val="20"/>
        </w:rPr>
        <w:t>13.2.5.</w:t>
      </w:r>
    </w:p>
    <w:p>
      <w:pPr>
        <w:pStyle w:val="TextBody"/>
        <w:bidi w:val="0"/>
        <w:spacing w:before="0" w:after="120"/>
        <w:jc w:val="both"/>
        <w:rPr/>
      </w:pPr>
      <w:r>
        <w:rPr>
          <w:rFonts w:ascii="Times New Roman;serif" w:hAnsi="Times New Roman;serif"/>
          <w:b w:val="false"/>
          <w:i/>
          <w:sz w:val="20"/>
        </w:rPr>
        <w:t>Termination for Safety Concerns</w:t>
      </w:r>
      <w:r>
        <w:rPr>
          <w:rFonts w:ascii="Times New Roman;serif" w:hAnsi="Times New Roman;serif"/>
          <w:b w:val="false"/>
          <w:sz w:val="20"/>
        </w:rPr>
        <w:t>. If either Party has a serious concern about the safety of Drug Product, Drug Substance or Product, taking into consideration the balance of harm and benefit to patients, the Parties will seek to resolve such concern in good faith. If the Parties are not able to resolve the concern, either Party may raise the matter for discussion between senior executives of the Parties (or their designees), and the Parties will use reasonable efforts to cause their senior executives (or designees) to meet promptly to discuss such concern. If after such senior executives (or designees) meet,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13.3.</w:t>
      </w:r>
    </w:p>
    <w:p>
      <w:pPr>
        <w:pStyle w:val="TextBody"/>
        <w:bidi w:val="0"/>
        <w:spacing w:before="0" w:after="120"/>
        <w:jc w:val="both"/>
        <w:rPr/>
      </w:pPr>
      <w:r>
        <w:rPr>
          <w:rFonts w:ascii="Times New Roman;serif" w:hAnsi="Times New Roman;serif"/>
          <w:b w:val="false"/>
          <w:sz w:val="20"/>
          <w:u w:val="single"/>
        </w:rPr>
        <w:t>Effect of Termination</w:t>
      </w:r>
      <w:r>
        <w:rPr>
          <w:rFonts w:ascii="Times New Roman;serif" w:hAnsi="Times New Roman;serif"/>
          <w:b w:val="false"/>
          <w:sz w:val="20"/>
        </w:rPr>
        <w:t xml:space="preserve">. In the event of any termination of this Agreement: (a) any liabilities previously accrued will survive; (b) the rights and licenses granted by one Party to the other Party hereunder will terminate, unless expressly stated to survive in Section 13.4 (Surviving Provisions); (c) each Party will return to the other Party or destroy all Confidential Information of the other Party as set forth in the Confidentiality Agreement; and (d) in the case of a termination for convenience under Section 13.2.2, Rani will pay Celltrion for any supply of DP and/or DS or in-process supply of DP and/or DS as of such time, which was manufactured in response to a Rani Order delivered prior to such notice of termination. Rani shall have the right to use any remaining inventory of DP and/or DS in its possession as of the termination date, subject to and in accordance with the terms of this Agreement, which shall survive termination with respect to such use. </w:t>
      </w:r>
    </w:p>
    <w:p>
      <w:pPr>
        <w:pStyle w:val="TextBody"/>
        <w:bidi w:val="0"/>
        <w:spacing w:before="0" w:after="0"/>
        <w:ind w:left="0" w:right="0" w:hanging="0"/>
        <w:jc w:val="both"/>
        <w:rPr>
          <w:rFonts w:ascii="Times New Roman" w:hAnsi="Times New Roman"/>
          <w:b w:val="false"/>
          <w:sz w:val="20"/>
        </w:rPr>
      </w:pPr>
      <w:r>
        <w:rPr>
          <w:rFonts w:ascii="Times New Roman" w:hAnsi="Times New Roman"/>
          <w:b w:val="false"/>
          <w:sz w:val="20"/>
        </w:rPr>
        <w:t>13.4.</w:t>
      </w:r>
    </w:p>
    <w:p>
      <w:pPr>
        <w:pStyle w:val="TextBody"/>
        <w:bidi w:val="0"/>
        <w:spacing w:before="0" w:after="0"/>
        <w:jc w:val="both"/>
        <w:rPr/>
      </w:pPr>
      <w:r>
        <w:rPr>
          <w:rFonts w:ascii="Times New Roman;serif" w:hAnsi="Times New Roman;serif"/>
          <w:b w:val="false"/>
          <w:sz w:val="20"/>
          <w:u w:val="single"/>
        </w:rPr>
        <w:t>Surviving Provisions</w:t>
      </w:r>
      <w:r>
        <w:rPr>
          <w:rFonts w:ascii="Times New Roman;serif" w:hAnsi="Times New Roman;serif"/>
          <w:b w:val="false"/>
          <w:sz w:val="20"/>
        </w:rPr>
        <w:t xml:space="preserve">. In addition to any provisions herein that are expressly stated to survive termination, in the event of any termination of this Agreement the following provisions shall survive: Section 3.1(b) (License to Rani) and 3.2 (Licensed Information) solely with respect to Licensed Information incorporated, used or referenced in Rani Regulatory Filings, Regulatory Approvals, program materials or the program as of the date of termination, 8.1.2 (License), Article 9 (Confidentiality and Publications), Article 11 (Limitations of Liability; Insurance); Article 12 (Indemnification); Article 13 (Term and Termination) and Article 14 (Miscellaneous); provided, however, that the aforementioned Section 3.1(b) (License to Rani) and 3.2 (Licensed Information) provisions shall survive termination only in the instance where termination occurred due to termination for material breach (Section 13.2.4 (Termination for Material Breach)) of the Agreement due to material breach of Celltrion. </w:t>
      </w:r>
    </w:p>
    <w:p>
      <w:pPr>
        <w:pStyle w:val="TextBody"/>
        <w:bidi w:val="0"/>
        <w:spacing w:before="240" w:after="120"/>
        <w:ind w:left="0" w:right="0" w:hanging="0"/>
        <w:jc w:val="both"/>
        <w:rPr>
          <w:rFonts w:ascii="Times New Roman" w:hAnsi="Times New Roman"/>
          <w:b/>
          <w:smallCaps/>
          <w:sz w:val="20"/>
        </w:rPr>
      </w:pPr>
      <w:r>
        <w:rPr>
          <w:rFonts w:ascii="Times New Roman" w:hAnsi="Times New Roman"/>
          <w:b/>
          <w:smallCaps/>
          <w:sz w:val="20"/>
        </w:rPr>
        <w:t>14.</w:t>
      </w:r>
    </w:p>
    <w:p>
      <w:pPr>
        <w:pStyle w:val="TextBody"/>
        <w:bidi w:val="0"/>
        <w:spacing w:before="240" w:after="120"/>
        <w:jc w:val="both"/>
        <w:rPr/>
      </w:pPr>
      <w:r>
        <w:rPr>
          <w:rFonts w:ascii="Times New Roman;serif" w:hAnsi="Times New Roman;serif"/>
          <w:b/>
          <w:smallCaps/>
          <w:sz w:val="20"/>
        </w:rPr>
        <w:t>Miscellaneous</w:t>
      </w:r>
      <w:r>
        <w:rPr>
          <w:smallCaps/>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w:t>
      </w:r>
    </w:p>
    <w:p>
      <w:pPr>
        <w:pStyle w:val="TextBody"/>
        <w:bidi w:val="0"/>
        <w:spacing w:before="0" w:after="120"/>
        <w:jc w:val="both"/>
        <w:rPr/>
      </w:pPr>
      <w:r>
        <w:rPr>
          <w:rFonts w:ascii="Times New Roman;serif" w:hAnsi="Times New Roman;serif"/>
          <w:b w:val="false"/>
          <w:sz w:val="20"/>
          <w:u w:val="single"/>
        </w:rPr>
        <w:t>Affiliates</w:t>
      </w:r>
      <w:r>
        <w:rPr>
          <w:rFonts w:ascii="Times New Roman;serif" w:hAnsi="Times New Roman;serif"/>
          <w:b w:val="false"/>
          <w:sz w:val="20"/>
        </w:rPr>
        <w:t>. Each Party will have the right to exercise its rights and perform its obligations hereunder through its Affiliates; provided that, such Party will be responsible for its Affiliates’ performance hereunder.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14.2.</w:t>
      </w:r>
    </w:p>
    <w:p>
      <w:pPr>
        <w:pStyle w:val="TextBody"/>
        <w:bidi w:val="0"/>
        <w:spacing w:before="0" w:after="120"/>
        <w:jc w:val="both"/>
        <w:rPr/>
      </w:pPr>
      <w:r>
        <w:rPr>
          <w:rFonts w:ascii="Times New Roman;serif" w:hAnsi="Times New Roman;serif"/>
          <w:b w:val="false"/>
          <w:sz w:val="20"/>
          <w:u w:val="single"/>
        </w:rPr>
        <w:t>Assignment</w:t>
      </w:r>
      <w:r>
        <w:rPr>
          <w:rFonts w:ascii="Times New Roman;serif" w:hAnsi="Times New Roman;serif"/>
          <w:b w:val="false"/>
          <w:sz w:val="20"/>
        </w:rPr>
        <w:t xml:space="preserve">. Neither Party may assign or otherwise transfer this Agreement without the prior written consent of the other Party; however, either Party may assign or transfer this Agreement to an Affiliate, or to a successor in connection with a merger, acquisition, or sale of substantially all its assets to which this Agreement relates. Any assignment not in accordance with this Agreement will be void ab initio. Subject to the foregoing, the rights and obligations of the Parties under this Agreement will be binding upon and inure to the benefit of the successors and permitted assigns of the Parties.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14.3.</w:t>
      </w:r>
    </w:p>
    <w:p>
      <w:pPr>
        <w:pStyle w:val="TextBody"/>
        <w:bidi w:val="0"/>
        <w:spacing w:before="0" w:after="120"/>
        <w:jc w:val="both"/>
        <w:rPr/>
      </w:pPr>
      <w:r>
        <w:rPr>
          <w:rFonts w:ascii="Times New Roman;serif" w:hAnsi="Times New Roman;serif"/>
          <w:b w:val="false"/>
          <w:sz w:val="20"/>
          <w:u w:val="single"/>
        </w:rPr>
        <w:t>Governing Law; Arbitration</w:t>
      </w:r>
      <w:r>
        <w:rPr>
          <w:rFonts w:ascii="Times New Roman;serif" w:hAnsi="Times New Roman;serif"/>
          <w:b w:val="false"/>
          <w:sz w:val="20"/>
        </w:rPr>
        <w:t xml:space="preserve">. This Agreement shall be governed by, and enforced and construed in accordance with, the laws of the State of Delaware without regard to its conflicts of law provisions, except as to any issue which depends upon the validity, scope or enforceability of any Patent, which issue will be determined in accordance with the laws of the country in which such patent was issued. In the event of any controversy or dispute arising out of or relating to any provision of this Agreement, the construction, validity or breach thereof, the Parties will try in good faith to settle the same amicably between themselves. If they fail to reach a resolution amicably within thirty (30) days after giving notice of the dispute to the other Party, such controversy or dispute will be exclusively and finally settled by arbitration. Such arbitration will be held in [*] under the rules of the International Chamber of Commerce. The award of arbitration shall be final and binding upon both parties. The official language of the arbitration shall be English. The arbitration shall be decided by three (3) arbitrators. The arbitrators shall not have the power to grant any award or remedy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20</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other than such awards or remedies that are available under the applicable law. Notwithstanding the foregoing, each Party understands and agrees that a Party will be entitled to seek injunctive and/or equitable relief and enforcement of any arbitration award from the applicable courts in any appropriate jurisdiction. The Parties agree that a final judgment in any such matter will be conclusive and may be enforced in other jurisdictions by suits on the judgment or in any other manner provided by law. Any proceeding brought by either Party under this Agreement will be exclusively conducted in the English language. The United Nations Convention for the International Sale of Goods will not apply to the transactions contemplated herein.</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14.4.</w:t>
      </w:r>
    </w:p>
    <w:p>
      <w:pPr>
        <w:pStyle w:val="TextBody"/>
        <w:bidi w:val="0"/>
        <w:spacing w:before="0" w:after="120"/>
        <w:jc w:val="both"/>
        <w:rPr/>
      </w:pPr>
      <w:r>
        <w:rPr>
          <w:rFonts w:ascii="Times New Roman;serif" w:hAnsi="Times New Roman;serif"/>
          <w:b w:val="false"/>
          <w:sz w:val="20"/>
          <w:u w:val="single"/>
        </w:rPr>
        <w:t>Construction</w:t>
      </w:r>
      <w:r>
        <w:rPr>
          <w:rFonts w:ascii="Times New Roman;serif" w:hAnsi="Times New Roman;serif"/>
          <w:b w:val="false"/>
          <w:sz w:val="20"/>
        </w:rPr>
        <w:t>. The Parties each acknowledge that they have had the advice of counsel with respect to this Agreement, that this Agreement has been jointly drafted, and that no rule of strict construction shall be applied in the interpretation hereof. Headings and captions are for convenience only and are not to be used in the interpretation of this Agreement. The words “include”, “includes” and “including” will be deemed to be followed by the phrase “without limitation”. The words “herein”, “hereof” and “hereunder”, and words of similar import, shall be construed to refer to this Agreement in its entirety and not to any particular provision hereof. All references herein to Articles, Sections, Schedules or Exhibits, unless otherwise specifically provided, will be construed to refer to Articles, Sections, Schedules or Exhibits of this Agreement. This Agreement has been executed in English, and the English version of this Agreement shall control. Unless otherwise agreed by the Parties, all information shared under this Agreement will be disclosed in the English language.</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14.5.</w:t>
      </w:r>
    </w:p>
    <w:p>
      <w:pPr>
        <w:pStyle w:val="TextBody"/>
        <w:bidi w:val="0"/>
        <w:spacing w:before="0" w:after="120"/>
        <w:jc w:val="both"/>
        <w:rPr/>
      </w:pPr>
      <w:r>
        <w:rPr>
          <w:rFonts w:ascii="Times New Roman;serif" w:hAnsi="Times New Roman;serif"/>
          <w:b w:val="false"/>
          <w:sz w:val="20"/>
          <w:u w:val="single"/>
        </w:rPr>
        <w:t>Counterparts</w:t>
      </w:r>
      <w:r>
        <w:rPr>
          <w:rFonts w:ascii="Times New Roman;serif" w:hAnsi="Times New Roman;serif"/>
          <w:b w:val="false"/>
          <w:sz w:val="20"/>
        </w:rPr>
        <w:t>. This Agreement may be executed in counterparts with the same effect as if both Parties had signed the same document. All such counterparts shall be deemed an original, shall be construed together and shall constitute one and the same instrument. This Agreement</w:t>
      </w:r>
      <w:r>
        <w:rPr/>
        <w:t xml:space="preserve"> </w:t>
      </w:r>
      <w:r>
        <w:rPr>
          <w:rFonts w:ascii="Times New Roman;serif" w:hAnsi="Times New Roman;serif"/>
          <w:b w:val="false"/>
          <w:sz w:val="20"/>
        </w:rPr>
        <w:t>may be executed by electronic signatures (e.g., using DocuSign) or signatures transmitted by electronic means (e.g., facsimile, email, pdf format), each of which shall be deemed a valid and enforceable signature and means of delivery.</w:t>
      </w:r>
      <w:r>
        <w:rPr/>
        <w:t xml:space="preserv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14.6.</w:t>
      </w:r>
    </w:p>
    <w:p>
      <w:pPr>
        <w:pStyle w:val="TextBody"/>
        <w:bidi w:val="0"/>
        <w:spacing w:before="0" w:after="120"/>
        <w:jc w:val="both"/>
        <w:rPr/>
      </w:pPr>
      <w:r>
        <w:rPr>
          <w:rFonts w:ascii="Times New Roman;serif" w:hAnsi="Times New Roman;serif"/>
          <w:b w:val="false"/>
          <w:sz w:val="20"/>
          <w:u w:val="single"/>
        </w:rPr>
        <w:t>Entire Agreement</w:t>
      </w:r>
      <w:r>
        <w:rPr>
          <w:rFonts w:ascii="Times New Roman;serif" w:hAnsi="Times New Roman;serif"/>
          <w:b w:val="false"/>
          <w:sz w:val="20"/>
        </w:rPr>
        <w:t xml:space="preserve">. This Agreement, including any attached Appendices, Schedules and Exhibits, constitutes the entire agreement between the Parties as to the subject matter of this Agreement, and supersedes and merges all prior negotiations, representations, agreements and understandings regarding the same.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14.7.</w:t>
      </w:r>
    </w:p>
    <w:p>
      <w:pPr>
        <w:pStyle w:val="TextBody"/>
        <w:bidi w:val="0"/>
        <w:spacing w:before="0" w:after="120"/>
        <w:jc w:val="both"/>
        <w:rPr/>
      </w:pPr>
      <w:r>
        <w:rPr>
          <w:rFonts w:ascii="Times New Roman;serif" w:hAnsi="Times New Roman;serif"/>
          <w:b w:val="false"/>
          <w:sz w:val="20"/>
          <w:u w:val="single"/>
        </w:rPr>
        <w:t>Force Majeure</w:t>
      </w:r>
      <w:r>
        <w:rPr>
          <w:rFonts w:ascii="Times New Roman;serif" w:hAnsi="Times New Roman;serif"/>
          <w:b w:val="false"/>
          <w:sz w:val="20"/>
        </w:rPr>
        <w:t>. Neither Party shall be liable for delay or failure in the performance of any of its obligations hereunder if such delay or failure is due to causes beyond its reasonable control, including acts of God, fires, floods, earthquakes, labor strikes, acts of war, terrorism or civil unrest (</w:t>
      </w:r>
      <w:r>
        <w:rPr/>
        <w:t>“</w:t>
      </w:r>
      <w:r>
        <w:rPr>
          <w:rFonts w:ascii="Times New Roman;serif" w:hAnsi="Times New Roman;serif"/>
          <w:b w:val="false"/>
          <w:i/>
          <w:sz w:val="20"/>
        </w:rPr>
        <w:t>Force Majeure”</w:t>
      </w:r>
      <w:r>
        <w:rPr>
          <w:rFonts w:ascii="Times New Roman;serif" w:hAnsi="Times New Roman;serif"/>
          <w:b w:val="false"/>
          <w:sz w:val="20"/>
        </w:rPr>
        <w:t xml:space="preserve">); </w:t>
      </w:r>
      <w:r>
        <w:rPr>
          <w:rFonts w:ascii="Times New Roman;serif" w:hAnsi="Times New Roman;serif"/>
          <w:b w:val="false"/>
          <w:i/>
          <w:sz w:val="20"/>
        </w:rPr>
        <w:t>provided, however</w:t>
      </w:r>
      <w:r>
        <w:rPr>
          <w:rFonts w:ascii="Times New Roman;serif" w:hAnsi="Times New Roman;serif"/>
          <w:b w:val="false"/>
          <w:sz w:val="20"/>
        </w:rPr>
        <w:t xml:space="preserve">, that the affected Party promptly notifies the other Party in writing (and continues to provide monthly status updates to the other Party for the duration of the effect); </w:t>
      </w:r>
      <w:r>
        <w:rPr>
          <w:rFonts w:ascii="Times New Roman;serif" w:hAnsi="Times New Roman;serif"/>
          <w:b w:val="false"/>
          <w:i/>
          <w:sz w:val="20"/>
        </w:rPr>
        <w:t>and further provided</w:t>
      </w:r>
      <w:r>
        <w:rPr/>
        <w:t xml:space="preserve"> </w:t>
      </w:r>
      <w:r>
        <w:rPr>
          <w:rFonts w:ascii="Times New Roman;serif" w:hAnsi="Times New Roman;serif"/>
          <w:b w:val="false"/>
          <w:sz w:val="20"/>
        </w:rPr>
        <w:t xml:space="preserve">that the affected Party shall use its commercially reasonable efforts to avoid or remove such causes of non-performance and to mitigate the effect of such occurrence, and shall continue performance with reasonable dispatch whenever such causes are removed.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14.8.</w:t>
      </w:r>
    </w:p>
    <w:p>
      <w:pPr>
        <w:pStyle w:val="TextBody"/>
        <w:bidi w:val="0"/>
        <w:spacing w:before="0" w:after="120"/>
        <w:jc w:val="both"/>
        <w:rPr/>
      </w:pPr>
      <w:r>
        <w:rPr>
          <w:rFonts w:ascii="Times New Roman;serif" w:hAnsi="Times New Roman;serif"/>
          <w:b w:val="false"/>
          <w:sz w:val="20"/>
          <w:u w:val="single"/>
        </w:rPr>
        <w:t>Further Assurances</w:t>
      </w:r>
      <w:r>
        <w:rPr>
          <w:rFonts w:ascii="Times New Roman;serif" w:hAnsi="Times New Roman;serif"/>
          <w:b w:val="false"/>
          <w:sz w:val="20"/>
        </w:rPr>
        <w:t>. Each Party agrees to do and perform all such further acts and things and shall execute and deliver such other agreements, certificates, instruments and documents necessary or that the other Party may reasonably request in order to carry out the intent and accomplish the purposes of this Agreement and to evidence, perfect or otherwise confirm its rights hereunder.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14.9.</w:t>
      </w:r>
    </w:p>
    <w:p>
      <w:pPr>
        <w:pStyle w:val="TextBody"/>
        <w:bidi w:val="0"/>
        <w:spacing w:before="0" w:after="120"/>
        <w:jc w:val="both"/>
        <w:rPr/>
      </w:pPr>
      <w:r>
        <w:rPr>
          <w:rFonts w:ascii="Times New Roman;serif" w:hAnsi="Times New Roman;serif"/>
          <w:b w:val="false"/>
          <w:sz w:val="20"/>
          <w:u w:val="single"/>
        </w:rPr>
        <w:t>No Set-Off</w:t>
      </w:r>
      <w:r>
        <w:rPr>
          <w:rFonts w:ascii="Times New Roman;serif" w:hAnsi="Times New Roman;serif"/>
          <w:b w:val="false"/>
          <w:sz w:val="20"/>
        </w:rPr>
        <w:t>. No Party shall have the right to deduct from amounts otherwise payable hereunder any amounts payable to such Party (or its Affiliates) from the other Party (or its Affiliates).</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21</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14.10.</w:t>
      </w:r>
    </w:p>
    <w:p>
      <w:pPr>
        <w:pStyle w:val="TextBody"/>
        <w:bidi w:val="0"/>
        <w:spacing w:before="0" w:after="120"/>
        <w:jc w:val="both"/>
        <w:rPr/>
      </w:pPr>
      <w:r>
        <w:rPr>
          <w:rFonts w:ascii="Times New Roman;serif" w:hAnsi="Times New Roman;serif"/>
          <w:b w:val="false"/>
          <w:sz w:val="20"/>
          <w:u w:val="single"/>
        </w:rPr>
        <w:t>Notices</w:t>
      </w:r>
      <w:r>
        <w:rPr>
          <w:rFonts w:ascii="Times New Roman;serif" w:hAnsi="Times New Roman;serif"/>
          <w:b w:val="false"/>
          <w:sz w:val="20"/>
        </w:rPr>
        <w:t>. Any notice required or permitted to be given by this Agreement shall be in writing, in English, and shall be delivered by hand or overnight courier with tracking capabilities or mailed postage prepaid by registered or certified mail addressed as set forth below unless changed by notice so given:</w:t>
      </w:r>
    </w:p>
    <w:p>
      <w:pPr>
        <w:pStyle w:val="TextBody"/>
        <w:pBdr/>
        <w:bidi w:val="0"/>
        <w:spacing w:before="0" w:after="0"/>
        <w:ind w:left="727" w:right="0" w:hanging="1620"/>
        <w:jc w:val="both"/>
        <w:rPr>
          <w:rFonts w:ascii="Times New Roman;serif" w:hAnsi="Times New Roman;serif"/>
          <w:b w:val="false"/>
          <w:sz w:val="20"/>
        </w:rPr>
      </w:pPr>
      <w:r>
        <w:rPr>
          <w:rFonts w:ascii="Times New Roman;serif" w:hAnsi="Times New Roman;serif"/>
          <w:b w:val="false"/>
          <w:sz w:val="20"/>
        </w:rPr>
        <w:t xml:space="preserve">If to Celltrion: </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Celltrion, Inc.</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19F, IBS Building, 263, Central-ro</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Yeonsu-gu, Incheon 22006</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Republic of Korea</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Attention: Business alliance team leader</w:t>
      </w:r>
    </w:p>
    <w:p>
      <w:pPr>
        <w:pStyle w:val="TextBody"/>
        <w:bidi w:val="0"/>
        <w:spacing w:before="0" w:after="0"/>
        <w:ind w:left="2347" w:right="0" w:hanging="0"/>
        <w:jc w:val="left"/>
        <w:rPr>
          <w:rFonts w:ascii="Times New Roman;serif" w:hAnsi="Times New Roman;serif"/>
          <w:b w:val="false"/>
          <w:sz w:val="20"/>
        </w:rPr>
      </w:pPr>
      <w:r>
        <w:rPr>
          <w:rFonts w:ascii="Times New Roman;serif" w:hAnsi="Times New Roman;serif"/>
          <w:b w:val="false"/>
          <w:sz w:val="20"/>
        </w:rPr>
        <w:t>Telephone: [*]</w:t>
      </w:r>
    </w:p>
    <w:p>
      <w:pPr>
        <w:pStyle w:val="TextBody"/>
        <w:bidi w:val="0"/>
        <w:spacing w:before="0" w:after="0"/>
        <w:ind w:left="2347" w:right="0" w:hanging="0"/>
        <w:jc w:val="left"/>
        <w:rPr/>
      </w:pPr>
      <w:r>
        <w:rPr/>
        <w:t> </w:t>
      </w:r>
    </w:p>
    <w:p>
      <w:pPr>
        <w:pStyle w:val="TextBody"/>
        <w:pBdr/>
        <w:bidi w:val="0"/>
        <w:spacing w:before="0" w:after="0"/>
        <w:ind w:left="720" w:right="0" w:hanging="1800"/>
        <w:jc w:val="left"/>
        <w:rPr>
          <w:rFonts w:ascii="Times New Roman;serif" w:hAnsi="Times New Roman;serif"/>
          <w:b w:val="false"/>
          <w:sz w:val="20"/>
        </w:rPr>
      </w:pPr>
      <w:r>
        <w:rPr>
          <w:rFonts w:ascii="Times New Roman;serif" w:hAnsi="Times New Roman;serif"/>
          <w:b w:val="false"/>
          <w:sz w:val="20"/>
        </w:rPr>
        <w:t xml:space="preserve">If to Rani: </w:t>
      </w:r>
    </w:p>
    <w:p>
      <w:pPr>
        <w:pStyle w:val="TextBody"/>
        <w:bidi w:val="0"/>
        <w:spacing w:before="0" w:after="0"/>
        <w:ind w:left="2340" w:right="0" w:hanging="0"/>
        <w:jc w:val="left"/>
        <w:rPr>
          <w:rFonts w:ascii="Times New Roman;serif" w:hAnsi="Times New Roman;serif"/>
          <w:b w:val="false"/>
          <w:sz w:val="20"/>
        </w:rPr>
      </w:pPr>
      <w:r>
        <w:rPr>
          <w:rFonts w:ascii="Times New Roman;serif" w:hAnsi="Times New Roman;serif"/>
          <w:b w:val="false"/>
          <w:sz w:val="20"/>
        </w:rPr>
        <w:t>Rani Therapeutics, LLC</w:t>
      </w:r>
    </w:p>
    <w:p>
      <w:pPr>
        <w:pStyle w:val="TextBody"/>
        <w:bidi w:val="0"/>
        <w:spacing w:before="0" w:after="0"/>
        <w:ind w:left="2340" w:right="0" w:hanging="0"/>
        <w:jc w:val="left"/>
        <w:rPr>
          <w:rFonts w:ascii="Times New Roman;serif" w:hAnsi="Times New Roman;serif"/>
          <w:b w:val="false"/>
          <w:sz w:val="20"/>
        </w:rPr>
      </w:pPr>
      <w:r>
        <w:rPr>
          <w:rFonts w:ascii="Times New Roman;serif" w:hAnsi="Times New Roman;serif"/>
          <w:b w:val="false"/>
          <w:sz w:val="20"/>
        </w:rPr>
        <w:t>2051 Ringwood Ave.</w:t>
      </w:r>
    </w:p>
    <w:p>
      <w:pPr>
        <w:pStyle w:val="TextBody"/>
        <w:bidi w:val="0"/>
        <w:spacing w:before="0" w:after="0"/>
        <w:ind w:left="2340" w:right="0" w:hanging="0"/>
        <w:jc w:val="left"/>
        <w:rPr>
          <w:rFonts w:ascii="Times New Roman;serif" w:hAnsi="Times New Roman;serif"/>
          <w:b w:val="false"/>
          <w:sz w:val="20"/>
        </w:rPr>
      </w:pPr>
      <w:r>
        <w:rPr>
          <w:rFonts w:ascii="Times New Roman;serif" w:hAnsi="Times New Roman;serif"/>
          <w:b w:val="false"/>
          <w:sz w:val="20"/>
        </w:rPr>
        <w:t>San Jose, CA 95131</w:t>
      </w:r>
    </w:p>
    <w:p>
      <w:pPr>
        <w:pStyle w:val="TextBody"/>
        <w:bidi w:val="0"/>
        <w:spacing w:before="0" w:after="0"/>
        <w:ind w:left="2340" w:right="0" w:hanging="0"/>
        <w:jc w:val="left"/>
        <w:rPr>
          <w:rFonts w:ascii="Times New Roman" w:hAnsi="Times New Roman"/>
          <w:sz w:val="20"/>
        </w:rPr>
      </w:pPr>
      <w:r>
        <w:rPr>
          <w:rFonts w:ascii="Times New Roman;serif" w:hAnsi="Times New Roman;serif"/>
          <w:b w:val="false"/>
          <w:sz w:val="20"/>
        </w:rPr>
        <w:t>USA</w:t>
      </w:r>
      <w:r>
        <w:rPr>
          <w:rFonts w:ascii="Times New Roman" w:hAnsi="Times New Roman"/>
          <w:sz w:val="20"/>
        </w:rPr>
        <w:t xml:space="preserve"> </w:t>
      </w:r>
    </w:p>
    <w:p>
      <w:pPr>
        <w:pStyle w:val="TextBody"/>
        <w:bidi w:val="0"/>
        <w:spacing w:before="0" w:after="0"/>
        <w:ind w:left="2340" w:right="0" w:hanging="0"/>
        <w:jc w:val="left"/>
        <w:rPr>
          <w:rFonts w:ascii="Times New Roman;serif" w:hAnsi="Times New Roman;serif"/>
          <w:b w:val="false"/>
          <w:sz w:val="20"/>
        </w:rPr>
      </w:pPr>
      <w:r>
        <w:rPr>
          <w:rFonts w:ascii="Times New Roman;serif" w:hAnsi="Times New Roman;serif"/>
          <w:b w:val="false"/>
          <w:sz w:val="20"/>
        </w:rPr>
        <w:t xml:space="preserve">Attention: General Counsel </w:t>
      </w:r>
    </w:p>
    <w:p>
      <w:pPr>
        <w:pStyle w:val="TextBody"/>
        <w:bidi w:val="0"/>
        <w:spacing w:before="0" w:after="0"/>
        <w:ind w:left="2340" w:right="0" w:hanging="0"/>
        <w:jc w:val="left"/>
        <w:rPr>
          <w:rFonts w:ascii="Times New Roman;serif" w:hAnsi="Times New Roman;serif"/>
          <w:b w:val="false"/>
          <w:sz w:val="20"/>
        </w:rPr>
      </w:pPr>
      <w:r>
        <w:rPr>
          <w:rFonts w:ascii="Times New Roman;serif" w:hAnsi="Times New Roman;serif"/>
          <w:b w:val="false"/>
          <w:sz w:val="20"/>
        </w:rPr>
        <w:t>Telephone: [*]</w:t>
      </w:r>
    </w:p>
    <w:p>
      <w:pPr>
        <w:pStyle w:val="TextBody"/>
        <w:bidi w:val="0"/>
        <w:spacing w:before="0" w:after="0"/>
        <w:ind w:left="0" w:right="0" w:hanging="0"/>
        <w:jc w:val="left"/>
        <w:rPr/>
      </w:pPr>
      <w:r>
        <w:rPr/>
        <w:t> </w:t>
      </w:r>
    </w:p>
    <w:p>
      <w:pPr>
        <w:pStyle w:val="TextBody"/>
        <w:bidi w:val="0"/>
        <w:spacing w:before="0" w:after="120"/>
        <w:ind w:left="720" w:right="0" w:hanging="0"/>
        <w:jc w:val="both"/>
        <w:rPr>
          <w:rFonts w:ascii="Times New Roman;serif" w:hAnsi="Times New Roman;serif"/>
          <w:b w:val="false"/>
          <w:sz w:val="20"/>
        </w:rPr>
      </w:pPr>
      <w:r>
        <w:rPr>
          <w:rFonts w:ascii="Times New Roman;serif" w:hAnsi="Times New Roman;serif"/>
          <w:b w:val="false"/>
          <w:sz w:val="20"/>
        </w:rPr>
        <w:t>Any such notice shall be deemed given on the date delivered. A Party may add, delete (so long as at least one person is remaining), or change the person or address to which notices should be sent at any time upon written notice delivered to the other Party in accordance with this Section 14.10 (Notices).</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14.11.</w:t>
      </w:r>
    </w:p>
    <w:p>
      <w:pPr>
        <w:pStyle w:val="TextBody"/>
        <w:bidi w:val="0"/>
        <w:spacing w:before="0" w:after="120"/>
        <w:jc w:val="both"/>
        <w:rPr/>
      </w:pPr>
      <w:r>
        <w:rPr>
          <w:rFonts w:ascii="Times New Roman;serif" w:hAnsi="Times New Roman;serif"/>
          <w:b w:val="false"/>
          <w:sz w:val="20"/>
          <w:u w:val="single"/>
        </w:rPr>
        <w:t>Relationship of the Parties</w:t>
      </w:r>
      <w:r>
        <w:rPr>
          <w:rFonts w:ascii="Times New Roman;serif" w:hAnsi="Times New Roman;serif"/>
          <w:b w:val="false"/>
          <w:sz w:val="20"/>
        </w:rPr>
        <w:t>. Each Party is an independent contractor under this Agreement. Nothing contained herein is intended or is to be construed so as to constitute Rani and Celltrion as partners, agents or joint venturers. Neither Party shall have any express or implied right or authority to assume or create any obligations on behalf of or in the name of the other Party or to bind the other Party to any contract, agreement or undertaking with any Third Party.</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14.12.</w:t>
      </w:r>
    </w:p>
    <w:p>
      <w:pPr>
        <w:pStyle w:val="TextBody"/>
        <w:bidi w:val="0"/>
        <w:spacing w:before="0" w:after="120"/>
        <w:jc w:val="both"/>
        <w:rPr/>
      </w:pPr>
      <w:r>
        <w:rPr>
          <w:rFonts w:ascii="Times New Roman;serif" w:hAnsi="Times New Roman;serif"/>
          <w:b w:val="false"/>
          <w:sz w:val="20"/>
          <w:u w:val="single"/>
        </w:rPr>
        <w:t>Severability</w:t>
      </w:r>
      <w:r>
        <w:rPr>
          <w:rFonts w:ascii="Times New Roman;serif" w:hAnsi="Times New Roman;serif"/>
          <w:b w:val="false"/>
          <w:sz w:val="20"/>
        </w:rPr>
        <w:t>. If any one or more of the provisions of this Agreement is held to be invalid or unenforceable, the provision shall be considered severed from this Agreement and shall not serve to invalidate any remaining provisions hereof. The Parties shall negotiate in good faith to replace any invalid or unenforceable provision with a valid and enforceable one such that the objectives contemplated by the Parties when entering this Agreement may be realized.</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14.13.</w:t>
      </w:r>
    </w:p>
    <w:p>
      <w:pPr>
        <w:pStyle w:val="TextBody"/>
        <w:bidi w:val="0"/>
        <w:spacing w:before="0" w:after="120"/>
        <w:jc w:val="both"/>
        <w:rPr/>
      </w:pPr>
      <w:r>
        <w:rPr>
          <w:rFonts w:ascii="Times New Roman;serif" w:hAnsi="Times New Roman;serif"/>
          <w:b w:val="false"/>
          <w:sz w:val="20"/>
          <w:u w:val="single"/>
        </w:rPr>
        <w:t>Third-Party Beneficiaries</w:t>
      </w:r>
      <w:r>
        <w:rPr>
          <w:rFonts w:ascii="Times New Roman;serif" w:hAnsi="Times New Roman;serif"/>
          <w:b w:val="false"/>
          <w:sz w:val="20"/>
        </w:rPr>
        <w:t>. Except as expressly provided with respect to Celltrion Indemnitees or Rani Indemnities in Article 12 (Indemnification), there are no third-party beneficiaries intended hereunder and no Third Party shall have any right or obligation hereunder.</w:t>
      </w:r>
    </w:p>
    <w:p>
      <w:pPr>
        <w:pStyle w:val="TextBody"/>
        <w:bidi w:val="0"/>
        <w:spacing w:before="0" w:after="120"/>
        <w:ind w:left="0" w:right="0" w:hanging="0"/>
        <w:jc w:val="both"/>
        <w:rPr>
          <w:rFonts w:ascii="Times New Roman" w:hAnsi="Times New Roman"/>
          <w:b w:val="false"/>
          <w:sz w:val="20"/>
        </w:rPr>
      </w:pPr>
      <w:r>
        <w:rPr>
          <w:rFonts w:ascii="Times New Roman" w:hAnsi="Times New Roman"/>
          <w:b w:val="false"/>
          <w:sz w:val="20"/>
        </w:rPr>
        <w:t>14.14.</w:t>
      </w:r>
    </w:p>
    <w:p>
      <w:pPr>
        <w:pStyle w:val="TextBody"/>
        <w:bidi w:val="0"/>
        <w:spacing w:before="0" w:after="120"/>
        <w:jc w:val="both"/>
        <w:rPr/>
      </w:pPr>
      <w:r>
        <w:rPr>
          <w:rFonts w:ascii="Times New Roman;serif" w:hAnsi="Times New Roman;serif"/>
          <w:b w:val="false"/>
          <w:sz w:val="20"/>
          <w:u w:val="single"/>
        </w:rPr>
        <w:t>Waivers and Modifications</w:t>
      </w:r>
      <w:r>
        <w:rPr>
          <w:rFonts w:ascii="Times New Roman;serif" w:hAnsi="Times New Roman;serif"/>
          <w:b w:val="false"/>
          <w:sz w:val="20"/>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other occasion. No waiver, modification, release or amendment of any right or obligation under or provision of this Agreement shall be valid or effective unless in writing and signed by all Parties hereto.</w:t>
      </w:r>
    </w:p>
    <w:p>
      <w:pPr>
        <w:pStyle w:val="TextBody"/>
        <w:bidi w:val="0"/>
        <w:spacing w:before="0" w:after="0"/>
        <w:ind w:left="0" w:right="0" w:firstLine="720"/>
        <w:jc w:val="center"/>
        <w:rPr>
          <w:rFonts w:ascii="Times New Roman;serif" w:hAnsi="Times New Roman;serif"/>
          <w:b w:val="false"/>
          <w:sz w:val="20"/>
        </w:rPr>
      </w:pPr>
      <w:r>
        <w:rPr>
          <w:rFonts w:ascii="Times New Roman;serif" w:hAnsi="Times New Roman;serif"/>
          <w:b w:val="false"/>
          <w:sz w:val="20"/>
        </w:rPr>
        <w:t>*********</w:t>
      </w:r>
    </w:p>
    <w:p>
      <w:pPr>
        <w:pStyle w:val="TextBody"/>
        <w:bidi w:val="0"/>
        <w:spacing w:before="0" w:after="0"/>
        <w:ind w:left="0" w:right="0" w:firstLine="720"/>
        <w:jc w:val="center"/>
        <w:rPr>
          <w:rFonts w:ascii="Times New Roman;serif" w:hAnsi="Times New Roman;serif"/>
          <w:b w:val="false"/>
          <w:sz w:val="20"/>
        </w:rPr>
      </w:pPr>
      <w:r>
        <w:rPr>
          <w:rFonts w:ascii="Times New Roman;serif" w:hAnsi="Times New Roman;serif"/>
          <w:b w:val="false"/>
          <w:sz w:val="20"/>
        </w:rPr>
        <w:t>(Signature page follows)</w:t>
      </w:r>
    </w:p>
    <w:p>
      <w:pPr>
        <w:pStyle w:val="TextBody"/>
        <w:bidi w:val="0"/>
        <w:spacing w:before="0" w:after="120"/>
        <w:ind w:left="0" w:right="0" w:firstLine="720"/>
        <w:jc w:val="both"/>
        <w:rPr/>
      </w:pPr>
      <w:r>
        <w:rPr/>
        <w:t> </w:t>
      </w:r>
    </w:p>
    <w:p>
      <w:pPr>
        <w:pStyle w:val="TextBody"/>
        <w:bidi w:val="0"/>
        <w:spacing w:before="0" w:after="0"/>
        <w:ind w:left="0" w:right="0" w:hanging="0"/>
        <w:jc w:val="left"/>
        <w:rPr/>
      </w:pPr>
      <w:r>
        <w:rPr/>
        <w:t> </w:t>
      </w:r>
    </w:p>
    <w:tbl>
      <w:tblPr>
        <w:tblW w:w="2672" w:type="dxa"/>
        <w:jc w:val="left"/>
        <w:tblInd w:w="0" w:type="dxa"/>
        <w:tblLayout w:type="fixed"/>
        <w:tblCellMar>
          <w:top w:w="28" w:type="dxa"/>
          <w:left w:w="28" w:type="dxa"/>
          <w:bottom w:w="28" w:type="dxa"/>
          <w:right w:w="28" w:type="dxa"/>
        </w:tblCellMar>
      </w:tblPr>
      <w:tblGrid>
        <w:gridCol w:w="1516"/>
        <w:gridCol w:w="115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CONFIDENTIAL</w:t>
            </w:r>
          </w:p>
        </w:tc>
        <w:tc>
          <w:tcPr>
            <w:tcW w:w="1156" w:type="dxa"/>
            <w:tcBorders/>
            <w:vAlign w:val="center"/>
          </w:tcPr>
          <w:p>
            <w:pPr>
              <w:pStyle w:val="TableContents"/>
              <w:bidi w:val="0"/>
              <w:spacing w:before="0" w:after="120"/>
              <w:ind w:left="0" w:right="360" w:hanging="0"/>
              <w:jc w:val="right"/>
              <w:rPr>
                <w:rFonts w:ascii="Times New Roman;serif" w:hAnsi="Times New Roman;serif"/>
                <w:b w:val="false"/>
                <w:sz w:val="20"/>
              </w:rPr>
            </w:pPr>
            <w:r>
              <w:rPr>
                <w:rFonts w:ascii="Times New Roman;serif" w:hAnsi="Times New Roman;serif"/>
                <w:b w:val="false"/>
                <w:sz w:val="20"/>
              </w:rPr>
              <w:t>Page 22</w:t>
            </w:r>
          </w:p>
        </w:tc>
      </w:tr>
    </w:tbl>
    <w:p>
      <w:pPr>
        <w:pStyle w:val="TextBody"/>
        <w:bidi w:val="0"/>
        <w:spacing w:before="0" w:after="120"/>
        <w:ind w:left="0" w:right="72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0"/>
        <w:ind w:left="0" w:right="0" w:firstLine="720"/>
        <w:jc w:val="both"/>
        <w:rPr>
          <w:rFonts w:ascii="Times New Roman;serif" w:hAnsi="Times New Roman;serif"/>
          <w:b w:val="false"/>
          <w:sz w:val="20"/>
        </w:rPr>
      </w:pPr>
      <w:r>
        <w:rPr>
          <w:rFonts w:ascii="Times New Roman;serif" w:hAnsi="Times New Roman;serif"/>
          <w:b w:val="false"/>
          <w:sz w:val="20"/>
        </w:rPr>
        <w:t>IN WITNESS WHEREOF, the Parties have executed this License and Supply Agreement as of the Effective Date.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5580" w:type="dxa"/>
        <w:jc w:val="left"/>
        <w:tblInd w:w="0" w:type="dxa"/>
        <w:tblLayout w:type="fixed"/>
        <w:tblCellMar>
          <w:top w:w="28" w:type="dxa"/>
          <w:left w:w="28" w:type="dxa"/>
          <w:bottom w:w="28" w:type="dxa"/>
          <w:right w:w="28" w:type="dxa"/>
        </w:tblCellMar>
      </w:tblPr>
      <w:tblGrid>
        <w:gridCol w:w="646"/>
        <w:gridCol w:w="2086"/>
        <w:gridCol w:w="146"/>
        <w:gridCol w:w="631"/>
        <w:gridCol w:w="2071"/>
      </w:tblGrid>
      <w:tr>
        <w:trPr/>
        <w:tc>
          <w:tcPr>
            <w:tcW w:w="6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73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RANI THERAPEUTICS, LLC</w:t>
            </w:r>
          </w:p>
        </w:tc>
        <w:tc>
          <w:tcPr>
            <w:tcW w:w="146" w:type="dxa"/>
            <w:tcBorders/>
            <w:vAlign w:val="center"/>
          </w:tcPr>
          <w:p>
            <w:pPr>
              <w:pStyle w:val="TableContents"/>
              <w:bidi w:val="0"/>
              <w:spacing w:before="0" w:after="0"/>
              <w:ind w:left="0" w:right="0" w:hanging="0"/>
              <w:jc w:val="left"/>
              <w:rPr/>
            </w:pPr>
            <w:r>
              <w:rPr/>
              <w:t> </w:t>
            </w:r>
          </w:p>
        </w:tc>
        <w:tc>
          <w:tcPr>
            <w:tcW w:w="2702" w:type="dxa"/>
            <w:gridSpan w:val="2"/>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CELLTRION, INC.</w:t>
            </w:r>
          </w:p>
        </w:tc>
      </w:tr>
      <w:tr>
        <w:trPr/>
        <w:tc>
          <w:tcPr>
            <w:tcW w:w="6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Woo Sung Kee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Talat Imran</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Woo Sung Kee</w:t>
            </w:r>
          </w:p>
        </w:tc>
      </w:tr>
      <w:tr>
        <w:trPr/>
        <w:tc>
          <w:tcPr>
            <w:tcW w:w="6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0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Chief Executive Officer</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ind w:left="0" w:right="0" w:hanging="0"/>
        <w:jc w:val="left"/>
        <w:rPr/>
      </w:pPr>
      <w:r>
        <w:rPr/>
        <w:t> </w:t>
      </w:r>
    </w:p>
    <w:p>
      <w:pPr>
        <w:pStyle w:val="TextBody"/>
        <w:bidi w:val="0"/>
        <w:spacing w:before="0" w:after="120"/>
        <w:ind w:left="0" w:right="360" w:hanging="0"/>
        <w:jc w:val="both"/>
        <w:rPr>
          <w:rFonts w:ascii="Times New Roman;serif" w:hAnsi="Times New Roman;serif"/>
          <w:b w:val="false"/>
          <w:sz w:val="20"/>
        </w:rPr>
      </w:pPr>
      <w:r>
        <w:rPr>
          <w:rFonts w:ascii="Times New Roman;serif" w:hAnsi="Times New Roman;serif"/>
          <w:b w:val="false"/>
          <w:sz w:val="20"/>
        </w:rPr>
        <w:t>CONFIDENTIAL</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Appendix A:</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Supply Price Schedule</w:t>
      </w:r>
    </w:p>
    <w:p>
      <w:pPr>
        <w:pStyle w:val="TextBody"/>
        <w:bidi w:val="0"/>
        <w:spacing w:before="120" w:after="120"/>
        <w:ind w:left="0" w:right="0" w:hanging="0"/>
        <w:jc w:val="both"/>
        <w:rPr/>
      </w:pPr>
      <w:r>
        <w:rPr/>
        <w:t> </w:t>
      </w:r>
    </w:p>
    <w:p>
      <w:pPr>
        <w:pStyle w:val="TextBody"/>
        <w:bidi w:val="0"/>
        <w:spacing w:before="120" w:after="240"/>
        <w:ind w:left="0" w:right="0" w:hanging="0"/>
        <w:jc w:val="both"/>
        <w:rPr>
          <w:rFonts w:ascii="Times New Roman;serif" w:hAnsi="Times New Roman;serif"/>
          <w:b w:val="false"/>
          <w:sz w:val="20"/>
        </w:rPr>
      </w:pPr>
      <w:r>
        <w:rPr>
          <w:rFonts w:ascii="Times New Roman;serif" w:hAnsi="Times New Roman;serif"/>
          <w:b w:val="false"/>
          <w:sz w:val="20"/>
        </w:rPr>
        <w:t>[*]</w:t>
      </w:r>
    </w:p>
    <w:p>
      <w:pPr>
        <w:pStyle w:val="TextBody"/>
        <w:bidi w:val="0"/>
        <w:spacing w:before="0" w:after="120"/>
        <w:ind w:left="0" w:right="360" w:hanging="0"/>
        <w:jc w:val="both"/>
        <w:rPr>
          <w:rFonts w:ascii="Times New Roman;serif" w:hAnsi="Times New Roman;serif"/>
          <w:b w:val="false"/>
          <w:sz w:val="20"/>
        </w:rPr>
      </w:pPr>
      <w:r>
        <w:rPr>
          <w:rFonts w:ascii="Times New Roman;serif" w:hAnsi="Times New Roman;serif"/>
          <w:b w:val="false"/>
          <w:sz w:val="20"/>
        </w:rPr>
        <w:t>CONFIDENTIAL</w:t>
      </w:r>
    </w:p>
    <w:p>
      <w:pPr>
        <w:pStyle w:val="TextBody"/>
        <w:bidi w:val="0"/>
        <w:spacing w:before="0" w:after="120"/>
        <w:ind w:left="360" w:right="36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pPr>
      <w:r>
        <w:rPr/>
        <w:t> </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Appendix B:</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FTE Rate Schedule</w:t>
      </w:r>
    </w:p>
    <w:p>
      <w:pPr>
        <w:pStyle w:val="TextBody"/>
        <w:bidi w:val="0"/>
        <w:spacing w:before="0" w:after="0"/>
        <w:ind w:left="0" w:right="0" w:hanging="0"/>
        <w:jc w:val="both"/>
        <w:rPr/>
      </w:pPr>
      <w:r>
        <w:rPr/>
        <w:t> </w:t>
      </w:r>
    </w:p>
    <w:p>
      <w:pPr>
        <w:pStyle w:val="TextBody"/>
        <w:bidi w:val="0"/>
        <w:spacing w:before="120" w:after="240"/>
        <w:ind w:left="0" w:right="0" w:hanging="0"/>
        <w:jc w:val="both"/>
        <w:rPr>
          <w:rFonts w:ascii="Times New Roman;serif" w:hAnsi="Times New Roman;serif"/>
          <w:b w:val="false"/>
          <w:sz w:val="20"/>
        </w:rPr>
      </w:pPr>
      <w:r>
        <w:rPr>
          <w:rFonts w:ascii="Times New Roman;serif" w:hAnsi="Times New Roman;serif"/>
          <w:b w:val="false"/>
          <w:sz w:val="20"/>
        </w:rPr>
        <w:t>[*]</w:t>
      </w:r>
    </w:p>
    <w:p>
      <w:pPr>
        <w:pStyle w:val="TextBody"/>
        <w:bidi w:val="0"/>
        <w:spacing w:before="0" w:after="0"/>
        <w:ind w:left="0" w:right="0" w:hanging="0"/>
        <w:jc w:val="left"/>
        <w:rPr/>
      </w:pPr>
      <w:r>
        <w:rPr/>
        <w:t> </w:t>
      </w:r>
    </w:p>
    <w:p>
      <w:pPr>
        <w:pStyle w:val="TextBody"/>
        <w:bidi w:val="0"/>
        <w:spacing w:before="0" w:after="120"/>
        <w:ind w:left="0" w:right="360" w:hanging="0"/>
        <w:jc w:val="both"/>
        <w:rPr>
          <w:rFonts w:ascii="Times New Roman;serif" w:hAnsi="Times New Roman;serif"/>
          <w:b w:val="false"/>
          <w:sz w:val="20"/>
        </w:rPr>
      </w:pPr>
      <w:r>
        <w:rPr>
          <w:rFonts w:ascii="Times New Roman;serif" w:hAnsi="Times New Roman;serif"/>
          <w:b w:val="false"/>
          <w:sz w:val="20"/>
        </w:rPr>
        <w:t>CONFIDENTIAL</w:t>
      </w:r>
    </w:p>
    <w:p>
      <w:pPr>
        <w:pStyle w:val="TextBody"/>
        <w:bidi w:val="0"/>
        <w:spacing w:before="0" w:after="120"/>
        <w:ind w:left="360" w:right="360" w:hanging="0"/>
        <w:jc w:val="both"/>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serif" w:hAnsi="Times New Roman;serif"/>
          <w:b/>
          <w:sz w:val="20"/>
        </w:rPr>
      </w:pPr>
      <w:bookmarkStart w:id="24" w:name="rani-ex10_2.htm"/>
      <w:bookmarkStart w:id="25" w:name="ksraniex10_2"/>
      <w:bookmarkEnd w:id="24"/>
      <w:bookmarkEnd w:id="25"/>
      <w:r>
        <w:rPr>
          <w:rFonts w:ascii="Times New Roman;serif" w:hAnsi="Times New Roman;serif"/>
          <w:b/>
          <w:sz w:val="20"/>
        </w:rPr>
        <w:t>Exhibit 10.2</w:t>
      </w:r>
      <w:r>
        <w:br w:type="page"/>
      </w:r>
    </w:p>
    <w:p>
      <w:pPr>
        <w:pStyle w:val="TextBody"/>
        <w:bidi w:val="0"/>
        <w:spacing w:before="0" w:after="0"/>
        <w:ind w:left="0" w:right="0" w:hanging="0"/>
        <w:jc w:val="left"/>
        <w:rPr>
          <w:rFonts w:ascii="Times New Roman;serif" w:hAnsi="Times New Roman;serif"/>
          <w:b/>
          <w:sz w:val="20"/>
        </w:rPr>
      </w:pPr>
      <w:r>
        <w:rPr>
          <w:rFonts w:ascii="Times New Roman;serif" w:hAnsi="Times New Roman;serif"/>
          <w:b/>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TextBody"/>
        <w:bidi w:val="0"/>
        <w:spacing w:before="0" w:after="0"/>
        <w:ind w:left="0" w:right="0" w:hanging="0"/>
        <w:jc w:val="left"/>
        <w:rPr/>
      </w:pPr>
      <w:r>
        <w:rPr/>
        <w:drawing>
          <wp:inline distT="0" distB="0" distL="0" distR="0">
            <wp:extent cx="10763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76325" cy="5429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480"/>
        <w:ind w:left="0" w:right="0" w:hanging="0"/>
        <w:jc w:val="center"/>
        <w:rPr>
          <w:rFonts w:ascii="Times New Roman;serif" w:hAnsi="Times New Roman;serif"/>
          <w:b/>
          <w:smallCaps/>
          <w:sz w:val="20"/>
        </w:rPr>
      </w:pPr>
      <w:r>
        <w:rPr>
          <w:rFonts w:ascii="Times New Roman;serif" w:hAnsi="Times New Roman;serif"/>
          <w:b/>
          <w:smallCaps/>
          <w:sz w:val="20"/>
        </w:rPr>
        <w:t>Rani Therapeutics, LLC.</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Date</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Kate McKinley</w:t>
      </w:r>
    </w:p>
    <w:p>
      <w:pPr>
        <w:pStyle w:val="TextBody"/>
        <w:bidi w:val="0"/>
        <w:spacing w:before="0" w:after="24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p>
      <w:pPr>
        <w:pStyle w:val="TextBody"/>
        <w:bidi w:val="0"/>
        <w:spacing w:before="0" w:after="240"/>
        <w:ind w:left="0" w:right="0" w:hanging="0"/>
        <w:jc w:val="left"/>
        <w:rPr>
          <w:rFonts w:ascii="Times New Roman;serif" w:hAnsi="Times New Roman;serif"/>
          <w:b/>
          <w:sz w:val="20"/>
        </w:rPr>
      </w:pPr>
      <w:r>
        <w:rPr>
          <w:rFonts w:ascii="Times New Roman;serif" w:hAnsi="Times New Roman;serif"/>
          <w:b/>
          <w:sz w:val="20"/>
        </w:rPr>
        <w:t>Re: Offer of Employment</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Dear Kate,</w:t>
      </w:r>
    </w:p>
    <w:p>
      <w:pPr>
        <w:pStyle w:val="TextBody"/>
        <w:bidi w:val="0"/>
        <w:spacing w:before="0" w:after="240"/>
        <w:ind w:left="0" w:right="0" w:firstLine="720"/>
        <w:jc w:val="both"/>
        <w:rPr>
          <w:rFonts w:ascii="Times New Roman" w:hAnsi="Times New Roman"/>
          <w:sz w:val="20"/>
        </w:rPr>
      </w:pPr>
      <w:r>
        <w:rPr>
          <w:rFonts w:ascii="Times New Roman;serif" w:hAnsi="Times New Roman;serif"/>
          <w:b/>
          <w:smallCaps/>
          <w:sz w:val="20"/>
        </w:rPr>
        <w:t>Rani Therapeutics, LLC.</w:t>
      </w:r>
      <w:r>
        <w:rPr>
          <w:rFonts w:ascii="Times New Roman" w:hAnsi="Times New Roman"/>
          <w:sz w:val="20"/>
        </w:rPr>
        <w:t xml:space="preserve"> </w:t>
      </w:r>
      <w:r>
        <w:rPr>
          <w:rFonts w:ascii="Times New Roman;serif" w:hAnsi="Times New Roman;serif"/>
          <w:b w:val="false"/>
          <w:sz w:val="20"/>
        </w:rPr>
        <w:t>(the “Company”) is pleased to offer you employment on the terms and conditions set forth in this letter agreement (the “Agreement”).</w:t>
      </w:r>
      <w:r>
        <w:rPr>
          <w:rFonts w:ascii="Times New Roman" w:hAnsi="Times New Roman"/>
          <w:sz w:val="20"/>
        </w:rPr>
        <w:t xml:space="preserve"> </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1.</w:t>
      </w:r>
    </w:p>
    <w:p>
      <w:pPr>
        <w:pStyle w:val="TextBody"/>
        <w:bidi w:val="0"/>
        <w:spacing w:before="0" w:after="240"/>
        <w:jc w:val="both"/>
        <w:rPr/>
      </w:pPr>
      <w:r>
        <w:rPr>
          <w:rFonts w:ascii="Times New Roman;serif" w:hAnsi="Times New Roman;serif"/>
          <w:b/>
          <w:smallCaps/>
          <w:sz w:val="20"/>
        </w:rPr>
        <w:t>Employment by the Company</w:t>
      </w:r>
      <w:r>
        <w:rPr>
          <w:rFonts w:ascii="Times New Roman;serif" w:hAnsi="Times New Roman;serif"/>
          <w:b w:val="false"/>
          <w:sz w:val="20"/>
        </w:rPr>
        <w:t>.</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(a)</w:t>
      </w:r>
    </w:p>
    <w:p>
      <w:pPr>
        <w:pStyle w:val="TextBody"/>
        <w:bidi w:val="0"/>
        <w:spacing w:before="0" w:after="240"/>
        <w:jc w:val="both"/>
        <w:rPr/>
      </w:pPr>
      <w:r>
        <w:rPr>
          <w:rFonts w:ascii="Times New Roman;serif" w:hAnsi="Times New Roman;serif"/>
          <w:b/>
          <w:sz w:val="20"/>
        </w:rPr>
        <w:t>Position</w:t>
      </w:r>
      <w:r>
        <w:rPr>
          <w:rFonts w:ascii="Times New Roman;serif" w:hAnsi="Times New Roman;serif"/>
          <w:b w:val="false"/>
          <w:sz w:val="20"/>
        </w:rPr>
        <w:t>. Your employment with the Company as Chief Business Officer will start on May 22, 2023.</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(b)</w:t>
      </w:r>
    </w:p>
    <w:p>
      <w:pPr>
        <w:pStyle w:val="TextBody"/>
        <w:bidi w:val="0"/>
        <w:spacing w:before="0" w:after="240"/>
        <w:jc w:val="both"/>
        <w:rPr/>
      </w:pPr>
      <w:r>
        <w:rPr>
          <w:rFonts w:ascii="Times New Roman;serif" w:hAnsi="Times New Roman;serif"/>
          <w:b/>
          <w:sz w:val="20"/>
        </w:rPr>
        <w:t>Duties and Location</w:t>
      </w:r>
      <w:r>
        <w:rPr>
          <w:rFonts w:ascii="Times New Roman;serif" w:hAnsi="Times New Roman;serif"/>
          <w:b w:val="false"/>
          <w:sz w:val="20"/>
        </w:rPr>
        <w:t>. You will be responsible for duties and responsibilities as are customary for the position of Chief Business Officer and as may be directed by the Chief Executive Officer of the Company, to whom you will report. This position will be a remote role,a allowing you to work from your preferred location. As part of your role, the Company reserves the right to require you to visit our headquarters from time to time as well as require reasonable business travel. Subject to the terms of this Agreement, the Company may modify your job title, duties, and reporting relationship as it deems necessary and appropriate in light of the Company’s needs and interests from time to time.</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(c)</w:t>
      </w:r>
    </w:p>
    <w:p>
      <w:pPr>
        <w:pStyle w:val="TextBody"/>
        <w:bidi w:val="0"/>
        <w:spacing w:before="0" w:after="240"/>
        <w:jc w:val="both"/>
        <w:rPr/>
      </w:pPr>
      <w:r>
        <w:rPr>
          <w:rFonts w:ascii="Times New Roman;serif" w:hAnsi="Times New Roman;serif"/>
          <w:b/>
          <w:sz w:val="20"/>
        </w:rPr>
        <w:t>Outside Activities</w:t>
      </w:r>
      <w:r>
        <w:rPr>
          <w:rFonts w:ascii="Times New Roman;serif" w:hAnsi="Times New Roman;serif"/>
          <w:b w:val="false"/>
          <w:sz w:val="20"/>
        </w:rPr>
        <w:t>. Throughout your employment with the Company, you may engage in civic and not-for-profit activities so long as such 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2.</w:t>
      </w:r>
    </w:p>
    <w:p>
      <w:pPr>
        <w:pStyle w:val="TextBody"/>
        <w:bidi w:val="0"/>
        <w:spacing w:before="0" w:after="240"/>
        <w:jc w:val="both"/>
        <w:rPr/>
      </w:pPr>
      <w:r>
        <w:rPr>
          <w:rFonts w:ascii="Times New Roman;serif" w:hAnsi="Times New Roman;serif"/>
          <w:b/>
          <w:smallCaps/>
          <w:sz w:val="20"/>
        </w:rPr>
        <w:t>Compensation and Benefits</w:t>
      </w:r>
      <w:r>
        <w:rPr>
          <w:rFonts w:ascii="Times New Roman;serif" w:hAnsi="Times New Roman;serif"/>
          <w:b w:val="false"/>
          <w:sz w:val="20"/>
        </w:rPr>
        <w:t>.</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(a)</w:t>
      </w:r>
    </w:p>
    <w:p>
      <w:pPr>
        <w:pStyle w:val="TextBody"/>
        <w:bidi w:val="0"/>
        <w:spacing w:before="0" w:after="240"/>
        <w:jc w:val="both"/>
        <w:rPr/>
      </w:pPr>
      <w:r>
        <w:rPr>
          <w:rFonts w:ascii="Times New Roman;serif" w:hAnsi="Times New Roman;serif"/>
          <w:b/>
          <w:sz w:val="20"/>
        </w:rPr>
        <w:t>Base Salary</w:t>
      </w:r>
      <w:r>
        <w:rPr>
          <w:rFonts w:ascii="Times New Roman;serif" w:hAnsi="Times New Roman;serif"/>
          <w:b w:val="false"/>
          <w:sz w:val="20"/>
        </w:rPr>
        <w:t>. Your base salary will be $390,000, per year and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(b)</w:t>
      </w:r>
    </w:p>
    <w:p>
      <w:pPr>
        <w:pStyle w:val="TextBody"/>
        <w:bidi w:val="0"/>
        <w:spacing w:before="0" w:after="240"/>
        <w:jc w:val="both"/>
        <w:rPr/>
      </w:pPr>
      <w:r>
        <w:rPr>
          <w:rFonts w:ascii="Times New Roman;serif" w:hAnsi="Times New Roman;serif"/>
          <w:b/>
          <w:sz w:val="20"/>
        </w:rPr>
        <w:t>Employee Benefits</w:t>
      </w:r>
      <w:r>
        <w:rPr>
          <w:rFonts w:ascii="Times New Roman;serif" w:hAnsi="Times New Roman;serif"/>
          <w:b w:val="false"/>
          <w:sz w:val="20"/>
        </w:rPr>
        <w:t xml:space="preserve">. As a regular full-time employee, you will be eligible to participate in the Company’s standard employee benefits offered to executive level employees, as in effect from time to time and subject to the terms and conditions of the benefit plans and applicable Company policies. A full description of these benefits is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0763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76325" cy="5429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available upon request. Subject to the terms of this Agreement, the Company may change your compensation and benefits from time to time in its discretion.</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(c)</w:t>
      </w:r>
    </w:p>
    <w:p>
      <w:pPr>
        <w:pStyle w:val="TextBody"/>
        <w:bidi w:val="0"/>
        <w:spacing w:before="0" w:after="240"/>
        <w:jc w:val="both"/>
        <w:rPr/>
      </w:pPr>
      <w:r>
        <w:rPr>
          <w:rFonts w:ascii="Times New Roman;serif" w:hAnsi="Times New Roman;serif"/>
          <w:b/>
          <w:sz w:val="20"/>
        </w:rPr>
        <w:t>Annual Bonus</w:t>
      </w:r>
      <w:r>
        <w:rPr>
          <w:rFonts w:ascii="Times New Roman;serif" w:hAnsi="Times New Roman;serif"/>
          <w:b w:val="false"/>
          <w:sz w:val="20"/>
        </w:rPr>
        <w:t>. You are also eligible to earn an annual bonus with a target amount equal to 75% of your annual base salary. The terms of this bonus will be determined in the sole discretion of the Board of Directors of Rani Therapeutics Holdings, Inc. (the “Board”) or the Compensation Committee thereof.</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(d)</w:t>
      </w:r>
    </w:p>
    <w:p>
      <w:pPr>
        <w:pStyle w:val="TextBody"/>
        <w:bidi w:val="0"/>
        <w:spacing w:before="0" w:after="240"/>
        <w:jc w:val="both"/>
        <w:rPr/>
      </w:pPr>
      <w:r>
        <w:rPr>
          <w:rFonts w:ascii="Times New Roman;serif" w:hAnsi="Times New Roman;serif"/>
          <w:b/>
          <w:sz w:val="20"/>
        </w:rPr>
        <w:t>Equity Compensation</w:t>
      </w:r>
      <w:r>
        <w:rPr>
          <w:rFonts w:ascii="Times New Roman;serif" w:hAnsi="Times New Roman;serif"/>
          <w:b w:val="false"/>
          <w:sz w:val="20"/>
        </w:rPr>
        <w:t xml:space="preserve">. Subject to approval by the Board, the Company will grant you an option to purchase 250,000 shares of the Company’s common stock (the “Option”). The Option shall vest over a four-year period, with one quarter (1/4) of the shares subject to the Option vesting on the one-year anniversary of the date of grant, and the remaining shares vesting equally over the following thirty-six (36) months of continuous service. The Option shall be issued pursuant to the terms and conditions of the Company’s 2021 Equity Incentive Plan (the “Plan”) and shall be governed in all respects by the terms of the Plan, the grant notices and the option agreements. </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(e)</w:t>
      </w:r>
    </w:p>
    <w:p>
      <w:pPr>
        <w:pStyle w:val="TextBody"/>
        <w:bidi w:val="0"/>
        <w:spacing w:before="0" w:after="240"/>
        <w:jc w:val="both"/>
        <w:rPr/>
      </w:pPr>
      <w:r>
        <w:rPr>
          <w:rFonts w:ascii="Times New Roman;serif" w:hAnsi="Times New Roman;serif"/>
          <w:b/>
          <w:sz w:val="20"/>
        </w:rPr>
        <w:t>Severance and Change in Control Benefit Plan</w:t>
      </w:r>
      <w:r>
        <w:rPr>
          <w:rFonts w:ascii="Times New Roman;serif" w:hAnsi="Times New Roman;serif"/>
          <w:b w:val="false"/>
          <w:sz w:val="20"/>
        </w:rPr>
        <w:t xml:space="preserve">. You will be eligible to participate in the Rani Therapeutics Holdings, Inc. Severance and Change in Control Plan (the “Severance Plan”) subject to the terms and conditions of the Severance Plan and your Participation Agreement (as defined in the Severance Plan). </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(f)</w:t>
      </w:r>
    </w:p>
    <w:p>
      <w:pPr>
        <w:pStyle w:val="TextBody"/>
        <w:bidi w:val="0"/>
        <w:spacing w:before="0" w:after="240"/>
        <w:jc w:val="both"/>
        <w:rPr/>
      </w:pPr>
      <w:r>
        <w:rPr>
          <w:rFonts w:ascii="Times New Roman;serif" w:hAnsi="Times New Roman;serif"/>
          <w:b/>
          <w:sz w:val="20"/>
        </w:rPr>
        <w:t>Expenses</w:t>
      </w:r>
      <w:r>
        <w:rPr>
          <w:rFonts w:ascii="Times New Roman;serif" w:hAnsi="Times New Roman;serif"/>
          <w:b w:val="false"/>
          <w:sz w:val="20"/>
        </w:rPr>
        <w:t>. The Company will reimburse you for reasonable travel, entertainment or other expenses incurred by you in furtherance of or in connection with the performance of your duties hereunder, in accordance with the Company’s expense reimbursement policies and practices as in effect from time to time.</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3.</w:t>
      </w:r>
    </w:p>
    <w:p>
      <w:pPr>
        <w:pStyle w:val="TextBody"/>
        <w:bidi w:val="0"/>
        <w:spacing w:before="0" w:after="240"/>
        <w:jc w:val="both"/>
        <w:rPr/>
      </w:pPr>
      <w:r>
        <w:rPr>
          <w:rFonts w:ascii="Times New Roman;serif" w:hAnsi="Times New Roman;serif"/>
          <w:b/>
          <w:smallCaps/>
          <w:sz w:val="20"/>
        </w:rPr>
        <w:t>Confidential Information</w:t>
      </w:r>
      <w:r>
        <w:rPr>
          <w:rFonts w:ascii="Times New Roman;serif" w:hAnsi="Times New Roman;serif"/>
          <w:b w:val="false"/>
          <w:sz w:val="20"/>
        </w:rPr>
        <w:t xml:space="preserve">. As a Company employee, you will be expected to continue to abide by Company rules and policies including those rules and policies regarding the protection of the Company’s confidential information. You are also required to execute the Company’s standard form of Confidentiality Agreement, to be provided to you. </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4.</w:t>
      </w:r>
    </w:p>
    <w:p>
      <w:pPr>
        <w:pStyle w:val="TextBody"/>
        <w:bidi w:val="0"/>
        <w:spacing w:before="0" w:after="240"/>
        <w:jc w:val="both"/>
        <w:rPr/>
      </w:pPr>
      <w:r>
        <w:rPr>
          <w:rFonts w:ascii="Times New Roman;serif" w:hAnsi="Times New Roman;serif"/>
          <w:b/>
          <w:smallCaps/>
          <w:sz w:val="20"/>
        </w:rPr>
        <w:t>At-Will Employment Relationship</w:t>
      </w:r>
      <w:r>
        <w:rPr>
          <w:rFonts w:ascii="Times New Roman;serif" w:hAnsi="Times New Roman;serif"/>
          <w:b w:val="false"/>
          <w:sz w:val="20"/>
        </w:rPr>
        <w:t xml:space="preserve">. Your employment relationship with the Company is at will. Accordingly, you may terminate your employment with the Company at any time and for any reason whatsoever simply by notifying the Company; and the Company may terminate your employment at any time, with or without cause or advance notice. </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5.</w:t>
      </w:r>
    </w:p>
    <w:p>
      <w:pPr>
        <w:pStyle w:val="TextBody"/>
        <w:bidi w:val="0"/>
        <w:spacing w:before="0" w:after="240"/>
        <w:jc w:val="both"/>
        <w:rPr/>
      </w:pPr>
      <w:r>
        <w:rPr>
          <w:rFonts w:ascii="Times New Roman;serif" w:hAnsi="Times New Roman;serif"/>
          <w:b/>
          <w:smallCaps/>
          <w:sz w:val="20"/>
        </w:rPr>
        <w:t>Compliance With or Exemption From Section 409A</w:t>
      </w:r>
      <w:r>
        <w:rPr>
          <w:rFonts w:ascii="Times New Roman;serif" w:hAnsi="Times New Roman;serif"/>
          <w:b w:val="false"/>
          <w:sz w:val="20"/>
        </w:rPr>
        <w:t>. It is intended that the benefits set forth in this Agreement satisfy, to the greatest extent possible, the exemptions from the application of Section 409A of the Internal Revenue Code of 1986, as amended, (the “Code”) (Section 409A, together with any state law of similar effect, “Section 409A”)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6.</w:t>
      </w:r>
    </w:p>
    <w:p>
      <w:pPr>
        <w:pStyle w:val="TextBody"/>
        <w:bidi w:val="0"/>
        <w:spacing w:before="0" w:after="240"/>
        <w:jc w:val="both"/>
        <w:rPr/>
      </w:pPr>
      <w:r>
        <w:rPr>
          <w:rFonts w:ascii="Times New Roman;serif" w:hAnsi="Times New Roman;serif"/>
          <w:b/>
          <w:smallCaps/>
          <w:sz w:val="20"/>
        </w:rPr>
        <w:t>Dispute Resolution</w:t>
      </w:r>
      <w:r>
        <w:rPr>
          <w:rFonts w:ascii="Times New Roman;serif" w:hAnsi="Times New Roman;serif"/>
          <w:b w:val="false"/>
          <w:sz w:val="20"/>
        </w:rPr>
        <w:t>.</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(a)</w:t>
      </w:r>
    </w:p>
    <w:p>
      <w:pPr>
        <w:pStyle w:val="TextBody"/>
        <w:bidi w:val="0"/>
        <w:spacing w:before="0" w:after="240"/>
        <w:jc w:val="both"/>
        <w:rPr/>
      </w:pPr>
      <w:r>
        <w:rPr>
          <w:rFonts w:ascii="Times New Roman;serif" w:hAnsi="Times New Roman;serif"/>
          <w:b/>
          <w:sz w:val="20"/>
        </w:rPr>
        <w:t>Arbitration Agreement</w:t>
      </w:r>
      <w:r>
        <w:rPr>
          <w:rFonts w:ascii="Times New Roman;serif" w:hAnsi="Times New Roman;serif"/>
          <w:b w:val="false"/>
          <w:sz w:val="20"/>
        </w:rPr>
        <w:t xml:space="preserve">. 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p>
    <w:p>
      <w:pPr>
        <w:pStyle w:val="TextBody"/>
        <w:pBdr>
          <w:top w:val="single" w:sz="4"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2051 Ringwood Ave San Jose, CA 95131 Phone: (408) 457-3700 Fax: (408) 433-5440 Web: www.ranitherapeutics.com</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0763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76325" cy="5429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240"/>
        <w:jc w:val="both"/>
        <w:rPr/>
      </w:pPr>
      <w:r>
        <w:rPr>
          <w:rFonts w:ascii="Times New Roman;serif" w:hAnsi="Times New Roman;serif"/>
          <w:b w:val="false"/>
          <w:sz w:val="20"/>
        </w:rPr>
        <w:t xml:space="preserve">(“JAMS”), under JAMS’ then applicable rules and procedures for employment disputes before a single arbitrator (available upon request and also currently available at http://www.jamsadr.com/rules-employment-arbitration/). </w:t>
      </w:r>
      <w:r>
        <w:rPr>
          <w:rFonts w:ascii="Times New Roman;serif" w:hAnsi="Times New Roman;serif"/>
          <w:b/>
          <w:sz w:val="20"/>
        </w:rPr>
        <w:t>You acknowledge that by agreeing to this arbitration procedure, both you and the Company waive the right to resolve any such dispute through a trial by jury or judge or administrative proceeding</w:t>
      </w:r>
      <w:r>
        <w:rPr>
          <w:rFonts w:ascii="Times New Roman;serif" w:hAnsi="Times New Roman;serif"/>
          <w:b w:val="false"/>
          <w:sz w:val="20"/>
        </w:rPr>
        <w:t>.</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(b)</w:t>
      </w:r>
    </w:p>
    <w:p>
      <w:pPr>
        <w:pStyle w:val="TextBody"/>
        <w:bidi w:val="0"/>
        <w:spacing w:before="0" w:after="240"/>
        <w:jc w:val="both"/>
        <w:rPr/>
      </w:pPr>
      <w:r>
        <w:rPr>
          <w:rFonts w:ascii="Times New Roman;serif" w:hAnsi="Times New Roman;serif"/>
          <w:b/>
          <w:sz w:val="20"/>
        </w:rPr>
        <w:t>Individual Claims</w:t>
      </w:r>
      <w:r>
        <w:rPr>
          <w:rFonts w:ascii="Times New Roman;serif" w:hAnsi="Times New Roman;serif"/>
          <w:b w:val="false"/>
          <w:sz w:val="20"/>
        </w:rPr>
        <w:t>.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“Excluded Claims”). In the event you intend to bring multiple claims, including one of the Excluded Claims listed above, the Excluded Claims may be publicly filed with a court, while any other claims will remain subject to mandatory arbitration.</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(c)</w:t>
      </w:r>
    </w:p>
    <w:p>
      <w:pPr>
        <w:pStyle w:val="TextBody"/>
        <w:bidi w:val="0"/>
        <w:spacing w:before="0" w:after="240"/>
        <w:jc w:val="both"/>
        <w:rPr/>
      </w:pPr>
      <w:r>
        <w:rPr>
          <w:rFonts w:ascii="Times New Roman;serif" w:hAnsi="Times New Roman;serif"/>
          <w:b/>
          <w:sz w:val="20"/>
        </w:rPr>
        <w:t>Process</w:t>
      </w:r>
      <w:r>
        <w:rPr>
          <w:rFonts w:ascii="Times New Roman;serif" w:hAnsi="Times New Roman;serif"/>
          <w:b w:val="false"/>
          <w:sz w:val="20"/>
        </w:rPr>
        <w:t>. You will have the right to be represented by legal counsel at any arbitration proceeding. Questions of whether a claim is subject to 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pStyle w:val="TextBody"/>
        <w:bidi w:val="0"/>
        <w:spacing w:before="0" w:after="240"/>
        <w:ind w:left="0" w:right="0" w:firstLine="720"/>
        <w:jc w:val="both"/>
        <w:rPr>
          <w:rFonts w:ascii="Times New Roman" w:hAnsi="Times New Roman"/>
          <w:b/>
          <w:sz w:val="20"/>
        </w:rPr>
      </w:pPr>
      <w:r>
        <w:rPr>
          <w:rFonts w:ascii="Times New Roman" w:hAnsi="Times New Roman"/>
          <w:b/>
          <w:sz w:val="20"/>
        </w:rPr>
        <w:t>(d)</w:t>
      </w:r>
    </w:p>
    <w:p>
      <w:pPr>
        <w:pStyle w:val="TextBody"/>
        <w:bidi w:val="0"/>
        <w:spacing w:before="0" w:after="240"/>
        <w:jc w:val="both"/>
        <w:rPr/>
      </w:pPr>
      <w:r>
        <w:rPr>
          <w:rFonts w:ascii="Times New Roman;serif" w:hAnsi="Times New Roman;serif"/>
          <w:b/>
          <w:sz w:val="20"/>
        </w:rPr>
        <w:t>Injunctive Relief</w:t>
      </w:r>
      <w:r>
        <w:rPr>
          <w:rFonts w:ascii="Times New Roman;serif" w:hAnsi="Times New Roman;serif"/>
          <w:b w:val="false"/>
          <w:sz w:val="20"/>
        </w:rPr>
        <w:t>.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ind w:left="0" w:right="0" w:hanging="0"/>
        <w:jc w:val="both"/>
        <w:rPr>
          <w:rFonts w:ascii="Times New Roman" w:hAnsi="Times New Roman"/>
          <w:b/>
          <w:sz w:val="20"/>
        </w:rPr>
      </w:pPr>
      <w:r>
        <w:rPr>
          <w:rFonts w:ascii="Times New Roman" w:hAnsi="Times New Roman"/>
          <w:b/>
          <w:sz w:val="20"/>
        </w:rPr>
        <w:t>7.</w:t>
      </w:r>
    </w:p>
    <w:p>
      <w:pPr>
        <w:pStyle w:val="TextBody"/>
        <w:bidi w:val="0"/>
        <w:spacing w:before="0" w:after="240"/>
        <w:jc w:val="both"/>
        <w:rPr/>
      </w:pPr>
      <w:r>
        <w:rPr>
          <w:rFonts w:ascii="Times New Roman;serif" w:hAnsi="Times New Roman;serif"/>
          <w:b/>
          <w:smallCaps/>
          <w:sz w:val="20"/>
        </w:rPr>
        <w:t>Miscellaneous</w:t>
      </w:r>
      <w:r>
        <w:rPr>
          <w:rFonts w:ascii="Times New Roman;serif" w:hAnsi="Times New Roman;serif"/>
          <w:b w:val="false"/>
          <w:sz w:val="20"/>
        </w:rPr>
        <w:t xml:space="preserve">. This Agreement, together with the other agreements referenced herein, forms the complete and exclusive statement of your employment agreement with the Company. It supersedes any other agreements or promises made to you by anyone, whether oral or written.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w:t>
      </w:r>
    </w:p>
    <w:p>
      <w:pPr>
        <w:pStyle w:val="TextBody"/>
        <w:pBdr>
          <w:top w:val="single" w:sz="4"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2051 Ringwood Ave San Jose, CA 95131 Phone: (408) 457-3700 Fax: (408) 433-5440 Web: www.ranitherapeutics.com</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0763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76325" cy="5429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Transactions Act or other applicable law) or other transmission method and shall be deemed to have been duly and validly delivered and executed and be valid and effective for all purposes.</w:t>
      </w:r>
    </w:p>
    <w:p>
      <w:pPr>
        <w:pStyle w:val="TextBody"/>
        <w:bidi w:val="0"/>
        <w:spacing w:before="0" w:after="240"/>
        <w:ind w:left="0" w:right="0" w:hanging="0"/>
        <w:jc w:val="center"/>
        <w:rPr>
          <w:rFonts w:ascii="Times New Roman;serif" w:hAnsi="Times New Roman;serif"/>
          <w:b/>
          <w:smallCaps/>
          <w:sz w:val="20"/>
        </w:rPr>
      </w:pPr>
      <w:r>
        <w:rPr>
          <w:rFonts w:ascii="Times New Roman;serif" w:hAnsi="Times New Roman;serif"/>
          <w:b/>
          <w:smallCaps/>
          <w:sz w:val="20"/>
        </w:rPr>
        <w:t>Signature Page Follows</w:t>
      </w:r>
    </w:p>
    <w:p>
      <w:pPr>
        <w:pStyle w:val="TextBody"/>
        <w:bidi w:val="0"/>
        <w:spacing w:before="0" w:after="0"/>
        <w:ind w:left="0" w:right="0" w:hanging="0"/>
        <w:jc w:val="left"/>
        <w:rPr/>
      </w:pPr>
      <w:r>
        <w:rPr/>
        <w:t> </w:t>
      </w:r>
    </w:p>
    <w:p>
      <w:pPr>
        <w:pStyle w:val="TextBody"/>
        <w:pBdr>
          <w:top w:val="single" w:sz="4"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2051 Ringwood Ave San Jose, CA 95131 Phone: (408) 457-3700 Fax: (408) 433-5440 Web: www.ranitherapeutics.com</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drawing>
          <wp:inline distT="0" distB="0" distL="0" distR="0">
            <wp:extent cx="1076325"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76325" cy="54292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240"/>
        <w:ind w:left="0" w:right="0" w:firstLine="720"/>
        <w:jc w:val="both"/>
        <w:rPr/>
      </w:pPr>
      <w:r>
        <w:rPr/>
        <w:t> </w:t>
      </w:r>
    </w:p>
    <w:p>
      <w:pPr>
        <w:pStyle w:val="TextBody"/>
        <w:bidi w:val="0"/>
        <w:spacing w:before="0" w:after="240"/>
        <w:ind w:left="0" w:right="0" w:firstLine="720"/>
        <w:jc w:val="both"/>
        <w:rPr>
          <w:rFonts w:ascii="Times New Roman;serif" w:hAnsi="Times New Roman;serif"/>
          <w:b w:val="false"/>
          <w:sz w:val="20"/>
        </w:rPr>
      </w:pPr>
      <w:r>
        <w:rPr>
          <w:rFonts w:ascii="Times New Roman;serif" w:hAnsi="Times New Roman;serif"/>
          <w:b w:val="false"/>
          <w:sz w:val="20"/>
        </w:rPr>
        <w:t>Please sign and date this Agreement and return a signed copy to me on or before May 20, 2023 to confirm your acceptance of this Agreement.</w:t>
      </w:r>
    </w:p>
    <w:p>
      <w:pPr>
        <w:pStyle w:val="TextBody"/>
        <w:bidi w:val="0"/>
        <w:spacing w:before="0" w:after="480"/>
        <w:ind w:left="0" w:right="0" w:hanging="0"/>
        <w:jc w:val="left"/>
        <w:rPr>
          <w:rFonts w:ascii="Times New Roman" w:hAnsi="Times New Roman"/>
          <w:sz w:val="20"/>
        </w:rPr>
      </w:pPr>
      <w:r>
        <w:rPr>
          <w:rFonts w:ascii="Times New Roman;serif" w:hAnsi="Times New Roman;serif"/>
          <w:b/>
          <w:smallCaps/>
          <w:sz w:val="20"/>
        </w:rPr>
        <w:t>Rani Therapeutics, LLC</w:t>
      </w:r>
      <w:r>
        <w:rPr>
          <w:rFonts w:ascii="Times New Roman" w:hAnsi="Times New Roman"/>
          <w:smallCaps/>
          <w:sz w:val="20"/>
        </w:rPr>
        <w:t xml:space="preserve"> </w:t>
      </w:r>
    </w:p>
    <w:p>
      <w:pPr>
        <w:pStyle w:val="TextBody"/>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 xml:space="preserve">/s/ Bella Vazquez </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Bella Vazquez</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Vice President of Human Resources</w:t>
      </w:r>
    </w:p>
    <w:p>
      <w:pPr>
        <w:pStyle w:val="TextBody"/>
        <w:bidi w:val="0"/>
        <w:spacing w:before="0" w:after="0"/>
        <w:ind w:left="0" w:right="0" w:hanging="0"/>
        <w:jc w:val="left"/>
        <w:rPr/>
      </w:pPr>
      <w:r>
        <w:rPr/>
        <w:t> </w:t>
      </w:r>
    </w:p>
    <w:p>
      <w:pPr>
        <w:pStyle w:val="TextBody"/>
        <w:bidi w:val="0"/>
        <w:spacing w:before="240" w:after="480"/>
        <w:ind w:left="0" w:right="0" w:hanging="0"/>
        <w:jc w:val="left"/>
        <w:rPr>
          <w:rFonts w:ascii="Times New Roman" w:hAnsi="Times New Roman"/>
          <w:sz w:val="20"/>
        </w:rPr>
      </w:pPr>
      <w:r>
        <w:rPr>
          <w:rFonts w:ascii="Times New Roman;serif" w:hAnsi="Times New Roman;serif"/>
          <w:b/>
          <w:sz w:val="20"/>
        </w:rPr>
        <w:t>Accepted and Agreed:</w:t>
      </w:r>
      <w:r>
        <w:rPr>
          <w:rFonts w:ascii="Times New Roman" w:hAnsi="Times New Roman"/>
          <w:sz w:val="20"/>
        </w:rPr>
        <w:t xml:space="preserve"> </w:t>
      </w:r>
    </w:p>
    <w:p>
      <w:pPr>
        <w:pStyle w:val="TextBody"/>
        <w:bidi w:val="0"/>
        <w:spacing w:before="0" w:after="0"/>
        <w:ind w:left="0" w:right="0" w:hanging="0"/>
        <w:jc w:val="left"/>
        <w:rPr>
          <w:rFonts w:ascii="Times New Roman" w:hAnsi="Times New Roman"/>
          <w:sz w:val="20"/>
        </w:rPr>
      </w:pPr>
      <w:r>
        <w:rPr>
          <w:rFonts w:ascii="Times New Roman;serif" w:hAnsi="Times New Roman;serif"/>
          <w:b w:val="false"/>
          <w:sz w:val="20"/>
          <w:u w:val="single"/>
        </w:rPr>
        <w:t xml:space="preserve">/s/ Kate McKinley </w:t>
      </w:r>
      <w:r>
        <w:rPr>
          <w:rFonts w:ascii="Times New Roman;serif" w:hAnsi="Times New Roman;serif"/>
          <w:b w:val="false"/>
          <w:sz w:val="20"/>
        </w:rPr>
        <w:t>05/17/2023</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Kate McKinley Date</w:t>
      </w:r>
    </w:p>
    <w:p>
      <w:pPr>
        <w:pStyle w:val="TextBody"/>
        <w:bidi w:val="0"/>
        <w:spacing w:before="0" w:after="16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160"/>
        <w:ind w:left="0" w:right="0" w:hanging="0"/>
        <w:jc w:val="left"/>
        <w:rPr/>
      </w:pPr>
      <w:r>
        <w:rPr/>
        <w:t> </w:t>
      </w:r>
    </w:p>
    <w:p>
      <w:pPr>
        <w:pStyle w:val="TextBody"/>
        <w:bidi w:val="0"/>
        <w:spacing w:before="0" w:after="160"/>
        <w:ind w:left="0" w:right="0" w:hanging="0"/>
        <w:jc w:val="left"/>
        <w:rPr/>
      </w:pPr>
      <w:r>
        <w:rPr/>
        <w:t> </w:t>
      </w:r>
    </w:p>
    <w:p>
      <w:pPr>
        <w:pStyle w:val="TextBody"/>
        <w:pBdr>
          <w:top w:val="single" w:sz="4"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2051 Ringwood Ave San Jose, CA 95131 Phone: (408) 457-3700 Fax: (408) 433-5440 Web: www.ranitherapeutics.com</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Portions of this exhibit have been omitted as the Registrant has determined that (i) the omitted information is not material and (ii) the omitted material is of the type that the Registrant treats as private or confidential. Omitted portions are indicated by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6" w:name="rani-ex31_1.htm"/>
      <w:bookmarkStart w:id="27" w:name="ksraniex31_1"/>
      <w:bookmarkEnd w:id="26"/>
      <w:bookmarkEnd w:id="27"/>
      <w:r>
        <w:rPr/>
        <w:t> </w:t>
      </w:r>
      <w:r>
        <w:br w:type="page"/>
      </w:r>
    </w:p>
    <w:p>
      <w:pPr>
        <w:pStyle w:val="TextBody"/>
        <w:bidi w:val="0"/>
        <w:spacing w:before="0" w:after="240"/>
        <w:ind w:left="0" w:right="0" w:hanging="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240"/>
        <w:ind w:left="0" w:right="0" w:hanging="0"/>
        <w:jc w:val="center"/>
        <w:rPr>
          <w:rFonts w:ascii="Times New Roman;serif" w:hAnsi="Times New Roman;serif"/>
          <w:b/>
          <w:sz w:val="20"/>
          <w:u w:val="single"/>
        </w:rPr>
      </w:pPr>
      <w:r>
        <w:rPr>
          <w:rFonts w:ascii="Times New Roman;serif" w:hAnsi="Times New Roman;serif"/>
          <w:b/>
          <w:sz w:val="20"/>
          <w:u w:val="single"/>
        </w:rPr>
        <w:t>CERTIFICATION</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 Talat Imran, certify that: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Rani Therapeutics Holdings, Inc.;</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11, 2023</w:t>
      </w:r>
    </w:p>
    <w:p>
      <w:pPr>
        <w:pStyle w:val="TextBody"/>
        <w:bidi w:val="0"/>
        <w:spacing w:before="0" w:after="0"/>
        <w:ind w:left="0" w:right="0" w:hanging="0"/>
        <w:jc w:val="left"/>
        <w:rPr/>
      </w:pPr>
      <w:r>
        <w:rPr/>
        <w:t> </w:t>
      </w:r>
    </w:p>
    <w:tbl>
      <w:tblPr>
        <w:tblW w:w="1628" w:type="dxa"/>
        <w:jc w:val="left"/>
        <w:tblInd w:w="0" w:type="dxa"/>
        <w:tblLayout w:type="fixed"/>
        <w:tblCellMar>
          <w:top w:w="28" w:type="dxa"/>
          <w:left w:w="28" w:type="dxa"/>
          <w:bottom w:w="28" w:type="dxa"/>
          <w:right w:w="28" w:type="dxa"/>
        </w:tblCellMar>
      </w:tblPr>
      <w:tblGrid>
        <w:gridCol w:w="161"/>
        <w:gridCol w:w="12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76" w:type="dxa"/>
            <w:tcBorders/>
            <w:tcMar>
              <w:top w:w="0" w:type="dxa"/>
              <w:left w:w="0" w:type="dxa"/>
              <w:bottom w:w="0" w:type="dxa"/>
              <w:right w:w="0" w:type="dxa"/>
            </w:tcMar>
            <w:vAlign w:val="center"/>
          </w:tcPr>
          <w:p>
            <w:pPr>
              <w:pStyle w:val="TableContents"/>
              <w:pBdr>
                <w:bottom w:val="single" w:sz="6" w:space="1" w:color="000000"/>
              </w:pBdr>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Talat Imran</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Talat Imran</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813" w:type="dxa"/>
        <w:jc w:val="left"/>
        <w:tblInd w:w="0" w:type="dxa"/>
        <w:tblLayout w:type="fixed"/>
        <w:tblCellMar>
          <w:top w:w="28" w:type="dxa"/>
          <w:left w:w="28" w:type="dxa"/>
          <w:bottom w:w="28" w:type="dxa"/>
          <w:right w:w="28" w:type="dxa"/>
        </w:tblCellMar>
      </w:tblPr>
      <w:tblGrid>
        <w:gridCol w:w="161"/>
        <w:gridCol w:w="24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46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8" w:name="rani-ex31_2.htm"/>
      <w:bookmarkStart w:id="29" w:name="ksraniex31_2"/>
      <w:bookmarkEnd w:id="28"/>
      <w:bookmarkEnd w:id="29"/>
      <w:r>
        <w:rPr/>
        <w:t> </w:t>
      </w:r>
      <w:r>
        <w:br w:type="page"/>
      </w:r>
    </w:p>
    <w:p>
      <w:pPr>
        <w:pStyle w:val="TextBody"/>
        <w:bidi w:val="0"/>
        <w:spacing w:before="0" w:after="240"/>
        <w:ind w:left="0" w:right="0" w:hanging="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240"/>
        <w:ind w:left="0" w:right="0" w:hanging="0"/>
        <w:jc w:val="center"/>
        <w:rPr>
          <w:rFonts w:ascii="Times New Roman;serif" w:hAnsi="Times New Roman;serif"/>
          <w:b/>
          <w:sz w:val="20"/>
          <w:u w:val="single"/>
        </w:rPr>
      </w:pPr>
      <w:r>
        <w:rPr>
          <w:rFonts w:ascii="Times New Roman;serif" w:hAnsi="Times New Roman;serif"/>
          <w:b/>
          <w:sz w:val="20"/>
          <w:u w:val="single"/>
        </w:rPr>
        <w:t>CERTIFICATION</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I, Svai Sanford, certify that:</w:t>
      </w:r>
    </w:p>
    <w:p>
      <w:pPr>
        <w:pStyle w:val="TextBody"/>
        <w:bidi w:val="0"/>
        <w:spacing w:before="240" w:after="0"/>
        <w:ind w:left="0" w:right="0" w:hanging="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Rani Therapeutics Holdings, Inc.;</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2.</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3.</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4.</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(b)</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(c)</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ind w:left="0" w:right="0" w:hanging="0"/>
        <w:jc w:val="both"/>
        <w:rPr>
          <w:rFonts w:ascii="Times New Roman" w:hAnsi="Times New Roman"/>
          <w:b w:val="false"/>
          <w:sz w:val="20"/>
        </w:rPr>
      </w:pPr>
      <w:r>
        <w:rPr>
          <w:rFonts w:ascii="Times New Roman" w:hAnsi="Times New Roman"/>
          <w:b w:val="false"/>
          <w:sz w:val="20"/>
        </w:rPr>
        <w:t>5.</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ind w:left="720" w:right="0" w:hanging="0"/>
        <w:jc w:val="both"/>
        <w:rPr>
          <w:rFonts w:ascii="Times New Roman" w:hAnsi="Times New Roman"/>
          <w:b w:val="false"/>
          <w:sz w:val="20"/>
        </w:rPr>
      </w:pPr>
      <w:r>
        <w:rPr>
          <w:rFonts w:ascii="Times New Roman" w:hAnsi="Times New Roman"/>
          <w:b w:val="false"/>
          <w:sz w:val="20"/>
        </w:rPr>
        <w:t>(b)</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11, 2023</w:t>
      </w:r>
    </w:p>
    <w:p>
      <w:pPr>
        <w:pStyle w:val="TextBody"/>
        <w:bidi w:val="0"/>
        <w:spacing w:before="0" w:after="0"/>
        <w:ind w:left="0" w:right="0" w:hanging="0"/>
        <w:jc w:val="left"/>
        <w:rPr/>
      </w:pPr>
      <w:r>
        <w:rPr/>
        <w:t> </w:t>
      </w:r>
    </w:p>
    <w:tbl>
      <w:tblPr>
        <w:tblW w:w="1733" w:type="dxa"/>
        <w:jc w:val="left"/>
        <w:tblInd w:w="0" w:type="dxa"/>
        <w:tblLayout w:type="fixed"/>
        <w:tblCellMar>
          <w:top w:w="28" w:type="dxa"/>
          <w:left w:w="28" w:type="dxa"/>
          <w:bottom w:w="28" w:type="dxa"/>
          <w:right w:w="28" w:type="dxa"/>
        </w:tblCellMar>
      </w:tblPr>
      <w:tblGrid>
        <w:gridCol w:w="161"/>
        <w:gridCol w:w="13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Svai Sanford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Svai Sanford</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178" w:type="dxa"/>
        <w:jc w:val="left"/>
        <w:tblInd w:w="0" w:type="dxa"/>
        <w:tblLayout w:type="fixed"/>
        <w:tblCellMar>
          <w:top w:w="28" w:type="dxa"/>
          <w:left w:w="28" w:type="dxa"/>
          <w:bottom w:w="28" w:type="dxa"/>
          <w:right w:w="28" w:type="dxa"/>
        </w:tblCellMar>
      </w:tblPr>
      <w:tblGrid>
        <w:gridCol w:w="161"/>
        <w:gridCol w:w="38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0" w:name="rani-ex32_1.htm"/>
      <w:bookmarkStart w:id="31" w:name="ksraniex32_1"/>
      <w:bookmarkEnd w:id="30"/>
      <w:bookmarkEnd w:id="31"/>
      <w:r>
        <w:rPr/>
        <w:t> </w:t>
      </w:r>
      <w:r>
        <w:br w:type="page"/>
      </w:r>
    </w:p>
    <w:p>
      <w:pPr>
        <w:pStyle w:val="TextBody"/>
        <w:bidi w:val="0"/>
        <w:spacing w:before="0" w:after="240"/>
        <w:ind w:left="0" w:right="0" w:hanging="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ind w:left="0" w:right="0" w:hanging="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240"/>
        <w:ind w:left="0" w:right="0" w:hanging="0"/>
        <w:jc w:val="both"/>
        <w:rPr>
          <w:rFonts w:ascii="Times New Roman" w:hAnsi="Times New Roman"/>
          <w:sz w:val="20"/>
        </w:rPr>
      </w:pPr>
      <w:r>
        <w:rPr>
          <w:rFonts w:ascii="Times New Roman;serif" w:hAnsi="Times New Roman;serif"/>
          <w:b w:val="false"/>
          <w:sz w:val="20"/>
        </w:rPr>
        <w:t>Pursuant to the requirement set forth in Rule 13a-14(b) of the Securities Exchange Act of 1934, as amended, (the “Exchange Act”) and Section 1350 of Chapter 63 of Title 18 of the United States Code (18 U.S.C. §1350),</w:t>
      </w:r>
      <w:r>
        <w:rPr>
          <w:rFonts w:ascii="Times New Roman" w:hAnsi="Times New Roman"/>
          <w:sz w:val="20"/>
        </w:rPr>
        <w:t xml:space="preserve"> </w:t>
      </w:r>
      <w:r>
        <w:rPr>
          <w:rFonts w:ascii="Times New Roman;serif" w:hAnsi="Times New Roman;serif"/>
          <w:b w:val="false"/>
          <w:sz w:val="20"/>
        </w:rPr>
        <w:t>Talat Imran, Chief Executive Officer of Rani Therapeutics Holdings, Inc. (the “Company”), and Svai Sanford, Chief Financial Officer of the Company, each hereby certifies that, to the best of his knowledge:</w:t>
      </w:r>
    </w:p>
    <w:p>
      <w:pPr>
        <w:pStyle w:val="TextBody"/>
        <w:bidi w:val="0"/>
        <w:spacing w:before="0" w:after="240"/>
        <w:ind w:left="0" w:right="0" w:hanging="0"/>
        <w:jc w:val="both"/>
        <w:rPr>
          <w:rFonts w:ascii="Calibri" w:hAnsi="Calibri"/>
          <w:b/>
          <w:sz w:val="20"/>
        </w:rPr>
      </w:pPr>
      <w:r>
        <w:rPr>
          <w:rFonts w:ascii="Calibri" w:hAnsi="Calibri"/>
          <w:b/>
          <w:sz w:val="20"/>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Company’s Quarterly Report on Form 10-Q for the period ended June 30, 2023, to which this Certification is attached as Exhibit 32.1 (the “Periodic Report”), fully complies with the requirements of Section 13(a) or Section 15(d) of the Exchange Act; and</w:t>
      </w:r>
    </w:p>
    <w:p>
      <w:pPr>
        <w:pStyle w:val="TextBody"/>
        <w:bidi w:val="0"/>
        <w:spacing w:before="0" w:after="240"/>
        <w:ind w:left="0" w:right="0" w:hanging="0"/>
        <w:jc w:val="both"/>
        <w:rPr>
          <w:rFonts w:ascii="Calibri" w:hAnsi="Calibri"/>
          <w:b/>
          <w:sz w:val="20"/>
        </w:rPr>
      </w:pPr>
      <w:r>
        <w:rPr>
          <w:rFonts w:ascii="Calibri" w:hAnsi="Calibri"/>
          <w:b/>
          <w:sz w:val="20"/>
        </w:rPr>
        <w:t>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information contained in the Periodic Report fairly presents, in all material respects, the financial condition and results of operations of the Company.</w:t>
      </w:r>
    </w:p>
    <w:p>
      <w:pPr>
        <w:pStyle w:val="TextBody"/>
        <w:bidi w:val="0"/>
        <w:spacing w:before="0" w:after="240"/>
        <w:ind w:left="0" w:right="0" w:hanging="0"/>
        <w:jc w:val="both"/>
        <w:rPr>
          <w:rFonts w:ascii="Times New Roman;serif" w:hAnsi="Times New Roman;serif"/>
          <w:b w:val="false"/>
          <w:sz w:val="20"/>
        </w:rPr>
      </w:pPr>
      <w:r>
        <w:rPr>
          <w:rFonts w:ascii="Times New Roman;serif" w:hAnsi="Times New Roman;serif"/>
          <w:b w:val="false"/>
          <w:sz w:val="20"/>
        </w:rPr>
        <w:t>Dated: August 11, 2023</w:t>
      </w:r>
    </w:p>
    <w:p>
      <w:pPr>
        <w:pStyle w:val="TextBody"/>
        <w:bidi w:val="0"/>
        <w:spacing w:before="0" w:after="0"/>
        <w:ind w:left="0" w:right="0" w:hanging="0"/>
        <w:jc w:val="both"/>
        <w:rPr>
          <w:rFonts w:ascii="Times New Roman" w:hAnsi="Times New Roman"/>
          <w:sz w:val="20"/>
        </w:rPr>
      </w:pPr>
      <w:r>
        <w:rPr>
          <w:rFonts w:ascii="Times New Roman;serif" w:hAnsi="Times New Roman;serif"/>
          <w:b/>
          <w:smallCaps/>
          <w:sz w:val="20"/>
        </w:rPr>
        <w:t>In Witness Whereof</w:t>
      </w:r>
      <w:r>
        <w:rPr>
          <w:rFonts w:ascii="Times New Roman;serif" w:hAnsi="Times New Roman;serif"/>
          <w:b w:val="false"/>
          <w:sz w:val="20"/>
        </w:rPr>
        <w:t>, the undersigned have set their hands hereto as of the 11th day of August, 2023.</w:t>
      </w:r>
    </w:p>
    <w:p>
      <w:pPr>
        <w:pStyle w:val="TextBody"/>
        <w:bidi w:val="0"/>
        <w:spacing w:before="0" w:after="0"/>
        <w:ind w:left="0" w:right="0" w:hanging="0"/>
        <w:jc w:val="both"/>
        <w:rPr/>
      </w:pPr>
      <w:r>
        <w:rPr/>
        <w:t> </w:t>
      </w:r>
    </w:p>
    <w:tbl>
      <w:tblPr>
        <w:tblW w:w="6493" w:type="dxa"/>
        <w:jc w:val="left"/>
        <w:tblInd w:w="0" w:type="dxa"/>
        <w:tblLayout w:type="fixed"/>
        <w:tblCellMar>
          <w:top w:w="28" w:type="dxa"/>
          <w:left w:w="28" w:type="dxa"/>
          <w:bottom w:w="28" w:type="dxa"/>
          <w:right w:w="28" w:type="dxa"/>
        </w:tblCellMar>
      </w:tblPr>
      <w:tblGrid>
        <w:gridCol w:w="2476"/>
        <w:gridCol w:w="146"/>
        <w:gridCol w:w="387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Svai Sanford</w:t>
            </w:r>
          </w:p>
        </w:tc>
      </w:tr>
      <w:tr>
        <w:trPr/>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Talat Imran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Svai Sanford</w:t>
            </w:r>
          </w:p>
        </w:tc>
      </w:tr>
      <w:tr>
        <w:trPr/>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ind w:left="0" w:right="0" w:hanging="0"/>
        <w:jc w:val="both"/>
        <w:rPr/>
      </w:pPr>
      <w:r>
        <w:rPr/>
        <w:t> </w:t>
      </w:r>
    </w:p>
    <w:p>
      <w:pPr>
        <w:pStyle w:val="TextBody"/>
        <w:bidi w:val="0"/>
        <w:spacing w:before="0" w:after="240"/>
        <w:ind w:left="0" w:right="0" w:hanging="0"/>
        <w:jc w:val="left"/>
        <w:rPr>
          <w:rFonts w:ascii="Times New Roman;serif" w:hAnsi="Times New Roman;serif"/>
          <w:b w:val="false"/>
          <w:sz w:val="20"/>
        </w:rPr>
      </w:pPr>
      <w:r>
        <w:rPr>
          <w:rFonts w:ascii="Times New Roman;serif" w:hAnsi="Times New Roman;serif"/>
          <w:b w:val="false"/>
          <w:sz w:val="20"/>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725/000119312521223596/d151628dex31.htm" TargetMode="External"/><Relationship Id="rId3" Type="http://schemas.openxmlformats.org/officeDocument/2006/relationships/hyperlink" Target="https://www.sec.gov/Archives/edgar/data/1856725/000119312521211922/d151628dex34.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43091</Words>
  <Characters>235279</Characters>
  <CharactersWithSpaces>278756</CharactersWithSpaces>
  <Paragraphs>5666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