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12/02/2022</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0"/>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Borders>
              <w:top w:val="single" w:sz="8" w:color="2C2C2C"/>
            </w:tcBorders>
          </w:tcPr>
          <w:p>
            <w:pPr>
              <w:spacing w:after="0"/>
              <w:rPr>
                <w:sz w:val="18"/>
                <w:szCs w:val="18"/>
                <w:color w:val="auto"/>
              </w:rPr>
            </w:pPr>
          </w:p>
        </w:tc>
        <w:tc>
          <w:tcPr>
            <w:tcW w:w="322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gridSpan w:val="2"/>
          </w:tcPr>
          <w:p>
            <w:pPr>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90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gridSpan w:val="2"/>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20" w:type="dxa"/>
            <w:vAlign w:val="bottom"/>
          </w:tcPr>
          <w:p>
            <w:pPr>
              <w:spacing w:after="0"/>
              <w:rPr>
                <w:sz w:val="15"/>
                <w:szCs w:val="15"/>
                <w:color w:val="auto"/>
              </w:rPr>
            </w:pPr>
          </w:p>
        </w:tc>
        <w:tc>
          <w:tcPr>
            <w:tcW w:w="1300" w:type="dxa"/>
            <w:vAlign w:val="bottom"/>
            <w:gridSpan w:val="6"/>
          </w:tcPr>
          <w:p>
            <w:pPr>
              <w:ind w:left="18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300" w:type="dxa"/>
            <w:vAlign w:val="bottom"/>
            <w:gridSpan w:val="6"/>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180" w:type="dxa"/>
            <w:vAlign w:val="bottom"/>
            <w:gridSpan w:val="8"/>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6"/>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12/02/2022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jc w:val="right"/>
              <w:ind w:right="171"/>
              <w:spacing w:after="0"/>
              <w:rPr>
                <w:sz w:val="20"/>
                <w:szCs w:val="20"/>
                <w:color w:val="auto"/>
              </w:rPr>
            </w:pPr>
            <w:r>
              <w:rPr>
                <w:rFonts w:ascii="Times New Roman" w:cs="Times New Roman" w:eastAsia="Times New Roman" w:hAnsi="Times New Roman"/>
                <w:sz w:val="17"/>
                <w:szCs w:val="17"/>
                <w:color w:val="0000FF"/>
              </w:rPr>
              <w:t>9,819</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8.1613</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6,584,293</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12/05/2022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12,195</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7.9685</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6,596,488</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4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8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jc w:val="right"/>
              <w:spacing w:after="0" w:line="133"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2"/>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South Lake One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SANTIAGO</w:t>
            </w:r>
          </w:p>
        </w:tc>
        <w:tc>
          <w:tcPr>
            <w:tcW w:w="13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F3</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7550000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-1185545</wp:posOffset>
            </wp:positionV>
            <wp:extent cx="2809240" cy="1264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2649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$7.99 to $8.20 per share, inclusive. The reporting persons undertake to provide Rani Therapeutics Holdings, Inc., a Delaware corporation (the "Issuer"), any security holder of the Issuer, or the staff of the Securities and Exchange Commission, upon request, full information regarding the number of shares sold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right="1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$7.74 to $8.00 per share, inclusive. The reporting persons undertake to provide the Issuer, any security holder of the Issuer, or the staff of the Securities and Exchange Commission, upon request, full information regarding the number of shares sold at each separate price within the range set forth in this footnote (2)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880"/>
          </w:cols>
          <w:pgMar w:left="500" w:top="125" w:right="5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140"/>
          </w:cols>
          <w:pgMar w:left="500" w:top="125" w:right="5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5"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2022-12-06T10:36:52Z</dcterms:created>
  <dcterms:modified xsi:type="dcterms:W3CDTF">2022-12-06T10:36:52Z</dcterms:modified>
</cp:coreProperties>
</file>