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9,882,477.00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9,882,477.00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9,882,477.00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753018100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9,882,477.00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9,882,477.00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2051 RINGWOOD AVENUE, SAN JOSE, CA, 95131.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753018100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120"/>
          </w:cols>
          <w:pgMar w:left="360" w:top="126" w:right="41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securities of the Issuer beneficially owned by such Reporting Person and is incorporated by reference. The Fund directly holds (i) 8,500,000 shares of Class A common stock; (ii) pre-funded warrants (the "Pre-Funded Warrants") exercisable for up to 16,500,000 shares of Class A common stock; and (iii) warrants (the "Common Warrants" and, together with the Pre-Funded Warrants, the "Warrants") exercisable for up to 25,000,000 shares of Class A common stock. Each of the Pre-Funded Warrants and the Common Warrants contains a provision (the "Beneficial Ownership Blockers") which precludes exercise of the Warrants to the extent that, following exercise, the Fund, together with its affiliates and other attribution parties, would own more than 9.99% of the Class A common stock outstanding. Additionally, the Common Warrants are not exercisable until the effective date of the approval by the Issuer's stockholders of such exercisability, in accordance with the rules of the Nasdaq Stock Market. The Fund is currently prohibited from exercising the Warrants to the extent that such exercise would result in the Reporting Persons' beneficial ownership of</w:t>
      </w:r>
    </w:p>
    <w:p>
      <w:pPr>
        <w:spacing w:after="0" w:line="8" w:lineRule="exact"/>
        <w:rPr>
          <w:sz w:val="20"/>
          <w:szCs w:val="20"/>
          <w:color w:val="auto"/>
        </w:rPr>
      </w:pPr>
    </w:p>
    <w:p>
      <w:pPr>
        <w:ind w:left="920" w:right="20" w:hanging="912"/>
        <w:spacing w:after="0" w:line="231"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9,882,477 shares of Class A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Class A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to the Beneficial Ownership Blockers listed in the Warrants, each Reporting Person's beneficial ownership</w:t>
      </w:r>
    </w:p>
    <w:p>
      <w:pPr>
        <w:spacing w:after="0" w:line="14" w:lineRule="exact"/>
        <w:rPr>
          <w:rFonts w:ascii="Times New Roman" w:cs="Times New Roman" w:eastAsia="Times New Roman" w:hAnsi="Times New Roman"/>
          <w:sz w:val="22"/>
          <w:szCs w:val="22"/>
          <w:color w:val="auto"/>
        </w:rPr>
      </w:pPr>
    </w:p>
    <w:p>
      <w:pPr>
        <w:ind w:left="920" w:right="4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percentage is 9.99%. Such percentage is based upon the sum of (i) 97,541,221 shares of Class A common stock outstanding as of October 23, 2025, as reported in the Issuer's Current Report on Form 8-K filed with the Securities and Exchange Commission (the "SEC") on October 27, 2025 and (ii) 1,382,477 shares of Class A common stock issuable upon the exercise of Warrants. Due to field limitations of the EDGAR filing system, the percentages listed in Row 11 of the Reporting Persons' cover pages have been rounded down to 9.9%.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20"/>
          </w:cols>
          <w:pgMar w:left="360" w:top="166" w:right="41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788"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355" w:right="399" w:bottom="788"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October 30, 2025,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Class A common stock, $0.0001 par value per share of Rani Therapeutics Holdings,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2025-10-30T15:51:12Z</dcterms:created>
  <dcterms:modified xsi:type="dcterms:W3CDTF">2025-10-30T15:51:12Z</dcterms:modified>
</cp:coreProperties>
</file>