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421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421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InCube Labs, L.L.C.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980" w:type="dxa"/>
            <w:vAlign w:val="bottom"/>
            <w:tcBorders>
              <w:top w:val="single" w:sz="8" w:color="0000EE"/>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Rani Therapeutics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RANI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80"/>
              <w:spacing w:after="0"/>
              <w:rPr>
                <w:sz w:val="20"/>
                <w:szCs w:val="20"/>
                <w:color w:val="auto"/>
              </w:rPr>
            </w:pPr>
            <w:r>
              <w:rPr>
                <w:rFonts w:ascii="Arial" w:cs="Arial" w:eastAsia="Arial" w:hAnsi="Arial"/>
                <w:sz w:val="15"/>
                <w:szCs w:val="15"/>
                <w:color w:val="auto"/>
              </w:rPr>
              <w:t>(First)</w:t>
            </w:r>
          </w:p>
        </w:tc>
        <w:tc>
          <w:tcPr>
            <w:tcW w:w="1040" w:type="dxa"/>
            <w:vAlign w:val="bottom"/>
          </w:tcPr>
          <w:p>
            <w:pPr>
              <w:ind w:left="40"/>
              <w:spacing w:after="0"/>
              <w:rPr>
                <w:sz w:val="20"/>
                <w:szCs w:val="20"/>
                <w:color w:val="auto"/>
              </w:rPr>
            </w:pPr>
            <w:r>
              <w:rPr>
                <w:rFonts w:ascii="Arial" w:cs="Arial" w:eastAsia="Arial" w:hAnsi="Arial"/>
                <w:sz w:val="15"/>
                <w:szCs w:val="15"/>
                <w:color w:val="auto"/>
              </w:rPr>
              <w:t>(Middle)</w:t>
            </w:r>
          </w:p>
        </w:tc>
      </w:tr>
      <w:tr>
        <w:trPr>
          <w:trHeight w:val="314"/>
        </w:trPr>
        <w:tc>
          <w:tcPr>
            <w:tcW w:w="2060" w:type="dxa"/>
            <w:vAlign w:val="bottom"/>
            <w:gridSpan w:val="2"/>
          </w:tcPr>
          <w:p>
            <w:pPr>
              <w:ind w:left="40"/>
              <w:spacing w:after="0"/>
              <w:rPr>
                <w:sz w:val="20"/>
                <w:szCs w:val="20"/>
                <w:color w:val="auto"/>
              </w:rPr>
            </w:pPr>
            <w:r>
              <w:rPr>
                <w:rFonts w:ascii="Arial" w:cs="Arial" w:eastAsia="Arial" w:hAnsi="Arial"/>
                <w:sz w:val="20"/>
                <w:szCs w:val="20"/>
                <w:color w:val="0000FF"/>
                <w:w w:val="92"/>
              </w:rPr>
              <w:t>2051 RINGWOOD AVE.</w:t>
            </w:r>
          </w:p>
        </w:tc>
        <w:tc>
          <w:tcPr>
            <w:tcW w:w="1040" w:type="dxa"/>
            <w:vAlign w:val="bottom"/>
          </w:tcPr>
          <w:p>
            <w:pPr>
              <w:spacing w:after="0"/>
              <w:rPr>
                <w:sz w:val="24"/>
                <w:szCs w:val="24"/>
                <w:color w:val="auto"/>
              </w:rPr>
            </w:pPr>
          </w:p>
        </w:tc>
      </w:tr>
      <w:tr>
        <w:trPr>
          <w:trHeight w:val="237"/>
        </w:trPr>
        <w:tc>
          <w:tcPr>
            <w:tcW w:w="98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r>
      <w:tr>
        <w:trPr>
          <w:trHeight w:val="299"/>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9"/>
        </w:trPr>
        <w:tc>
          <w:tcPr>
            <w:tcW w:w="980" w:type="dxa"/>
            <w:vAlign w:val="bottom"/>
          </w:tcPr>
          <w:p>
            <w:pPr>
              <w:ind w:left="40"/>
              <w:spacing w:after="0"/>
              <w:rPr>
                <w:sz w:val="20"/>
                <w:szCs w:val="20"/>
                <w:color w:val="auto"/>
              </w:rPr>
            </w:pPr>
            <w:r>
              <w:rPr>
                <w:rFonts w:ascii="Arial" w:cs="Arial" w:eastAsia="Arial" w:hAnsi="Arial"/>
                <w:sz w:val="20"/>
                <w:szCs w:val="20"/>
                <w:color w:val="0000FF"/>
                <w:w w:val="92"/>
              </w:rPr>
              <w:t>SAN JOSE</w:t>
            </w:r>
          </w:p>
        </w:tc>
        <w:tc>
          <w:tcPr>
            <w:tcW w:w="1080" w:type="dxa"/>
            <w:vAlign w:val="bottom"/>
          </w:tcPr>
          <w:p>
            <w:pPr>
              <w:ind w:left="80"/>
              <w:spacing w:after="0"/>
              <w:rPr>
                <w:sz w:val="20"/>
                <w:szCs w:val="20"/>
                <w:color w:val="auto"/>
              </w:rPr>
            </w:pPr>
            <w:r>
              <w:rPr>
                <w:rFonts w:ascii="Arial" w:cs="Arial" w:eastAsia="Arial" w:hAnsi="Arial"/>
                <w:sz w:val="20"/>
                <w:szCs w:val="20"/>
                <w:color w:val="0000FF"/>
              </w:rPr>
              <w:t>CA</w:t>
            </w:r>
          </w:p>
        </w:tc>
        <w:tc>
          <w:tcPr>
            <w:tcW w:w="1040" w:type="dxa"/>
            <w:vAlign w:val="bottom"/>
          </w:tcPr>
          <w:p>
            <w:pPr>
              <w:ind w:left="40"/>
              <w:spacing w:after="0"/>
              <w:rPr>
                <w:sz w:val="20"/>
                <w:szCs w:val="20"/>
                <w:color w:val="auto"/>
              </w:rPr>
            </w:pPr>
            <w:r>
              <w:rPr>
                <w:rFonts w:ascii="Arial" w:cs="Arial" w:eastAsia="Arial" w:hAnsi="Arial"/>
                <w:sz w:val="20"/>
                <w:szCs w:val="20"/>
                <w:color w:val="0000FF"/>
              </w:rPr>
              <w:t>95131</w:t>
            </w:r>
          </w:p>
        </w:tc>
      </w:tr>
      <w:tr>
        <w:trPr>
          <w:trHeight w:val="177"/>
        </w:trPr>
        <w:tc>
          <w:tcPr>
            <w:tcW w:w="9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r>
      <w:tr>
        <w:trPr>
          <w:trHeight w:val="344"/>
        </w:trPr>
        <w:tc>
          <w:tcPr>
            <w:tcW w:w="980" w:type="dxa"/>
            <w:vAlign w:val="bottom"/>
          </w:tcPr>
          <w:p>
            <w:pPr>
              <w:ind w:left="40"/>
              <w:spacing w:after="0"/>
              <w:rPr>
                <w:sz w:val="20"/>
                <w:szCs w:val="20"/>
                <w:color w:val="auto"/>
              </w:rPr>
            </w:pPr>
            <w:r>
              <w:rPr>
                <w:rFonts w:ascii="Arial" w:cs="Arial" w:eastAsia="Arial" w:hAnsi="Arial"/>
                <w:sz w:val="15"/>
                <w:szCs w:val="15"/>
                <w:color w:val="auto"/>
              </w:rPr>
              <w:t>(City)</w:t>
            </w:r>
          </w:p>
        </w:tc>
        <w:tc>
          <w:tcPr>
            <w:tcW w:w="1080" w:type="dxa"/>
            <w:vAlign w:val="bottom"/>
          </w:tcPr>
          <w:p>
            <w:pPr>
              <w:ind w:left="80"/>
              <w:spacing w:after="0"/>
              <w:rPr>
                <w:sz w:val="20"/>
                <w:szCs w:val="20"/>
                <w:color w:val="auto"/>
              </w:rPr>
            </w:pPr>
            <w:r>
              <w:rPr>
                <w:rFonts w:ascii="Arial" w:cs="Arial" w:eastAsia="Arial" w:hAnsi="Arial"/>
                <w:sz w:val="15"/>
                <w:szCs w:val="15"/>
                <w:color w:val="auto"/>
              </w:rPr>
              <w:t>(State)</w:t>
            </w:r>
          </w:p>
        </w:tc>
        <w:tc>
          <w:tcPr>
            <w:tcW w:w="1040" w:type="dxa"/>
            <w:vAlign w:val="bottom"/>
          </w:tcPr>
          <w:p>
            <w:pPr>
              <w:ind w:left="4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ind w:left="120"/>
              <w:spacing w:after="0"/>
              <w:rPr>
                <w:sz w:val="20"/>
                <w:szCs w:val="20"/>
                <w:color w:val="auto"/>
              </w:rPr>
            </w:pPr>
            <w:r>
              <w:rPr>
                <w:rFonts w:ascii="Arial" w:cs="Arial" w:eastAsia="Arial" w:hAnsi="Arial"/>
                <w:sz w:val="15"/>
                <w:szCs w:val="15"/>
                <w:b w:val="1"/>
                <w:bCs w:val="1"/>
                <w:color w:val="auto"/>
              </w:rPr>
              <w:t>2. Amount of Securities</w:t>
            </w:r>
          </w:p>
        </w:tc>
        <w:tc>
          <w:tcPr>
            <w:tcW w:w="1560" w:type="dxa"/>
            <w:vAlign w:val="bottom"/>
            <w:gridSpan w:val="2"/>
          </w:tcPr>
          <w:p>
            <w:pPr>
              <w:ind w:left="3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380" w:type="dxa"/>
            <w:vAlign w:val="bottom"/>
            <w:gridSpan w:val="3"/>
          </w:tcPr>
          <w:p>
            <w:pPr>
              <w:ind w:left="12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140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w w:val="97"/>
              </w:rPr>
              <w:t>Ownership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4)</w:t>
            </w:r>
          </w:p>
        </w:tc>
        <w:tc>
          <w:tcPr>
            <w:tcW w:w="156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(D) or Indirect</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60" w:type="dxa"/>
            <w:vAlign w:val="bottom"/>
            <w:gridSpan w:val="2"/>
          </w:tcPr>
          <w:p>
            <w:pPr>
              <w:ind w:left="380"/>
              <w:spacing w:after="0"/>
              <w:rPr>
                <w:sz w:val="20"/>
                <w:szCs w:val="20"/>
                <w:color w:val="auto"/>
              </w:rPr>
            </w:pPr>
            <w:r>
              <w:rPr>
                <w:rFonts w:ascii="Arial" w:cs="Arial" w:eastAsia="Arial" w:hAnsi="Arial"/>
                <w:sz w:val="15"/>
                <w:szCs w:val="15"/>
                <w:b w:val="1"/>
                <w:bCs w:val="1"/>
                <w:color w:val="auto"/>
              </w:rPr>
              <w:t>(I) (Instr. 5)</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Class B Common Stock</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tcPr>
          <w:p>
            <w:pPr>
              <w:ind w:left="640"/>
              <w:spacing w:after="0"/>
              <w:rPr>
                <w:sz w:val="20"/>
                <w:szCs w:val="20"/>
                <w:color w:val="auto"/>
              </w:rPr>
            </w:pPr>
            <w:r>
              <w:rPr>
                <w:rFonts w:ascii="Arial" w:cs="Arial" w:eastAsia="Arial" w:hAnsi="Arial"/>
                <w:sz w:val="20"/>
                <w:szCs w:val="20"/>
                <w:color w:val="0000FF"/>
              </w:rPr>
              <w:t>30,295,093</w:t>
            </w:r>
          </w:p>
        </w:tc>
        <w:tc>
          <w:tcPr>
            <w:tcW w:w="980" w:type="dxa"/>
            <w:vAlign w:val="bottom"/>
          </w:tcPr>
          <w:p>
            <w:pPr>
              <w:ind w:left="820"/>
              <w:spacing w:after="0"/>
              <w:rPr>
                <w:sz w:val="20"/>
                <w:szCs w:val="20"/>
                <w:color w:val="auto"/>
              </w:rPr>
            </w:pPr>
            <w:r>
              <w:rPr>
                <w:rFonts w:ascii="Arial" w:cs="Arial" w:eastAsia="Arial" w:hAnsi="Arial"/>
                <w:sz w:val="20"/>
                <w:szCs w:val="20"/>
                <w:color w:val="0000FF"/>
                <w:w w:val="96"/>
              </w:rPr>
              <w:t>D</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60" w:type="dxa"/>
            <w:vAlign w:val="bottom"/>
            <w:tcBorders>
              <w:bottom w:val="single" w:sz="8" w:color="2C2C2C"/>
            </w:tcBorders>
            <w:gridSpan w:val="5"/>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260" w:type="dxa"/>
            <w:vAlign w:val="bottom"/>
            <w:tcBorders>
              <w:top w:val="single" w:sz="8" w:color="2C2C2C"/>
            </w:tcBorders>
            <w:gridSpan w:val="5"/>
          </w:tcPr>
          <w:p>
            <w:pPr>
              <w:ind w:left="2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4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8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2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0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80" w:type="dxa"/>
            <w:vAlign w:val="bottom"/>
            <w:gridSpan w:val="2"/>
          </w:tcPr>
          <w:p>
            <w:pPr>
              <w:ind w:left="2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98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Amount or</w:t>
            </w:r>
          </w:p>
        </w:tc>
        <w:tc>
          <w:tcPr>
            <w:tcW w:w="980" w:type="dxa"/>
            <w:vAlign w:val="bottom"/>
            <w:gridSpan w:val="2"/>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98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w w:val="91"/>
              </w:rPr>
              <w:t>Class A Common LLC Units</w:t>
            </w:r>
            <w:r>
              <w:rPr>
                <w:rFonts w:ascii="Arial" w:cs="Arial" w:eastAsia="Arial" w:hAnsi="Arial"/>
                <w:sz w:val="25"/>
                <w:szCs w:val="25"/>
                <w:color w:val="008000"/>
                <w:w w:val="91"/>
                <w:vertAlign w:val="superscript"/>
              </w:rPr>
              <w:t>(1)(2)</w:t>
            </w:r>
          </w:p>
        </w:tc>
        <w:tc>
          <w:tcPr>
            <w:tcW w:w="110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(1)</w:t>
            </w:r>
          </w:p>
        </w:tc>
        <w:tc>
          <w:tcPr>
            <w:tcW w:w="900" w:type="dxa"/>
            <w:vAlign w:val="bottom"/>
            <w:vMerge w:val="restart"/>
          </w:tcPr>
          <w:p>
            <w:pPr>
              <w:jc w:val="right"/>
              <w:ind w:right="309"/>
              <w:spacing w:after="0"/>
              <w:rPr>
                <w:sz w:val="20"/>
                <w:szCs w:val="20"/>
                <w:color w:val="auto"/>
              </w:rPr>
            </w:pPr>
            <w:r>
              <w:rPr>
                <w:rFonts w:ascii="Arial" w:cs="Arial" w:eastAsia="Arial" w:hAnsi="Arial"/>
                <w:sz w:val="13"/>
                <w:szCs w:val="13"/>
                <w:color w:val="008000"/>
              </w:rPr>
              <w:t>(1)</w:t>
            </w:r>
          </w:p>
        </w:tc>
        <w:tc>
          <w:tcPr>
            <w:tcW w:w="1820" w:type="dxa"/>
            <w:vAlign w:val="bottom"/>
          </w:tcPr>
          <w:p>
            <w:pPr>
              <w:ind w:left="180"/>
              <w:spacing w:after="0"/>
              <w:rPr>
                <w:sz w:val="20"/>
                <w:szCs w:val="20"/>
                <w:color w:val="auto"/>
              </w:rPr>
            </w:pPr>
            <w:r>
              <w:rPr>
                <w:rFonts w:ascii="Arial" w:cs="Arial" w:eastAsia="Arial" w:hAnsi="Arial"/>
                <w:sz w:val="20"/>
                <w:szCs w:val="20"/>
                <w:color w:val="0000FF"/>
              </w:rPr>
              <w:t>Class A Common</w:t>
            </w:r>
          </w:p>
        </w:tc>
        <w:tc>
          <w:tcPr>
            <w:tcW w:w="980" w:type="dxa"/>
            <w:vAlign w:val="bottom"/>
            <w:vMerge w:val="restart"/>
          </w:tcPr>
          <w:p>
            <w:pPr>
              <w:ind w:left="20"/>
              <w:spacing w:after="0"/>
              <w:rPr>
                <w:sz w:val="20"/>
                <w:szCs w:val="20"/>
                <w:color w:val="auto"/>
              </w:rPr>
            </w:pPr>
            <w:r>
              <w:rPr>
                <w:rFonts w:ascii="Arial" w:cs="Arial" w:eastAsia="Arial" w:hAnsi="Arial"/>
                <w:sz w:val="20"/>
                <w:szCs w:val="20"/>
                <w:color w:val="0000FF"/>
                <w:w w:val="93"/>
              </w:rPr>
              <w:t>30,295,093</w:t>
            </w:r>
          </w:p>
        </w:tc>
        <w:tc>
          <w:tcPr>
            <w:tcW w:w="580" w:type="dxa"/>
            <w:vAlign w:val="bottom"/>
            <w:vMerge w:val="restart"/>
          </w:tcPr>
          <w:p>
            <w:pPr>
              <w:ind w:left="420"/>
              <w:spacing w:after="0"/>
              <w:rPr>
                <w:sz w:val="20"/>
                <w:szCs w:val="20"/>
                <w:color w:val="auto"/>
              </w:rPr>
            </w:pPr>
            <w:r>
              <w:rPr>
                <w:rFonts w:ascii="Arial" w:cs="Arial" w:eastAsia="Arial" w:hAnsi="Arial"/>
                <w:sz w:val="13"/>
                <w:szCs w:val="13"/>
                <w:color w:val="008000"/>
                <w:w w:val="87"/>
              </w:rPr>
              <w:t>(1)</w:t>
            </w:r>
          </w:p>
        </w:tc>
        <w:tc>
          <w:tcPr>
            <w:tcW w:w="400" w:type="dxa"/>
            <w:vAlign w:val="bottom"/>
          </w:tcPr>
          <w:p>
            <w:pPr>
              <w:spacing w:after="0"/>
              <w:rPr>
                <w:sz w:val="24"/>
                <w:szCs w:val="24"/>
                <w:color w:val="auto"/>
              </w:rPr>
            </w:pPr>
          </w:p>
        </w:tc>
        <w:tc>
          <w:tcPr>
            <w:tcW w:w="100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820" w:type="dxa"/>
            <w:vAlign w:val="bottom"/>
            <w:vMerge w:val="restart"/>
          </w:tcPr>
          <w:p>
            <w:pPr>
              <w:ind w:left="580"/>
              <w:spacing w:after="0"/>
              <w:rPr>
                <w:sz w:val="20"/>
                <w:szCs w:val="20"/>
                <w:color w:val="auto"/>
              </w:rPr>
            </w:pPr>
            <w:r>
              <w:rPr>
                <w:rFonts w:ascii="Arial" w:cs="Arial" w:eastAsia="Arial" w:hAnsi="Arial"/>
                <w:sz w:val="20"/>
                <w:szCs w:val="20"/>
                <w:color w:val="0000FF"/>
              </w:rPr>
              <w:t>Stock</w:t>
            </w:r>
            <w:r>
              <w:rPr>
                <w:rFonts w:ascii="Arial" w:cs="Arial" w:eastAsia="Arial" w:hAnsi="Arial"/>
                <w:sz w:val="25"/>
                <w:szCs w:val="25"/>
                <w:color w:val="008000"/>
                <w:vertAlign w:val="superscript"/>
              </w:rPr>
              <w:t>(2)</w:t>
            </w:r>
          </w:p>
        </w:tc>
        <w:tc>
          <w:tcPr>
            <w:tcW w:w="98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60" w:firstLine="5"/>
        <w:spacing w:after="0" w:line="286" w:lineRule="auto"/>
        <w:tabs>
          <w:tab w:leader="none" w:pos="19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Represents Common LLC Units of Rani Therapeutics, LLC, a direct subsidiary of the Issuer. The Common LLC Units are redeemable at the election of the Reporting Person at any time for newly-issued Class A Common Stock of the Issuer ("Class A Shares") on a one-for-one basis or, if mutually agreed with the Issuer, a cash payment equal to the volume weighted average market price of one Class A Share for each Common LLC Unit redeemed (subject to customary adjustments, including for stock splits, stock dividends and reclassifications). However, the Issuer may elect to effect a direct exchange of such Class A Shares (or such cash, if mutually agreed) for such Common LLC Units.</w:t>
      </w:r>
    </w:p>
    <w:p>
      <w:pPr>
        <w:spacing w:after="0" w:line="7" w:lineRule="exact"/>
        <w:rPr>
          <w:rFonts w:ascii="Arial" w:cs="Arial" w:eastAsia="Arial" w:hAnsi="Arial"/>
          <w:sz w:val="13"/>
          <w:szCs w:val="13"/>
          <w:color w:val="008000"/>
        </w:rPr>
      </w:pPr>
    </w:p>
    <w:p>
      <w:pPr>
        <w:ind w:left="40" w:right="80" w:firstLine="5"/>
        <w:spacing w:after="0" w:line="283"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Upon the redemption or exchange by the Reporting Person of any Class A Common LLC Units, a number of Class B Common Stock of the Issuer ("Class B Shares") held by the Reporting Person equal to the number of Common LLC Units that are redeemed or exchanged will be automatically cancelled by the Issuer for no consideration.</w:t>
      </w:r>
    </w:p>
    <w:p>
      <w:pPr>
        <w:spacing w:after="0" w:line="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84"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Josh Seidenfeld,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96012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960120" cy="9525"/>
                    </a:xfrm>
                    <a:prstGeom prst="rect">
                      <a:avLst/>
                    </a:prstGeom>
                    <a:noFill/>
                  </pic:spPr>
                </pic:pic>
              </a:graphicData>
            </a:graphic>
          </wp:anchor>
        </w:drawing>
      </w:r>
    </w:p>
    <w:p>
      <w:pPr>
        <w:ind w:left="6580"/>
        <w:spacing w:after="0" w:line="213" w:lineRule="auto"/>
        <w:tabs>
          <w:tab w:leader="none" w:pos="8740" w:val="left"/>
        </w:tabs>
        <w:rPr>
          <w:sz w:val="20"/>
          <w:szCs w:val="20"/>
          <w:color w:val="auto"/>
        </w:rPr>
      </w:pPr>
      <w:r>
        <w:rPr>
          <w:rFonts w:ascii="Arial" w:cs="Arial" w:eastAsia="Arial" w:hAnsi="Arial"/>
          <w:sz w:val="20"/>
          <w:szCs w:val="20"/>
          <w:color w:val="0000FF"/>
        </w:rPr>
        <w:t>Attorney-in-Fact for Mir</w:t>
      </w:r>
      <w:r>
        <w:rPr>
          <w:sz w:val="20"/>
          <w:szCs w:val="20"/>
          <w:color w:val="auto"/>
        </w:rPr>
        <w:tab/>
      </w:r>
      <w:r>
        <w:rPr>
          <w:rFonts w:ascii="Arial" w:cs="Arial" w:eastAsia="Arial" w:hAnsi="Arial"/>
          <w:sz w:val="26"/>
          <w:szCs w:val="26"/>
          <w:color w:val="0000FF"/>
          <w:vertAlign w:val="subscript"/>
        </w:rPr>
        <w:t>07/29/2021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-31115</wp:posOffset>
            </wp:positionV>
            <wp:extent cx="122491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2491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Imran, President of InCube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-25400</wp:posOffset>
            </wp:positionV>
            <wp:extent cx="134874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8740" cy="9525"/>
                    </a:xfrm>
                    <a:prstGeom prst="rect">
                      <a:avLst/>
                    </a:prstGeom>
                    <a:noFill/>
                  </pic:spPr>
                </pic:pic>
              </a:graphicData>
            </a:graphic>
          </wp:anchor>
        </w:drawing>
        <w:drawing>
          <wp:anchor simplePos="0" relativeHeight="251657728" behindDoc="1" locked="0" layoutInCell="0" allowOverlap="1">
            <wp:simplePos x="0" y="0"/>
            <wp:positionH relativeFrom="column">
              <wp:posOffset>5565140</wp:posOffset>
            </wp:positionH>
            <wp:positionV relativeFrom="paragraph">
              <wp:posOffset>-101600</wp:posOffset>
            </wp:positionV>
            <wp:extent cx="56451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Labs,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53657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36575"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 FOR</w:t>
      </w:r>
    </w:p>
    <w:p>
      <w:pPr>
        <w:spacing w:after="0" w:line="238" w:lineRule="auto"/>
        <w:rPr>
          <w:sz w:val="20"/>
          <w:szCs w:val="20"/>
          <w:color w:val="auto"/>
        </w:rPr>
      </w:pPr>
      <w:r>
        <w:rPr>
          <w:rFonts w:ascii="Courier New" w:cs="Courier New" w:eastAsia="Courier New" w:hAnsi="Courier New"/>
          <w:sz w:val="20"/>
          <w:szCs w:val="20"/>
          <w:color w:val="auto"/>
        </w:rPr>
        <w:t>SECTION 16 REPORTING OBLIGATIONS</w:t>
      </w:r>
    </w:p>
    <w:p>
      <w:pPr>
        <w:spacing w:after="0" w:line="200" w:lineRule="exact"/>
        <w:rPr>
          <w:sz w:val="20"/>
          <w:szCs w:val="20"/>
          <w:color w:val="auto"/>
        </w:rPr>
      </w:pPr>
    </w:p>
    <w:p>
      <w:pPr>
        <w:spacing w:after="0" w:line="255" w:lineRule="exact"/>
        <w:rPr>
          <w:sz w:val="20"/>
          <w:szCs w:val="20"/>
          <w:color w:val="auto"/>
        </w:rPr>
      </w:pPr>
    </w:p>
    <w:p>
      <w:pPr>
        <w:ind w:right="940"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Talat Imran and Svai Sanford of Rani Therapeutics Holdings, Inc. and Josh Seidenfeld and Nguyen X. Nguyen of Cooley LLP, or any of them signing singly, with full power of substitution, the undersigned's true and lawful attorney in fact to:</w:t>
      </w:r>
    </w:p>
    <w:p>
      <w:pPr>
        <w:spacing w:after="0" w:line="232" w:lineRule="exact"/>
        <w:rPr>
          <w:sz w:val="20"/>
          <w:szCs w:val="20"/>
          <w:color w:val="auto"/>
        </w:rPr>
      </w:pPr>
    </w:p>
    <w:p>
      <w:pPr>
        <w:ind w:right="460"/>
        <w:spacing w:after="0" w:line="26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or beneficial owner of more than 10% of a registered class of securities of Rani Therapeutics Holdings, Inc. (the "Company"), Forms</w:t>
      </w:r>
    </w:p>
    <w:p>
      <w:pPr>
        <w:spacing w:after="0" w:line="2" w:lineRule="exact"/>
        <w:rPr>
          <w:rFonts w:ascii="Courier New" w:cs="Courier New" w:eastAsia="Courier New" w:hAnsi="Courier New"/>
          <w:sz w:val="18"/>
          <w:szCs w:val="18"/>
          <w:color w:val="auto"/>
        </w:rPr>
      </w:pPr>
    </w:p>
    <w:p>
      <w:pPr>
        <w:ind w:right="940"/>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4 and 5 (including any amendments thereto) in accordance with Section 16(a) of the Securities Exchange Act of 1934, as amended (the "Exchange Act") and the rules thereunder and a Form ID, Uniform Application for Access Codes to File 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EDGAR;</w:t>
      </w:r>
    </w:p>
    <w:p>
      <w:pPr>
        <w:spacing w:after="0" w:line="230" w:lineRule="exact"/>
        <w:rPr>
          <w:rFonts w:ascii="Courier New" w:cs="Courier New" w:eastAsia="Courier New" w:hAnsi="Courier New"/>
          <w:sz w:val="18"/>
          <w:szCs w:val="18"/>
          <w:color w:val="auto"/>
        </w:rPr>
      </w:pPr>
    </w:p>
    <w:p>
      <w:pPr>
        <w:ind w:right="700"/>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231" w:lineRule="exact"/>
        <w:rPr>
          <w:rFonts w:ascii="Courier New" w:cs="Courier New" w:eastAsia="Courier New" w:hAnsi="Courier New"/>
          <w:sz w:val="20"/>
          <w:szCs w:val="20"/>
          <w:color w:val="auto"/>
        </w:rPr>
      </w:pPr>
    </w:p>
    <w:p>
      <w:pPr>
        <w:ind w:right="820"/>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580" w:firstLine="937"/>
        <w:spacing w:after="0" w:line="267"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w:t>
      </w:r>
    </w:p>
    <w:p>
      <w:pPr>
        <w:spacing w:after="0" w:line="209" w:lineRule="exact"/>
        <w:rPr>
          <w:sz w:val="20"/>
          <w:szCs w:val="20"/>
          <w:color w:val="auto"/>
        </w:rPr>
      </w:pPr>
    </w:p>
    <w:p>
      <w:pPr>
        <w:ind w:right="820"/>
        <w:spacing w:after="0" w:line="236" w:lineRule="auto"/>
        <w:rPr>
          <w:sz w:val="20"/>
          <w:szCs w:val="20"/>
          <w:color w:val="auto"/>
        </w:rPr>
      </w:pPr>
      <w:r>
        <w:rPr>
          <w:rFonts w:ascii="Courier New" w:cs="Courier New" w:eastAsia="Courier New" w:hAnsi="Courier New"/>
          <w:sz w:val="20"/>
          <w:szCs w:val="20"/>
          <w:color w:val="auto"/>
        </w:rPr>
        <w:t>nor is the Company assuming, any of the undersigned's responsibilities to comply with Section 16 of the Exchange Act.</w:t>
      </w:r>
    </w:p>
    <w:p>
      <w:pPr>
        <w:spacing w:after="0" w:line="230" w:lineRule="exact"/>
        <w:rPr>
          <w:sz w:val="20"/>
          <w:szCs w:val="20"/>
          <w:color w:val="auto"/>
        </w:rPr>
      </w:pPr>
    </w:p>
    <w:p>
      <w:pPr>
        <w:ind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spacing w:after="0" w:line="2" w:lineRule="exact"/>
        <w:rPr>
          <w:sz w:val="20"/>
          <w:szCs w:val="20"/>
          <w:color w:val="auto"/>
        </w:rPr>
      </w:pPr>
    </w:p>
    <w:p>
      <w:pPr>
        <w:ind w:right="1040"/>
        <w:spacing w:after="0" w:line="237"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232" w:lineRule="exact"/>
        <w:rPr>
          <w:sz w:val="20"/>
          <w:szCs w:val="20"/>
          <w:color w:val="auto"/>
        </w:rPr>
      </w:pPr>
    </w:p>
    <w:p>
      <w:pPr>
        <w:ind w:right="46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16th day of June,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InCube Labs, L.L.C.</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Mir Imran</w:t>
      </w:r>
    </w:p>
    <w:p>
      <w:pPr>
        <w:spacing w:after="0" w:line="238" w:lineRule="auto"/>
        <w:rPr>
          <w:sz w:val="20"/>
          <w:szCs w:val="20"/>
          <w:color w:val="auto"/>
        </w:rPr>
      </w:pPr>
      <w:r>
        <w:rPr>
          <w:rFonts w:ascii="Courier New" w:cs="Courier New" w:eastAsia="Courier New" w:hAnsi="Courier New"/>
          <w:sz w:val="20"/>
          <w:szCs w:val="20"/>
          <w:color w:val="auto"/>
        </w:rPr>
        <w:t>Mir Imran</w:t>
      </w:r>
    </w:p>
    <w:p>
      <w:pPr>
        <w:spacing w:after="0" w:line="238" w:lineRule="auto"/>
        <w:rPr>
          <w:sz w:val="20"/>
          <w:szCs w:val="20"/>
          <w:color w:val="auto"/>
        </w:rPr>
      </w:pPr>
      <w:r>
        <w:rPr>
          <w:rFonts w:ascii="Courier New" w:cs="Courier New" w:eastAsia="Courier New" w:hAnsi="Courier New"/>
          <w:sz w:val="20"/>
          <w:szCs w:val="20"/>
          <w:color w:val="auto"/>
        </w:rPr>
        <w:t>President</w:t>
      </w:r>
    </w:p>
    <w:sectPr>
      <w:pgSz w:w="11900" w:h="16838" w:orient="portrait"/>
      <w:cols w:equalWidth="0" w:num="1">
        <w:col w:w="10180"/>
      </w:cols>
      <w:pgMar w:left="480" w:top="136"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873082" TargetMode="External"/><Relationship Id="rId11"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2021-07-29T20:55:42Z</dcterms:created>
  <dcterms:modified xsi:type="dcterms:W3CDTF">2021-07-29T20:55:42Z</dcterms:modified>
</cp:coreProperties>
</file>