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99"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2880" w:right="1600" w:hanging="2859"/>
        <w:spacing w:after="0" w:line="399"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ectPr>
          <w:pgSz w:w="11900" w:h="16838" w:orient="portrait"/>
          <w:cols w:equalWidth="0" w:num="1">
            <w:col w:w="11240"/>
          </w:cols>
          <w:pgMar w:left="320" w:top="706"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5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2051 Ringwood Avenue</w:t>
      </w:r>
    </w:p>
    <w:p>
      <w:pPr>
        <w:spacing w:after="0" w:line="5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86-3114789</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95131</w:t>
      </w:r>
    </w:p>
    <w:p>
      <w:pPr>
        <w:spacing w:after="0" w:line="50" w:lineRule="exact"/>
        <w:rPr>
          <w:sz w:val="24"/>
          <w:szCs w:val="24"/>
          <w:color w:val="auto"/>
        </w:rPr>
      </w:pPr>
    </w:p>
    <w:p>
      <w:pPr>
        <w:sectPr>
          <w:pgSz w:w="11900" w:h="16838" w:orient="portrait"/>
          <w:cols w:equalWidth="0" w:num="2">
            <w:col w:w="7700" w:space="240"/>
            <w:col w:w="3300"/>
          </w:cols>
          <w:pgMar w:left="320" w:top="70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RANI</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jc w:val="both"/>
        <w:ind w:firstLine="599"/>
        <w:spacing w:after="0" w:line="273" w:lineRule="auto"/>
        <w:rPr>
          <w:sz w:val="20"/>
          <w:szCs w:val="20"/>
          <w:color w:val="auto"/>
        </w:rPr>
      </w:pPr>
      <w:r>
        <w:rPr>
          <w:rFonts w:ascii="Arial" w:cs="Arial" w:eastAsia="Arial" w:hAnsi="Arial"/>
          <w:sz w:val="16"/>
          <w:szCs w:val="16"/>
          <w:color w:val="auto"/>
        </w:rPr>
        <w:t>As of November 12, 2021, the registrant had 19,711,874 shares of Class A common stock, $0.0001 par value per share, outstanding, and 29,290,391 shares of Class B common stock, $0.0001 par value per share, outstanding and no shares of Class C common stock, $0.0001 par value per share, outstanding. Certain holders of units of our consolidated subsidiary, Rani Therapeutics, LLC who do not hold shares of our Class B common stock can exchange their units for 1,545,811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Special Note Regarding Forward-Looking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gridSpan w:val="3"/>
            <w:vMerge w:val="continue"/>
          </w:tcPr>
          <w:p>
            <w:pPr>
              <w:spacing w:after="0"/>
              <w:rPr>
                <w:sz w:val="22"/>
                <w:szCs w:val="22"/>
                <w:color w:val="auto"/>
              </w:rPr>
            </w:pPr>
          </w:p>
        </w:tc>
        <w:tc>
          <w:tcPr>
            <w:tcW w:w="930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HOLDINGS,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line="202" w:lineRule="exact"/>
              <w:rPr>
                <w:sz w:val="20"/>
                <w:szCs w:val="20"/>
                <w:color w:val="auto"/>
              </w:rPr>
            </w:pPr>
            <w:r>
              <w:rPr>
                <w:rFonts w:ascii="Arial" w:cs="Arial" w:eastAsia="Arial" w:hAnsi="Arial"/>
                <w:sz w:val="18"/>
                <w:szCs w:val="18"/>
                <w:color w:val="0000FF"/>
                <w:w w:val="89"/>
              </w:rPr>
              <w:t>Financial Statements (Unaudited)</w:t>
            </w:r>
          </w:p>
        </w:tc>
        <w:tc>
          <w:tcPr>
            <w:tcW w:w="6880" w:type="dxa"/>
            <w:vAlign w:val="bottom"/>
            <w:gridSpan w:val="9"/>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Condensed Consolidated Statements of Changes in Stockholders’ Equity / Convertible Preferred Units and Members'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vMerge w:val="continue"/>
          </w:tcPr>
          <w:p>
            <w:pPr>
              <w:spacing w:after="0"/>
              <w:rPr>
                <w:sz w:val="24"/>
                <w:szCs w:val="24"/>
                <w:color w:val="auto"/>
              </w:rPr>
            </w:pPr>
          </w:p>
        </w:tc>
        <w:tc>
          <w:tcPr>
            <w:tcW w:w="930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30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16"/>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98">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right="20" w:firstLine="1018"/>
        <w:spacing w:after="0" w:line="269" w:lineRule="auto"/>
        <w:rPr>
          <w:sz w:val="20"/>
          <w:szCs w:val="20"/>
          <w:color w:val="auto"/>
        </w:rPr>
      </w:pPr>
      <w:r>
        <w:rPr>
          <w:rFonts w:ascii="Arial" w:cs="Arial" w:eastAsia="Arial" w:hAnsi="Arial"/>
          <w:sz w:val="18"/>
          <w:szCs w:val="18"/>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6" w:lineRule="exact"/>
        <w:rPr>
          <w:sz w:val="20"/>
          <w:szCs w:val="20"/>
          <w:color w:val="auto"/>
        </w:rPr>
      </w:pPr>
    </w:p>
    <w:p>
      <w:pPr>
        <w:ind w:right="20" w:firstLine="1018"/>
        <w:spacing w:after="0" w:line="329"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202" w:lineRule="exact"/>
        <w:rPr>
          <w:sz w:val="20"/>
          <w:szCs w:val="20"/>
          <w:color w:val="auto"/>
        </w:rPr>
      </w:pPr>
    </w:p>
    <w:p>
      <w:pPr>
        <w:ind w:left="1340" w:hanging="333"/>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progress and focus of our current and future clinical trials in the United States and abroad, and the reporting of data from those trials;</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right="44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237" w:lineRule="exact"/>
        <w:rPr>
          <w:rFonts w:ascii="Arial" w:cs="Arial" w:eastAsia="Arial" w:hAnsi="Arial"/>
          <w:sz w:val="18"/>
          <w:szCs w:val="18"/>
          <w:color w:val="auto"/>
        </w:rPr>
      </w:pPr>
    </w:p>
    <w:p>
      <w:pPr>
        <w:ind w:left="1340" w:right="104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right="34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right="30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403" w:gutter="0" w:footer="0" w:header="0"/>
        </w:sectPr>
      </w:pPr>
    </w:p>
    <w:bookmarkStart w:id="3" w:name="page4"/>
    <w:bookmarkEnd w:id="3"/>
    <w:p>
      <w:pPr>
        <w:ind w:left="1340" w:hanging="333"/>
        <w:spacing w:after="0"/>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1340" w:right="480" w:hanging="333"/>
        <w:spacing w:after="0" w:line="293"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1340" w:hanging="333"/>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 and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right="200" w:hanging="333"/>
        <w:spacing w:after="0" w:line="293"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200" w:lineRule="exact"/>
        <w:rPr>
          <w:sz w:val="20"/>
          <w:szCs w:val="20"/>
          <w:color w:val="auto"/>
        </w:rPr>
      </w:pPr>
    </w:p>
    <w:p>
      <w:pPr>
        <w:spacing w:after="0" w:line="213"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78"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par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129,743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73,058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Related party note receivable</w:t>
            </w:r>
          </w:p>
        </w:tc>
        <w:tc>
          <w:tcPr>
            <w:tcW w:w="2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132,365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4,593</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136,958</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Convertible Preferred Units and Stockholders' Equity / Members’ Deficit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Related party payable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100" w:type="dxa"/>
            <w:vAlign w:val="bottom"/>
            <w:tcBorders>
              <w:top w:val="single" w:sz="8" w:color="CFF0FC"/>
            </w:tcBorders>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unit warrant liability</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units</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184,714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 / members’ deficit:</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units</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22"/>
                <w:szCs w:val="22"/>
                <w:color w:val="auto"/>
              </w:rPr>
            </w:pPr>
          </w:p>
        </w:tc>
      </w:tr>
      <w:tr>
        <w:trPr>
          <w:trHeight w:val="242"/>
        </w:trPr>
        <w:tc>
          <w:tcPr>
            <w:tcW w:w="7680" w:type="dxa"/>
            <w:vAlign w:val="bottom"/>
          </w:tcPr>
          <w:p>
            <w:pPr>
              <w:ind w:left="20"/>
              <w:spacing w:after="0"/>
              <w:rPr>
                <w:sz w:val="20"/>
                <w:szCs w:val="20"/>
                <w:color w:val="auto"/>
              </w:rPr>
            </w:pPr>
            <w:r>
              <w:rPr>
                <w:rFonts w:ascii="Arial" w:cs="Arial" w:eastAsia="Arial" w:hAnsi="Arial"/>
                <w:sz w:val="18"/>
                <w:szCs w:val="18"/>
                <w:color w:val="auto"/>
                <w:w w:val="98"/>
              </w:rPr>
              <w:t>Preferred stock, $0.0001 par value - 20,000 shares authorized; none issued and outstanding as of</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Class A common stock, $0.0001 par value - 800,000 shares authorized; 19,712 issued and outstanding</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September 30, 2021</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7680" w:type="dxa"/>
            <w:vAlign w:val="bottom"/>
          </w:tcPr>
          <w:p>
            <w:pPr>
              <w:ind w:left="20"/>
              <w:spacing w:after="0"/>
              <w:rPr>
                <w:sz w:val="20"/>
                <w:szCs w:val="20"/>
                <w:color w:val="auto"/>
              </w:rPr>
            </w:pPr>
            <w:r>
              <w:rPr>
                <w:rFonts w:ascii="Arial" w:cs="Arial" w:eastAsia="Arial" w:hAnsi="Arial"/>
                <w:sz w:val="18"/>
                <w:szCs w:val="18"/>
                <w:color w:val="auto"/>
                <w:w w:val="91"/>
              </w:rPr>
              <w:t>Class B common stock, $0.0001 par value - 40,000 shares authorized; 29,290 issued and outstanding as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of September 30, 2021</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Class C common stock, $0.0001 par value - 20,000 shares authorized; none issued and outstanding as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 September 30, 2021</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54,503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(3,142 )</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(114,003 )</w:t>
            </w:r>
          </w:p>
        </w:tc>
      </w:tr>
      <w:tr>
        <w:trPr>
          <w:trHeight w:val="20"/>
        </w:trPr>
        <w:tc>
          <w:tcPr>
            <w:tcW w:w="7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Total stockholders' equity attributable to Rani Therapeutics Holdings, Inc. / (members' deficit)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51,366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(113,339 )</w:t>
            </w: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80,342</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stockholders' equity / (members' deficit)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131,708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(113,339 )</w:t>
            </w:r>
          </w:p>
        </w:tc>
      </w:tr>
      <w:tr>
        <w:trPr>
          <w:trHeight w:val="29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convertible preferred units and stockholders' equity / (members'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136,958</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-5251450</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-5251450</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-4916805</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-4916805</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-3579495</wp:posOffset>
            </wp:positionV>
            <wp:extent cx="180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-3579495</wp:posOffset>
            </wp:positionV>
            <wp:extent cx="596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-699135</wp:posOffset>
            </wp:positionV>
            <wp:extent cx="1803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-699135</wp:posOffset>
            </wp:positionV>
            <wp:extent cx="5969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wp:posOffset>
            </wp:positionV>
            <wp:extent cx="1803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1803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803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15,822</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(27,781 )</w:t>
            </w: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(2,827 )</w:t>
            </w: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(38,237 )</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(11,600 )</w:t>
            </w: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(700 )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(700 )</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1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(110 )</w:t>
            </w: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(64 )</w:t>
            </w: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(467 )</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57"/>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estimated fair value of preferred unit warrant</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(371 )</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Pr>
          <w:p>
            <w:pPr>
              <w:ind w:left="56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(28,663 )</w:t>
            </w: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(2,878 )</w:t>
            </w: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(39,702 )</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(10,924 )</w:t>
            </w: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(81 )</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(28,700 )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(2,883 )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(39,783 )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(10,947 )</w:t>
            </w: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(25,558 )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(2,883 )</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(36,641 )</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(10,947 )</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loss attributable to Rani Therapeutics Holdings,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(3,142 )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(3,142 )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Net loss per Class A common share attributable to Rani Therapeutics</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(0.16 )</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(0.16 )</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ind w:left="120"/>
              <w:spacing w:after="0" w:line="203" w:lineRule="exact"/>
              <w:rPr>
                <w:sz w:val="20"/>
                <w:szCs w:val="20"/>
                <w:color w:val="auto"/>
              </w:rPr>
            </w:pPr>
            <w:r>
              <w:rPr>
                <w:rFonts w:ascii="Arial" w:cs="Arial" w:eastAsia="Arial" w:hAnsi="Arial"/>
                <w:sz w:val="18"/>
                <w:szCs w:val="18"/>
                <w:color w:val="auto"/>
              </w:rPr>
              <w:t>Holdings, Inc., basic and diluted</w:t>
            </w:r>
          </w:p>
        </w:tc>
        <w:tc>
          <w:tcPr>
            <w:tcW w:w="180" w:type="dxa"/>
            <w:vAlign w:val="bottom"/>
            <w:vMerge w:val="continue"/>
            <w:shd w:val="clear" w:color="auto" w:fill="CFF0FC"/>
          </w:tcPr>
          <w:p>
            <w:pPr>
              <w:spacing w:after="0"/>
              <w:rPr>
                <w:sz w:val="21"/>
                <w:szCs w:val="21"/>
                <w:color w:val="auto"/>
              </w:rPr>
            </w:pPr>
          </w:p>
        </w:tc>
        <w:tc>
          <w:tcPr>
            <w:tcW w:w="1300" w:type="dxa"/>
            <w:vAlign w:val="bottom"/>
            <w:gridSpan w:val="2"/>
            <w:vMerge w:val="continue"/>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1240" w:type="dxa"/>
            <w:vAlign w:val="bottom"/>
            <w:gridSpan w:val="2"/>
            <w:vMerge w:val="continue"/>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3"/>
              </w:rPr>
              <w:t>Weighted-average Class A common shares outstanding—basic and diluted</w:t>
            </w: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19,437</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19,437</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8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-2345055</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-2345055</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-2345055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-2345055</wp:posOffset>
            </wp:positionV>
            <wp:extent cx="5969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-1359535</wp:posOffset>
            </wp:positionV>
            <wp:extent cx="1543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-1359535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-1359535</wp:posOffset>
            </wp:positionV>
            <wp:extent cx="1371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-1359535</wp:posOffset>
            </wp:positionV>
            <wp:extent cx="596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-1024890</wp:posOffset>
            </wp:positionV>
            <wp:extent cx="1543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-1024890</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-1024890</wp:posOffset>
            </wp:positionV>
            <wp:extent cx="1371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-1024890</wp:posOffset>
            </wp:positionV>
            <wp:extent cx="596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-690880</wp:posOffset>
            </wp:positionV>
            <wp:extent cx="1543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-690880</wp:posOffset>
            </wp:positionV>
            <wp:extent cx="15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-690880</wp:posOffset>
            </wp:positionV>
            <wp:extent cx="1371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-213360</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-196215</wp:posOffset>
            </wp:positionV>
            <wp:extent cx="154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-213360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-196215</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EQUITY/CONVERTIBLE PREFERRED UNITS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MEMBERS' DEFICIT</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5"/>
          </w:tcPr>
          <w:p>
            <w:pPr>
              <w:jc w:val="right"/>
              <w:spacing w:after="0"/>
              <w:rPr>
                <w:sz w:val="20"/>
                <w:szCs w:val="20"/>
                <w:color w:val="auto"/>
              </w:rPr>
            </w:pPr>
            <w:r>
              <w:rPr>
                <w:rFonts w:ascii="Arial" w:cs="Arial" w:eastAsia="Arial" w:hAnsi="Arial"/>
                <w:sz w:val="13"/>
                <w:szCs w:val="13"/>
                <w:b w:val="1"/>
                <w:bCs w:val="1"/>
                <w:color w:val="auto"/>
                <w:w w:val="94"/>
              </w:rPr>
              <w:t>Class A Common Stock</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tcPr>
          <w:p>
            <w:pPr>
              <w:jc w:val="center"/>
              <w:ind w:right="170"/>
              <w:spacing w:after="0"/>
              <w:rPr>
                <w:sz w:val="20"/>
                <w:szCs w:val="20"/>
                <w:color w:val="auto"/>
              </w:rPr>
            </w:pPr>
            <w:r>
              <w:rPr>
                <w:rFonts w:ascii="Arial" w:cs="Arial" w:eastAsia="Arial" w:hAnsi="Arial"/>
                <w:sz w:val="13"/>
                <w:szCs w:val="13"/>
                <w:b w:val="1"/>
                <w:bCs w:val="1"/>
                <w:color w:val="auto"/>
                <w:w w:val="85"/>
              </w:rPr>
              <w:t>Class B Common Stock</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b w:val="1"/>
                <w:bCs w:val="1"/>
                <w:color w:val="auto"/>
                <w:w w:val="94"/>
              </w:rPr>
              <w:t>Total Stockholders'</w:t>
            </w:r>
          </w:p>
        </w:tc>
      </w:tr>
      <w:tr>
        <w:trPr>
          <w:trHeight w:val="162"/>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For the Nine Months Ended September</w:t>
            </w:r>
          </w:p>
        </w:tc>
        <w:tc>
          <w:tcPr>
            <w:tcW w:w="80" w:type="dxa"/>
            <w:vAlign w:val="bottom"/>
          </w:tcPr>
          <w:p>
            <w:pPr>
              <w:spacing w:after="0"/>
              <w:rPr>
                <w:sz w:val="14"/>
                <w:szCs w:val="14"/>
                <w:color w:val="auto"/>
              </w:rPr>
            </w:pPr>
          </w:p>
        </w:tc>
        <w:tc>
          <w:tcPr>
            <w:tcW w:w="7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89"/>
              </w:rPr>
              <w:t>Preferred</w:t>
            </w:r>
          </w:p>
        </w:tc>
        <w:tc>
          <w:tcPr>
            <w:tcW w:w="60" w:type="dxa"/>
            <w:vAlign w:val="bottom"/>
          </w:tcPr>
          <w:p>
            <w:pPr>
              <w:spacing w:after="0"/>
              <w:rPr>
                <w:sz w:val="14"/>
                <w:szCs w:val="14"/>
                <w:color w:val="auto"/>
              </w:rPr>
            </w:pPr>
          </w:p>
        </w:tc>
        <w:tc>
          <w:tcPr>
            <w:tcW w:w="960" w:type="dxa"/>
            <w:vAlign w:val="bottom"/>
            <w:gridSpan w:val="3"/>
          </w:tcPr>
          <w:p>
            <w:pPr>
              <w:jc w:val="right"/>
              <w:ind w:right="317"/>
              <w:spacing w:after="0"/>
              <w:rPr>
                <w:sz w:val="20"/>
                <w:szCs w:val="20"/>
                <w:color w:val="auto"/>
              </w:rPr>
            </w:pPr>
            <w:r>
              <w:rPr>
                <w:rFonts w:ascii="Arial" w:cs="Arial" w:eastAsia="Arial" w:hAnsi="Arial"/>
                <w:sz w:val="13"/>
                <w:szCs w:val="13"/>
                <w:b w:val="1"/>
                <w:bCs w:val="1"/>
                <w:color w:val="auto"/>
                <w:w w:val="88"/>
              </w:rPr>
              <w:t>Members’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Paid In</w:t>
            </w:r>
          </w:p>
        </w:tc>
        <w:tc>
          <w:tcPr>
            <w:tcW w:w="9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0"/>
              </w:rPr>
              <w:t>Accumulated</w:t>
            </w:r>
          </w:p>
        </w:tc>
        <w:tc>
          <w:tcPr>
            <w:tcW w:w="8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4"/>
                <w:szCs w:val="14"/>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6"/>
              </w:rPr>
              <w:t>Equity/Members'</w:t>
            </w:r>
          </w:p>
        </w:tc>
      </w:tr>
      <w:tr>
        <w:trPr>
          <w:trHeight w:val="174"/>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30, 2021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100" w:type="dxa"/>
            <w:vAlign w:val="bottom"/>
            <w:tcBorders>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3"/>
                <w:szCs w:val="13"/>
                <w:b w:val="1"/>
                <w:bCs w:val="1"/>
                <w:color w:val="auto"/>
                <w:w w:val="73"/>
              </w:rPr>
              <w:t>Shares</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r>
      <w:tr>
        <w:trPr>
          <w:trHeight w:val="173"/>
        </w:trPr>
        <w:tc>
          <w:tcPr>
            <w:tcW w:w="228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w w:val="97"/>
              </w:rPr>
              <w:t>Activity prior to initial public offering</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("IPO") and related Organizational</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Transactions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Balance at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184,714</w:t>
            </w: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(113,339 )</w:t>
            </w:r>
          </w:p>
        </w:tc>
        <w:tc>
          <w:tcPr>
            <w:tcW w:w="2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(113,339 )</w:t>
            </w: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Issuance of Series E preferred units</w:t>
            </w: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6,320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Exercise of warrant for common</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22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FF0FC"/>
          </w:tcPr>
          <w:p>
            <w:pPr>
              <w:spacing w:after="0"/>
              <w:rPr>
                <w:sz w:val="15"/>
                <w:szCs w:val="15"/>
                <w:color w:val="auto"/>
              </w:rPr>
            </w:pPr>
          </w:p>
        </w:tc>
        <w:tc>
          <w:tcPr>
            <w:tcW w:w="780" w:type="dxa"/>
            <w:vAlign w:val="bottom"/>
            <w:tcBorders>
              <w:right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60" w:type="dxa"/>
            <w:vAlign w:val="bottom"/>
            <w:shd w:val="clear" w:color="auto" w:fill="CFF0FC"/>
          </w:tcPr>
          <w:p>
            <w:pPr>
              <w:spacing w:after="0"/>
              <w:rPr>
                <w:sz w:val="15"/>
                <w:szCs w:val="15"/>
                <w:color w:val="auto"/>
              </w:rPr>
            </w:pPr>
          </w:p>
        </w:tc>
      </w:tr>
      <w:tr>
        <w:trPr>
          <w:trHeight w:val="173"/>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Equity-based compensation from</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secondary sales transactions</w:t>
            </w:r>
          </w:p>
        </w:tc>
        <w:tc>
          <w:tcPr>
            <w:tcW w:w="8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453</w:t>
            </w:r>
          </w:p>
        </w:tc>
        <w:tc>
          <w:tcPr>
            <w:tcW w:w="60" w:type="dxa"/>
            <w:vAlign w:val="bottom"/>
          </w:tcPr>
          <w:p>
            <w:pPr>
              <w:spacing w:after="0"/>
              <w:rPr>
                <w:sz w:val="14"/>
                <w:szCs w:val="14"/>
                <w:color w:val="auto"/>
              </w:rPr>
            </w:pPr>
          </w:p>
        </w:tc>
      </w:tr>
      <w:tr>
        <w:trPr>
          <w:trHeight w:val="189"/>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(5,598 )</w:t>
            </w:r>
          </w:p>
        </w:tc>
        <w:tc>
          <w:tcPr>
            <w:tcW w:w="22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(5,598 )</w:t>
            </w:r>
          </w:p>
        </w:tc>
      </w:tr>
      <w:tr>
        <w:trPr>
          <w:trHeight w:val="22"/>
        </w:trPr>
        <w:tc>
          <w:tcPr>
            <w:tcW w:w="2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Balance at March 31, 2021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191,034</w:t>
            </w:r>
          </w:p>
        </w:tc>
        <w:tc>
          <w:tcPr>
            <w:tcW w:w="100" w:type="dxa"/>
            <w:vAlign w:val="bottom"/>
            <w:tcBorders>
              <w:right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(118,471 )</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85"/>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87"/>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3"/>
                <w:szCs w:val="13"/>
                <w:color w:val="auto"/>
              </w:rPr>
              <w:t>(118,471 )</w:t>
            </w:r>
          </w:p>
        </w:tc>
      </w:tr>
      <w:tr>
        <w:trPr>
          <w:trHeight w:val="19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7"/>
                <w:szCs w:val="17"/>
                <w:color w:val="auto"/>
              </w:rPr>
            </w:pPr>
          </w:p>
        </w:tc>
        <w:tc>
          <w:tcPr>
            <w:tcW w:w="780" w:type="dxa"/>
            <w:vAlign w:val="bottom"/>
            <w:tcBorders>
              <w:right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282</w:t>
            </w:r>
          </w:p>
        </w:tc>
        <w:tc>
          <w:tcPr>
            <w:tcW w:w="60" w:type="dxa"/>
            <w:vAlign w:val="bottom"/>
            <w:shd w:val="clear" w:color="auto" w:fill="CFF0FC"/>
          </w:tcPr>
          <w:p>
            <w:pPr>
              <w:spacing w:after="0"/>
              <w:rPr>
                <w:sz w:val="17"/>
                <w:szCs w:val="17"/>
                <w:color w:val="auto"/>
              </w:rPr>
            </w:pP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(5,485 )</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3"/>
                <w:szCs w:val="13"/>
                <w:color w:val="auto"/>
              </w:rPr>
              <w:t>(5,485 )</w:t>
            </w:r>
          </w:p>
        </w:tc>
      </w:tr>
      <w:tr>
        <w:trPr>
          <w:trHeight w:val="21"/>
        </w:trPr>
        <w:tc>
          <w:tcPr>
            <w:tcW w:w="22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Balance at June 30, 2021</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191,034</w:t>
            </w:r>
          </w:p>
        </w:tc>
        <w:tc>
          <w:tcPr>
            <w:tcW w:w="10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(123,674 )</w:t>
            </w:r>
          </w:p>
        </w:tc>
        <w:tc>
          <w:tcPr>
            <w:tcW w:w="22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16"/>
                <w:szCs w:val="16"/>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(123,674 )</w:t>
            </w: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Equity-based compensation</w:t>
            </w:r>
          </w:p>
        </w:tc>
        <w:tc>
          <w:tcPr>
            <w:tcW w:w="80" w:type="dxa"/>
            <w:vAlign w:val="bottom"/>
          </w:tcPr>
          <w:p>
            <w:pPr>
              <w:spacing w:after="0"/>
              <w:rPr>
                <w:sz w:val="15"/>
                <w:szCs w:val="15"/>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17,042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17,042</w:t>
            </w:r>
          </w:p>
        </w:tc>
        <w:tc>
          <w:tcPr>
            <w:tcW w:w="60" w:type="dxa"/>
            <w:vAlign w:val="bottom"/>
          </w:tcPr>
          <w:p>
            <w:pPr>
              <w:spacing w:after="0"/>
              <w:rPr>
                <w:sz w:val="15"/>
                <w:szCs w:val="15"/>
                <w:color w:val="auto"/>
              </w:rPr>
            </w:pPr>
          </w:p>
        </w:tc>
      </w:tr>
      <w:tr>
        <w:trPr>
          <w:trHeight w:val="181"/>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Exercise of warrant for common</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22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FF0FC"/>
          </w:tcPr>
          <w:p>
            <w:pPr>
              <w:spacing w:after="0"/>
              <w:rPr>
                <w:sz w:val="15"/>
                <w:szCs w:val="15"/>
                <w:color w:val="auto"/>
              </w:rPr>
            </w:pPr>
          </w:p>
        </w:tc>
        <w:tc>
          <w:tcPr>
            <w:tcW w:w="780" w:type="dxa"/>
            <w:vAlign w:val="bottom"/>
            <w:tcBorders>
              <w:right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60" w:type="dxa"/>
            <w:vAlign w:val="bottom"/>
            <w:shd w:val="clear" w:color="auto" w:fill="CFF0FC"/>
          </w:tcPr>
          <w:p>
            <w:pPr>
              <w:spacing w:after="0"/>
              <w:rPr>
                <w:sz w:val="15"/>
                <w:szCs w:val="15"/>
                <w:color w:val="auto"/>
              </w:rPr>
            </w:pPr>
          </w:p>
        </w:tc>
      </w:tr>
      <w:tr>
        <w:trPr>
          <w:trHeight w:val="173"/>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Settlement of preferred unit warrant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liability</w:t>
            </w: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691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r>
      <w:tr>
        <w:trPr>
          <w:trHeight w:val="19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7"/>
                <w:szCs w:val="17"/>
                <w:color w:val="auto"/>
              </w:rPr>
            </w:pPr>
          </w:p>
        </w:tc>
        <w:tc>
          <w:tcPr>
            <w:tcW w:w="780" w:type="dxa"/>
            <w:vAlign w:val="bottom"/>
            <w:tcBorders>
              <w:right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(20,644 )</w:t>
            </w:r>
          </w:p>
        </w:tc>
        <w:tc>
          <w:tcPr>
            <w:tcW w:w="2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(20,644 )</w:t>
            </w:r>
          </w:p>
        </w:tc>
      </w:tr>
      <w:tr>
        <w:trPr>
          <w:trHeight w:val="173"/>
        </w:trPr>
        <w:tc>
          <w:tcPr>
            <w:tcW w:w="2280" w:type="dxa"/>
            <w:vAlign w:val="bottom"/>
            <w:gridSpan w:val="2"/>
          </w:tcPr>
          <w:p>
            <w:pPr>
              <w:ind w:left="60"/>
              <w:spacing w:after="0"/>
              <w:rPr>
                <w:sz w:val="20"/>
                <w:szCs w:val="20"/>
                <w:color w:val="auto"/>
              </w:rPr>
            </w:pPr>
            <w:r>
              <w:rPr>
                <w:rFonts w:ascii="Arial" w:cs="Arial" w:eastAsia="Arial" w:hAnsi="Arial"/>
                <w:sz w:val="13"/>
                <w:szCs w:val="13"/>
                <w:b w:val="1"/>
                <w:bCs w:val="1"/>
                <w:i w:val="1"/>
                <w:iCs w:val="1"/>
                <w:color w:val="auto"/>
              </w:rPr>
              <w:t>Effects of the IPO and related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Organizational Transactions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Effects of Organizational Transactions</w:t>
            </w:r>
          </w:p>
        </w:tc>
        <w:tc>
          <w:tcPr>
            <w:tcW w:w="80" w:type="dxa"/>
            <w:vAlign w:val="bottom"/>
            <w:shd w:val="clear" w:color="auto" w:fill="CFF0FC"/>
          </w:tcPr>
          <w:p>
            <w:pPr>
              <w:spacing w:after="0"/>
              <w:rPr>
                <w:sz w:val="17"/>
                <w:szCs w:val="17"/>
                <w:color w:val="auto"/>
              </w:rPr>
            </w:pPr>
          </w:p>
        </w:tc>
        <w:tc>
          <w:tcPr>
            <w:tcW w:w="780" w:type="dxa"/>
            <w:vAlign w:val="bottom"/>
            <w:tcBorders>
              <w:right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(191,725 )</w:t>
            </w:r>
          </w:p>
        </w:tc>
        <w:tc>
          <w:tcPr>
            <w:tcW w:w="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127,263</w:t>
            </w: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12,048</w:t>
            </w: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left w:val="single" w:sz="8" w:color="CFF0FC"/>
            </w:tcBorders>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29,290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18,106</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46,352</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191,725</w:t>
            </w:r>
          </w:p>
        </w:tc>
        <w:tc>
          <w:tcPr>
            <w:tcW w:w="60" w:type="dxa"/>
            <w:vAlign w:val="bottom"/>
            <w:shd w:val="clear" w:color="auto" w:fill="CFF0FC"/>
          </w:tcPr>
          <w:p>
            <w:pPr>
              <w:spacing w:after="0"/>
              <w:rPr>
                <w:sz w:val="17"/>
                <w:szCs w:val="17"/>
                <w:color w:val="auto"/>
              </w:rPr>
            </w:pPr>
          </w:p>
        </w:tc>
      </w:tr>
      <w:tr>
        <w:trPr>
          <w:trHeight w:val="173"/>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Issuance of Class A common stock in</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280" w:type="dxa"/>
            <w:vAlign w:val="bottom"/>
            <w:gridSpan w:val="2"/>
          </w:tcPr>
          <w:p>
            <w:pPr>
              <w:ind w:left="20"/>
              <w:spacing w:after="0"/>
              <w:rPr>
                <w:sz w:val="20"/>
                <w:szCs w:val="20"/>
                <w:color w:val="auto"/>
              </w:rPr>
            </w:pPr>
            <w:r>
              <w:rPr>
                <w:rFonts w:ascii="Arial" w:cs="Arial" w:eastAsia="Arial" w:hAnsi="Arial"/>
                <w:sz w:val="13"/>
                <w:szCs w:val="13"/>
                <w:color w:val="auto"/>
                <w:w w:val="96"/>
              </w:rPr>
              <w:t>connection with the IPO, net of issuance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costs of $10,686</w:t>
            </w:r>
          </w:p>
        </w:tc>
        <w:tc>
          <w:tcPr>
            <w:tcW w:w="8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7,667</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73,647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73,648</w:t>
            </w:r>
          </w:p>
        </w:tc>
        <w:tc>
          <w:tcPr>
            <w:tcW w:w="60" w:type="dxa"/>
            <w:vAlign w:val="bottom"/>
          </w:tcPr>
          <w:p>
            <w:pPr>
              <w:spacing w:after="0"/>
              <w:rPr>
                <w:sz w:val="14"/>
                <w:szCs w:val="14"/>
                <w:color w:val="auto"/>
              </w:rPr>
            </w:pPr>
          </w:p>
        </w:tc>
      </w:tr>
      <w:tr>
        <w:trPr>
          <w:trHeight w:val="181"/>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Non-controlling interest adjustment for</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62"/>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purchase of newly issued Class A units of</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8"/>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Rani LLC with proceeds from the IPO</w:t>
            </w:r>
          </w:p>
        </w:tc>
        <w:tc>
          <w:tcPr>
            <w:tcW w:w="80" w:type="dxa"/>
            <w:vAlign w:val="bottom"/>
            <w:shd w:val="clear" w:color="auto" w:fill="CFF0FC"/>
          </w:tcPr>
          <w:p>
            <w:pPr>
              <w:spacing w:after="0"/>
              <w:rPr>
                <w:sz w:val="15"/>
                <w:szCs w:val="15"/>
                <w:color w:val="auto"/>
              </w:rPr>
            </w:pPr>
          </w:p>
        </w:tc>
        <w:tc>
          <w:tcPr>
            <w:tcW w:w="780" w:type="dxa"/>
            <w:vAlign w:val="bottom"/>
            <w:tcBorders>
              <w:right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3"/>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(37,895 )</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37,895</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5"/>
                <w:szCs w:val="15"/>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(149 )</w:t>
            </w:r>
          </w:p>
        </w:tc>
        <w:tc>
          <w:tcPr>
            <w:tcW w:w="140" w:type="dxa"/>
            <w:vAlign w:val="bottom"/>
          </w:tcPr>
          <w:p>
            <w:pPr>
              <w:spacing w:after="0"/>
              <w:rPr>
                <w:sz w:val="15"/>
                <w:szCs w:val="15"/>
                <w:color w:val="auto"/>
              </w:rPr>
            </w:pPr>
          </w:p>
        </w:tc>
        <w:tc>
          <w:tcPr>
            <w:tcW w:w="700" w:type="dxa"/>
            <w:vAlign w:val="bottom"/>
            <w:gridSpan w:val="4"/>
          </w:tcPr>
          <w:p>
            <w:pPr>
              <w:jc w:val="right"/>
              <w:spacing w:after="0"/>
              <w:rPr>
                <w:sz w:val="20"/>
                <w:szCs w:val="20"/>
                <w:color w:val="auto"/>
              </w:rPr>
            </w:pPr>
            <w:r>
              <w:rPr>
                <w:rFonts w:ascii="Arial" w:cs="Arial" w:eastAsia="Arial" w:hAnsi="Arial"/>
                <w:sz w:val="13"/>
                <w:szCs w:val="13"/>
                <w:color w:val="auto"/>
              </w:rPr>
              <w:t>(233 )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3"/>
                <w:szCs w:val="13"/>
                <w:color w:val="auto"/>
              </w:rPr>
              <w:t>(382 )</w:t>
            </w:r>
          </w:p>
        </w:tc>
      </w:tr>
      <w:tr>
        <w:trPr>
          <w:trHeight w:val="181"/>
        </w:trPr>
        <w:tc>
          <w:tcPr>
            <w:tcW w:w="2280" w:type="dxa"/>
            <w:vAlign w:val="bottom"/>
            <w:gridSpan w:val="2"/>
            <w:shd w:val="clear" w:color="auto" w:fill="CFF0FC"/>
          </w:tcPr>
          <w:p>
            <w:pPr>
              <w:ind w:left="40"/>
              <w:spacing w:after="0"/>
              <w:rPr>
                <w:sz w:val="20"/>
                <w:szCs w:val="20"/>
                <w:color w:val="auto"/>
              </w:rPr>
            </w:pPr>
            <w:r>
              <w:rPr>
                <w:rFonts w:ascii="Arial" w:cs="Arial" w:eastAsia="Arial" w:hAnsi="Arial"/>
                <w:sz w:val="13"/>
                <w:szCs w:val="13"/>
                <w:b w:val="1"/>
                <w:bCs w:val="1"/>
                <w:i w:val="1"/>
                <w:iCs w:val="1"/>
                <w:color w:val="auto"/>
              </w:rPr>
              <w:t>Activity subsequent to the IPO and</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related Organizational Transactions</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Equity-based compensation</w:t>
            </w:r>
          </w:p>
        </w:tc>
        <w:tc>
          <w:tcPr>
            <w:tcW w:w="80" w:type="dxa"/>
            <w:vAlign w:val="bottom"/>
          </w:tcPr>
          <w:p>
            <w:pPr>
              <w:spacing w:after="0"/>
              <w:rPr>
                <w:sz w:val="15"/>
                <w:szCs w:val="15"/>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1,010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1,656</w:t>
            </w:r>
          </w:p>
        </w:tc>
        <w:tc>
          <w:tcPr>
            <w:tcW w:w="60" w:type="dxa"/>
            <w:vAlign w:val="bottom"/>
          </w:tcPr>
          <w:p>
            <w:pPr>
              <w:spacing w:after="0"/>
              <w:rPr>
                <w:sz w:val="15"/>
                <w:szCs w:val="15"/>
                <w:color w:val="auto"/>
              </w:rPr>
            </w:pPr>
          </w:p>
        </w:tc>
      </w:tr>
      <w:tr>
        <w:trPr>
          <w:trHeight w:val="19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Forfeiture of restricted stock awards</w:t>
            </w:r>
          </w:p>
        </w:tc>
        <w:tc>
          <w:tcPr>
            <w:tcW w:w="80" w:type="dxa"/>
            <w:vAlign w:val="bottom"/>
            <w:shd w:val="clear" w:color="auto" w:fill="CFF0FC"/>
          </w:tcPr>
          <w:p>
            <w:pPr>
              <w:spacing w:after="0"/>
              <w:rPr>
                <w:sz w:val="17"/>
                <w:szCs w:val="17"/>
                <w:color w:val="auto"/>
              </w:rPr>
            </w:pPr>
          </w:p>
        </w:tc>
        <w:tc>
          <w:tcPr>
            <w:tcW w:w="780" w:type="dxa"/>
            <w:vAlign w:val="bottom"/>
            <w:tcBorders>
              <w:right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3"/>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(3 )</w:t>
            </w:r>
          </w:p>
        </w:tc>
        <w:tc>
          <w:tcPr>
            <w:tcW w:w="4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(2 )</w:t>
            </w:r>
          </w:p>
        </w:tc>
      </w:tr>
      <w:tr>
        <w:trPr>
          <w:trHeight w:val="181"/>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(2,993 )</w:t>
            </w:r>
          </w:p>
        </w:tc>
        <w:tc>
          <w:tcPr>
            <w:tcW w:w="140" w:type="dxa"/>
            <w:vAlign w:val="bottom"/>
          </w:tcPr>
          <w:p>
            <w:pPr>
              <w:spacing w:after="0"/>
              <w:rPr>
                <w:sz w:val="15"/>
                <w:szCs w:val="15"/>
                <w:color w:val="auto"/>
              </w:rPr>
            </w:pPr>
          </w:p>
        </w:tc>
        <w:tc>
          <w:tcPr>
            <w:tcW w:w="700" w:type="dxa"/>
            <w:vAlign w:val="bottom"/>
            <w:gridSpan w:val="4"/>
          </w:tcPr>
          <w:p>
            <w:pPr>
              <w:jc w:val="right"/>
              <w:spacing w:after="0"/>
              <w:rPr>
                <w:sz w:val="20"/>
                <w:szCs w:val="20"/>
                <w:color w:val="auto"/>
              </w:rPr>
            </w:pPr>
            <w:r>
              <w:rPr>
                <w:rFonts w:ascii="Arial" w:cs="Arial" w:eastAsia="Arial" w:hAnsi="Arial"/>
                <w:sz w:val="13"/>
                <w:szCs w:val="13"/>
                <w:color w:val="auto"/>
              </w:rPr>
              <w:t>(4,681 )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3"/>
                <w:szCs w:val="13"/>
                <w:color w:val="auto"/>
              </w:rPr>
              <w:t>(7,674 )</w:t>
            </w:r>
          </w:p>
        </w:tc>
      </w:tr>
      <w:tr>
        <w:trPr>
          <w:trHeight w:val="22"/>
        </w:trPr>
        <w:tc>
          <w:tcPr>
            <w:tcW w:w="22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Balance at September 30, 2021</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19,712</w:t>
            </w: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tcBorders>
              <w:left w:val="single" w:sz="8" w:color="CFF0FC"/>
            </w:tcBorders>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29,290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54,503</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(3,142 )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80,342</w:t>
            </w:r>
          </w:p>
        </w:tc>
        <w:tc>
          <w:tcPr>
            <w:tcW w:w="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131,708</w:t>
            </w:r>
          </w:p>
        </w:tc>
        <w:tc>
          <w:tcPr>
            <w:tcW w:w="60" w:type="dxa"/>
            <w:vAlign w:val="bottom"/>
            <w:shd w:val="clear" w:color="auto" w:fill="CFF0FC"/>
          </w:tcPr>
          <w:p>
            <w:pPr>
              <w:spacing w:after="0"/>
              <w:rPr>
                <w:sz w:val="17"/>
                <w:szCs w:val="17"/>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r>
        <w:trPr>
          <w:trHeight w:val="412"/>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285"/>
              <w:spacing w:after="0"/>
              <w:rPr>
                <w:sz w:val="20"/>
                <w:szCs w:val="20"/>
                <w:color w:val="auto"/>
              </w:rPr>
            </w:pPr>
            <w:r>
              <w:rPr>
                <w:rFonts w:ascii="Arial" w:cs="Arial" w:eastAsia="Arial" w:hAnsi="Arial"/>
                <w:sz w:val="14"/>
                <w:szCs w:val="14"/>
                <w:b w:val="1"/>
                <w:bCs w:val="1"/>
                <w:color w:val="auto"/>
              </w:rPr>
              <w:t>Convertible Preferred</w:t>
            </w: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314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Total Members’</w:t>
            </w:r>
          </w:p>
        </w:tc>
      </w:tr>
      <w:tr>
        <w:trPr>
          <w:trHeight w:val="192"/>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gridSpan w:val="2"/>
          </w:tcPr>
          <w:p>
            <w:pPr>
              <w:jc w:val="center"/>
              <w:ind w:left="253"/>
              <w:spacing w:after="0"/>
              <w:rPr>
                <w:sz w:val="20"/>
                <w:szCs w:val="20"/>
                <w:color w:val="auto"/>
              </w:rPr>
            </w:pPr>
            <w:r>
              <w:rPr>
                <w:rFonts w:ascii="Arial" w:cs="Arial" w:eastAsia="Arial" w:hAnsi="Arial"/>
                <w:sz w:val="14"/>
                <w:szCs w:val="14"/>
                <w:b w:val="1"/>
                <w:bCs w:val="1"/>
                <w:color w:val="auto"/>
                <w:w w:val="97"/>
              </w:rPr>
              <w:t>Units</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Deficit</w:t>
            </w:r>
          </w:p>
        </w:tc>
        <w:tc>
          <w:tcPr>
            <w:tcW w:w="140" w:type="dxa"/>
            <w:vAlign w:val="bottom"/>
            <w:gridSpan w:val="2"/>
          </w:tcPr>
          <w:p>
            <w:pPr>
              <w:spacing w:after="0"/>
              <w:rPr>
                <w:sz w:val="16"/>
                <w:szCs w:val="16"/>
                <w:color w:val="auto"/>
              </w:rPr>
            </w:pPr>
          </w:p>
        </w:tc>
      </w:tr>
      <w:tr>
        <w:trPr>
          <w:trHeight w:val="256"/>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0"/>
              </w:rPr>
              <w:t>Balance at December 31, 2019</w:t>
            </w:r>
          </w:p>
        </w:tc>
        <w:tc>
          <w:tcPr>
            <w:tcW w:w="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17,085</w:t>
            </w:r>
          </w:p>
        </w:tc>
        <w:tc>
          <w:tcPr>
            <w:tcW w:w="560" w:type="dxa"/>
            <w:vAlign w:val="bottom"/>
            <w:gridSpan w:val="2"/>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115,505</w:t>
            </w:r>
          </w:p>
        </w:tc>
        <w:tc>
          <w:tcPr>
            <w:tcW w:w="180" w:type="dxa"/>
            <w:vAlign w:val="bottom"/>
            <w:tcBorders>
              <w:left w:val="single" w:sz="8" w:color="CFF0FC"/>
            </w:tcBorders>
            <w:shd w:val="clear" w:color="auto" w:fill="CFF0FC"/>
          </w:tcPr>
          <w:p>
            <w:pPr>
              <w:spacing w:after="0"/>
              <w:rPr>
                <w:sz w:val="22"/>
                <w:szCs w:val="22"/>
                <w:color w:val="auto"/>
              </w:rPr>
            </w:pPr>
          </w:p>
        </w:tc>
        <w:tc>
          <w:tcPr>
            <w:tcW w:w="120" w:type="dxa"/>
            <w:vAlign w:val="bottom"/>
            <w:tcBorders>
              <w:right w:val="single" w:sz="8" w:color="auto"/>
            </w:tcBorders>
            <w:shd w:val="clear" w:color="auto" w:fill="CFF0FC"/>
          </w:tcPr>
          <w:p>
            <w:pPr>
              <w:spacing w:after="0"/>
              <w:rPr>
                <w:sz w:val="22"/>
                <w:szCs w:val="22"/>
                <w:color w:val="auto"/>
              </w:rPr>
            </w:pP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46,890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FF0FC"/>
          </w:tcPr>
          <w:p>
            <w:pPr>
              <w:spacing w:after="0"/>
              <w:rPr>
                <w:sz w:val="22"/>
                <w:szCs w:val="22"/>
                <w:color w:val="auto"/>
              </w:rPr>
            </w:pP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(97,300 )</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(96,636 )</w:t>
            </w:r>
          </w:p>
        </w:tc>
      </w:tr>
      <w:tr>
        <w:trPr>
          <w:trHeight w:val="25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(5,350 )</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(5,350 )</w:t>
            </w:r>
          </w:p>
        </w:tc>
      </w:tr>
      <w:tr>
        <w:trPr>
          <w:trHeight w:val="20"/>
        </w:trPr>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March 31, 2020</w:t>
            </w:r>
          </w:p>
        </w:tc>
        <w:tc>
          <w:tcPr>
            <w:tcW w:w="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17,085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115,505</w:t>
            </w:r>
          </w:p>
        </w:tc>
        <w:tc>
          <w:tcPr>
            <w:tcW w:w="180" w:type="dxa"/>
            <w:vAlign w:val="bottom"/>
            <w:tcBorders>
              <w:left w:val="single" w:sz="8" w:color="CFF0FC"/>
            </w:tcBorders>
            <w:shd w:val="clear" w:color="auto" w:fill="CFF0FC"/>
          </w:tcPr>
          <w:p>
            <w:pPr>
              <w:spacing w:after="0"/>
              <w:rPr>
                <w:sz w:val="22"/>
                <w:szCs w:val="22"/>
                <w:color w:val="auto"/>
              </w:rPr>
            </w:pPr>
          </w:p>
        </w:tc>
        <w:tc>
          <w:tcPr>
            <w:tcW w:w="120" w:type="dxa"/>
            <w:vAlign w:val="bottom"/>
            <w:tcBorders>
              <w:right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46,890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(102,650 )</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(101,986 )</w:t>
            </w:r>
          </w:p>
        </w:tc>
      </w:tr>
      <w:tr>
        <w:trPr>
          <w:trHeight w:val="25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(2,714 )</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(2,714 )</w:t>
            </w:r>
          </w:p>
        </w:tc>
      </w:tr>
      <w:tr>
        <w:trPr>
          <w:trHeight w:val="20"/>
        </w:trPr>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7"/>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June 30, 2020</w:t>
            </w:r>
          </w:p>
        </w:tc>
        <w:tc>
          <w:tcPr>
            <w:tcW w:w="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17,085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115,505</w:t>
            </w:r>
          </w:p>
        </w:tc>
        <w:tc>
          <w:tcPr>
            <w:tcW w:w="180" w:type="dxa"/>
            <w:vAlign w:val="bottom"/>
            <w:tcBorders>
              <w:left w:val="single" w:sz="8" w:color="CFF0FC"/>
            </w:tcBorders>
            <w:shd w:val="clear" w:color="auto" w:fill="CFF0FC"/>
          </w:tcPr>
          <w:p>
            <w:pPr>
              <w:spacing w:after="0"/>
              <w:rPr>
                <w:sz w:val="22"/>
                <w:szCs w:val="22"/>
                <w:color w:val="auto"/>
              </w:rPr>
            </w:pPr>
          </w:p>
        </w:tc>
        <w:tc>
          <w:tcPr>
            <w:tcW w:w="120" w:type="dxa"/>
            <w:vAlign w:val="bottom"/>
            <w:tcBorders>
              <w:right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46,890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(105,364 )</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(104,700 )</w:t>
            </w:r>
          </w:p>
        </w:tc>
      </w:tr>
      <w:tr>
        <w:trPr>
          <w:trHeight w:val="25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(2,883 )</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(2,883 )</w:t>
            </w:r>
          </w:p>
        </w:tc>
      </w:tr>
      <w:tr>
        <w:trPr>
          <w:trHeight w:val="20"/>
        </w:trPr>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70"/>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88"/>
              </w:rPr>
              <w:t>Balance at September 30, 2020</w:t>
            </w:r>
          </w:p>
        </w:tc>
        <w:tc>
          <w:tcPr>
            <w:tcW w:w="8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tcBorders>
              <w:right w:val="single" w:sz="8" w:color="CFF0FC"/>
            </w:tcBorders>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9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17,085</w:t>
            </w:r>
          </w:p>
        </w:tc>
        <w:tc>
          <w:tcPr>
            <w:tcW w:w="24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3"/>
                <w:szCs w:val="2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115,505</w:t>
            </w:r>
          </w:p>
        </w:tc>
        <w:tc>
          <w:tcPr>
            <w:tcW w:w="180" w:type="dxa"/>
            <w:vAlign w:val="bottom"/>
            <w:tcBorders>
              <w:left w:val="single" w:sz="8" w:color="CFF0FC"/>
            </w:tcBorders>
            <w:shd w:val="clear" w:color="auto" w:fill="CFF0FC"/>
          </w:tcPr>
          <w:p>
            <w:pPr>
              <w:spacing w:after="0"/>
              <w:rPr>
                <w:sz w:val="23"/>
                <w:szCs w:val="23"/>
                <w:color w:val="auto"/>
              </w:rPr>
            </w:pPr>
          </w:p>
        </w:tc>
        <w:tc>
          <w:tcPr>
            <w:tcW w:w="120" w:type="dxa"/>
            <w:vAlign w:val="bottom"/>
            <w:tcBorders>
              <w:right w:val="single" w:sz="8" w:color="CFF0FC"/>
            </w:tcBorders>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46,890</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(108,247 )</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(107,583 )</w:t>
            </w: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-4754245</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-4754245</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-4754245</wp:posOffset>
            </wp:positionV>
            <wp:extent cx="1111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-4754245</wp:posOffset>
            </wp:positionV>
            <wp:extent cx="10287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-4754245</wp:posOffset>
            </wp:positionV>
            <wp:extent cx="939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-4754245</wp:posOffset>
            </wp:positionV>
            <wp:extent cx="857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-4754245</wp:posOffset>
            </wp:positionV>
            <wp:extent cx="939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-4754245</wp:posOffset>
            </wp:positionV>
            <wp:extent cx="939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-4754245</wp:posOffset>
            </wp:positionV>
            <wp:extent cx="946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-4754245</wp:posOffset>
            </wp:positionV>
            <wp:extent cx="431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-1748155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-1731010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-1748155</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-1731010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-1748155</wp:posOffset>
            </wp:positionV>
            <wp:extent cx="111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-1731010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-1748155</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-1731010</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-1748155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-1731010</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-1748155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-1731010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-1748155</wp:posOffset>
            </wp:positionV>
            <wp:extent cx="93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-1731010</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-1748155</wp:posOffset>
            </wp:positionV>
            <wp:extent cx="93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-1731010</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-1748155</wp:posOffset>
            </wp:positionV>
            <wp:extent cx="946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-1731010</wp:posOffset>
            </wp:positionV>
            <wp:extent cx="946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-1748155</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-1731010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-1589405</wp:posOffset>
            </wp:positionV>
            <wp:extent cx="3429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1148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-1040765</wp:posOffset>
            </wp:positionV>
            <wp:extent cx="3429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19685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-706120</wp:posOffset>
            </wp:positionV>
            <wp:extent cx="3429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19685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-24765</wp:posOffset>
            </wp:positionV>
            <wp:extent cx="1625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-7620</wp:posOffset>
            </wp:positionV>
            <wp:extent cx="162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-372110</wp:posOffset>
            </wp:positionV>
            <wp:extent cx="158750" cy="3854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8750" cy="3854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1460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146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1460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46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1625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625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4"/>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(39,783 )</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(10,947 )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Equity-based compensation expense</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 in fair value of preferred unit warrant liability</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(655 )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(2,455 )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party receivable</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(259 )</w:t>
            </w: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Related party payable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(1,601 )</w:t>
            </w: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(2,717 )</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FF0FC"/>
          </w:tcPr>
          <w:p>
            <w:pPr>
              <w:spacing w:after="0"/>
              <w:rPr>
                <w:sz w:val="22"/>
                <w:szCs w:val="22"/>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(20,796 )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(8,260 )</w:t>
            </w: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(235 )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(944 )</w:t>
            </w: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(235 )</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(944 )</w:t>
            </w:r>
          </w:p>
        </w:tc>
      </w:tr>
      <w:tr>
        <w:trPr>
          <w:trHeight w:val="25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Class A common stock sold in the IPO, net of issuance costs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74,218</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issuance of preferred units, net of issuance costs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6,320</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warrants for common units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the Paycheck Protection Program Loan</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the Paycheck Protection Program Loan</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(1,254 )</w:t>
            </w: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issuance of convertible note, net of issuance costs</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convertible note</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(3,314 )</w:t>
            </w: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56,685</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(5,169 )</w:t>
            </w: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73,058</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129,743</w:t>
            </w:r>
          </w:p>
        </w:tc>
        <w:tc>
          <w:tcPr>
            <w:tcW w:w="280" w:type="dxa"/>
            <w:vAlign w:val="bottom"/>
          </w:tcPr>
          <w:p>
            <w:pPr>
              <w:spacing w:after="0"/>
              <w:rPr>
                <w:sz w:val="21"/>
                <w:szCs w:val="21"/>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1"/>
                <w:szCs w:val="21"/>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1"/>
                <w:szCs w:val="21"/>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IPO issuance costs included in accrued expenses</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Settlement of preferred unit warrant liability</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Exchange of Class A Units of Rani LLC from the Former LLC Owners</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132,527</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-4119880</wp:posOffset>
            </wp:positionV>
            <wp:extent cx="1803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-4119880</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-3442335</wp:posOffset>
            </wp:positionV>
            <wp:extent cx="1803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-3442335</wp:posOffset>
            </wp:positionV>
            <wp:extent cx="596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-1796415</wp:posOffset>
            </wp:positionV>
            <wp:extent cx="1803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-1796415</wp:posOffset>
            </wp:positionV>
            <wp:extent cx="596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-1462405</wp:posOffset>
            </wp:positionV>
            <wp:extent cx="1803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-402590</wp:posOffset>
            </wp:positionV>
            <wp:extent cx="1803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-385445</wp:posOffset>
            </wp:positionV>
            <wp:extent cx="180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-402590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-385445</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803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803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39" w:lineRule="exact"/>
        <w:rPr>
          <w:sz w:val="20"/>
          <w:szCs w:val="20"/>
          <w:color w:val="auto"/>
        </w:rPr>
      </w:pPr>
    </w:p>
    <w:p>
      <w:pPr>
        <w:ind w:right="160" w:firstLine="1018"/>
        <w:spacing w:after="0" w:line="279" w:lineRule="auto"/>
        <w:rPr>
          <w:sz w:val="20"/>
          <w:szCs w:val="20"/>
          <w:color w:val="auto"/>
        </w:rPr>
      </w:pPr>
      <w:r>
        <w:rPr>
          <w:rFonts w:ascii="Arial" w:cs="Arial" w:eastAsia="Arial" w:hAnsi="Arial"/>
          <w:sz w:val="18"/>
          <w:szCs w:val="18"/>
          <w:color w:val="auto"/>
        </w:rPr>
        <w:t>Rani Therapeutics Holdings, Inc. (the "Company") was formed as a Delaware corporation in April 2021 for the purpose of facilitating an initial public offering ("IPO") of its Class A common stock, facilitate certain organizational transactions and to operate the business of Rani Therapeutics, LLC (“Rani LLC”) and its consolidated subsidiary.</w:t>
      </w:r>
    </w:p>
    <w:p>
      <w:pPr>
        <w:spacing w:after="0" w:line="183" w:lineRule="exact"/>
        <w:rPr>
          <w:sz w:val="20"/>
          <w:szCs w:val="20"/>
          <w:color w:val="auto"/>
        </w:rPr>
      </w:pPr>
    </w:p>
    <w:p>
      <w:pPr>
        <w:ind w:right="380" w:firstLine="1063"/>
        <w:spacing w:after="0" w:line="275" w:lineRule="auto"/>
        <w:rPr>
          <w:sz w:val="20"/>
          <w:szCs w:val="20"/>
          <w:color w:val="auto"/>
        </w:rPr>
      </w:pPr>
      <w:r>
        <w:rPr>
          <w:rFonts w:ascii="Arial" w:cs="Arial" w:eastAsia="Arial" w:hAnsi="Arial"/>
          <w:sz w:val="18"/>
          <w:szCs w:val="18"/>
          <w:color w:val="auto"/>
        </w:rPr>
        <w:t>The Company is a clinical stage biotherapeutics company focusing on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is headquartered in San Jose, California and operates in one segment.</w:t>
      </w:r>
    </w:p>
    <w:p>
      <w:pPr>
        <w:spacing w:after="0" w:line="185" w:lineRule="exact"/>
        <w:rPr>
          <w:sz w:val="20"/>
          <w:szCs w:val="20"/>
          <w:color w:val="auto"/>
        </w:rPr>
      </w:pPr>
    </w:p>
    <w:p>
      <w:pPr>
        <w:ind w:right="140" w:firstLine="1018"/>
        <w:spacing w:after="0" w:line="272" w:lineRule="auto"/>
        <w:rPr>
          <w:sz w:val="20"/>
          <w:szCs w:val="20"/>
          <w:color w:val="auto"/>
        </w:rPr>
      </w:pPr>
      <w:r>
        <w:rPr>
          <w:rFonts w:ascii="Arial" w:cs="Arial" w:eastAsia="Arial" w:hAnsi="Arial"/>
          <w:sz w:val="18"/>
          <w:szCs w:val="18"/>
          <w:color w:val="auto"/>
        </w:rPr>
        <w:t>Up to December 31, 2019, Rani LLC maintained no employees of its own and contracted InCube Labs, LLC (“ICL”), the majority common unit holder of Rani LLC and a related party, to provide research, development and administrative services. ICL and Rani LLC have common management and interest holders and, in the course of performing under the terms of the service agreements, ICL employees acted on behalf of Rani LLC. Effective January 1, 2020, the ICL personnel that were substantially dedicated to providing services to Rani LLC were hired by Rani Management Services, Inc. ("RMS") as full-time employees (Note 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Organizational Transactions</w:t>
      </w:r>
    </w:p>
    <w:p>
      <w:pPr>
        <w:spacing w:after="0" w:line="239" w:lineRule="exact"/>
        <w:rPr>
          <w:sz w:val="20"/>
          <w:szCs w:val="20"/>
          <w:color w:val="auto"/>
        </w:rPr>
      </w:pPr>
    </w:p>
    <w:p>
      <w:pPr>
        <w:ind w:right="240" w:firstLine="1018"/>
        <w:spacing w:after="0" w:line="296" w:lineRule="auto"/>
        <w:rPr>
          <w:sz w:val="20"/>
          <w:szCs w:val="20"/>
          <w:color w:val="auto"/>
        </w:rPr>
      </w:pPr>
      <w:r>
        <w:rPr>
          <w:rFonts w:ascii="Arial" w:cs="Arial" w:eastAsia="Arial" w:hAnsi="Arial"/>
          <w:sz w:val="17"/>
          <w:szCs w:val="17"/>
          <w:color w:val="auto"/>
        </w:rPr>
        <w:t>In August 2021, the Company closed its initial public offering (“the Offering” or “IPO”) and sold 7,666,667 shares of its Class A common stock, including shares issued pursuant to the exercise in full of the underwriters’ option, for cash consideration of $11.00 per share and received approximately $73.6 million in net proceeds, after deducting underwriting discounts, offering costs and commissions. The Company used the proceeds from the IPO to purchase 7,666,667 newly issued economic nonvoting Class A units (“Class A Units”) of Rani LLC.</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IPO, the Company was party to the following organizational transactions (the “Organizational Transactions”):</w:t>
      </w:r>
    </w:p>
    <w:p>
      <w:pPr>
        <w:spacing w:after="0" w:line="142" w:lineRule="exact"/>
        <w:rPr>
          <w:sz w:val="20"/>
          <w:szCs w:val="20"/>
          <w:color w:val="auto"/>
        </w:rPr>
      </w:pPr>
    </w:p>
    <w:p>
      <w:pPr>
        <w:ind w:left="960" w:right="140"/>
        <w:spacing w:after="0" w:line="314" w:lineRule="auto"/>
        <w:rPr>
          <w:sz w:val="20"/>
          <w:szCs w:val="20"/>
          <w:color w:val="auto"/>
        </w:rPr>
      </w:pPr>
      <w:r>
        <w:rPr>
          <w:rFonts w:ascii="Arial" w:cs="Arial" w:eastAsia="Arial" w:hAnsi="Arial"/>
          <w:sz w:val="16"/>
          <w:szCs w:val="16"/>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Class A Units and an equal number of voting noneconomic Class B units (“Class B Units”) and (ii) all Profits Interests into Class A Units. In connection with the closing of the IPO, each LLC interest was exchanged 1 for 0.5282 as determined and predicated on the initial public offering price of the Company’s Class A common stock.</w:t>
      </w:r>
    </w:p>
    <w:p>
      <w:pPr>
        <w:spacing w:after="0" w:line="52" w:lineRule="exact"/>
        <w:rPr>
          <w:sz w:val="20"/>
          <w:szCs w:val="20"/>
          <w:color w:val="auto"/>
        </w:rPr>
      </w:pPr>
    </w:p>
    <w:p>
      <w:pPr>
        <w:ind w:left="960" w:right="100"/>
        <w:spacing w:after="0" w:line="275" w:lineRule="auto"/>
        <w:rPr>
          <w:sz w:val="20"/>
          <w:szCs w:val="20"/>
          <w:color w:val="auto"/>
        </w:rPr>
      </w:pPr>
      <w:r>
        <w:rPr>
          <w:rFonts w:ascii="Arial" w:cs="Arial" w:eastAsia="Arial" w:hAnsi="Arial"/>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77"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Exchanged 12,047,925 shares of Class A common stock for existing Class A Units of Rani LLC held by certain individuals and entities (the “Former LLC Owners”) on a one-for-one basis;</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Issued 29,290,391 shares of Class B common stock to the certain individuals and entities that continued to hold Class A Units in Rani LLC after the IPO (the “Continuing LLC Owners”) in return for an equal amount of Rani LLC Class B Units;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Entered into a registration rights agreement with certain of the Continuing LLC Owners.</w:t>
      </w:r>
    </w:p>
    <w:p>
      <w:pPr>
        <w:spacing w:after="0" w:line="239" w:lineRule="exact"/>
        <w:rPr>
          <w:sz w:val="20"/>
          <w:szCs w:val="20"/>
          <w:color w:val="auto"/>
        </w:rPr>
      </w:pPr>
    </w:p>
    <w:p>
      <w:pPr>
        <w:ind w:right="120" w:firstLine="1018"/>
        <w:spacing w:after="0" w:line="299" w:lineRule="auto"/>
        <w:rPr>
          <w:sz w:val="20"/>
          <w:szCs w:val="20"/>
          <w:color w:val="auto"/>
        </w:rPr>
      </w:pPr>
      <w:r>
        <w:rPr>
          <w:rFonts w:ascii="Arial" w:cs="Arial" w:eastAsia="Arial" w:hAnsi="Arial"/>
          <w:sz w:val="16"/>
          <w:szCs w:val="16"/>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may effect a direct exchange of such Class A common stock or make a cash payment equal to a volume weighted average market price of one share of Class A common stock for each Paired Interest redeemed. Any shares of Class B common stock will be cancelled on a one-for-one basis if the Company, at the election of the Continuing LLC Owners, redeems or exchanges such Paired Interest pursuant to the terms of the Rani LLC Agreement. These exchanges and redemptions may result in increases in the tax basis of the assets of Rani LLC that otherwise would not have been available. Increases in tax basis resulting from</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right="160"/>
        <w:spacing w:after="0" w:line="275" w:lineRule="auto"/>
        <w:rPr>
          <w:sz w:val="20"/>
          <w:szCs w:val="20"/>
          <w:color w:val="auto"/>
        </w:rPr>
      </w:pPr>
      <w:r>
        <w:rPr>
          <w:rFonts w:ascii="Arial" w:cs="Arial" w:eastAsia="Arial" w:hAnsi="Arial"/>
          <w:sz w:val="18"/>
          <w:szCs w:val="18"/>
          <w:color w:val="auto"/>
        </w:rPr>
        <w:t>such exchanges may reduce the amount of tax that the Company would otherwise be required to pay in the future. This tax basis may also decrease the gains (or increase the losses) on future dispositions of certain assets to the extent tax basis is allocated to those assets. Certain individuals who continue to own interests in Rani LLC but do not hold shares of the Company’s Class B common stock can exchange their Class A Units for 1,545,811 shares of the Company’s Class A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9"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The Company has incurred recurring losses since its inception, including net losses of $39.8 million for the nine months ended September 30, 2021, of which $3.1 million was attributable to Rani Therapeutics Holdings, Inc. for the nine months ended September 30, 2021. As of September 30, 2021, the Company had an accumulated deficit of $3.1 million and for the nine months ended September 30, 2021 had negative cash flows from operations of $20.8 million. The Company expects to continue to generate operating losses and negative operating cash flows for the foreseeable future as it continues to develop the RaniPill capsule. The Company expects that its cash and cash equivalents of $129.7 million as of September 30, 2021 will be sufficient to fund its operations through at least one year from the date the condensed consolidated financial statements are issued.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3" w:lineRule="exact"/>
        <w:rPr>
          <w:sz w:val="20"/>
          <w:szCs w:val="20"/>
          <w:color w:val="auto"/>
        </w:rPr>
      </w:pPr>
    </w:p>
    <w:p>
      <w:pPr>
        <w:ind w:right="60" w:firstLine="1018"/>
        <w:spacing w:after="0" w:line="303" w:lineRule="auto"/>
        <w:rPr>
          <w:sz w:val="20"/>
          <w:szCs w:val="20"/>
          <w:color w:val="auto"/>
        </w:rPr>
      </w:pPr>
      <w:r>
        <w:rPr>
          <w:rFonts w:ascii="Arial" w:cs="Arial" w:eastAsia="Arial" w:hAnsi="Arial"/>
          <w:sz w:val="17"/>
          <w:szCs w:val="17"/>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ind w:right="280" w:firstLine="1018"/>
        <w:spacing w:after="0" w:line="293"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w:t>
      </w:r>
    </w:p>
    <w:p>
      <w:pPr>
        <w:spacing w:after="0" w:line="170" w:lineRule="exact"/>
        <w:rPr>
          <w:sz w:val="20"/>
          <w:szCs w:val="20"/>
          <w:color w:val="auto"/>
        </w:rPr>
      </w:pPr>
    </w:p>
    <w:p>
      <w:pPr>
        <w:ind w:firstLine="1018"/>
        <w:spacing w:after="0" w:line="319" w:lineRule="auto"/>
        <w:rPr>
          <w:sz w:val="20"/>
          <w:szCs w:val="20"/>
          <w:color w:val="auto"/>
        </w:rPr>
      </w:pPr>
      <w:r>
        <w:rPr>
          <w:rFonts w:ascii="Arial" w:cs="Arial" w:eastAsia="Arial" w:hAnsi="Arial"/>
          <w:sz w:val="16"/>
          <w:szCs w:val="16"/>
          <w:color w:val="auto"/>
        </w:rPr>
        <w:t>The Company operates and controls all of the business and affairs of Rani LLC, and through Rani LLC and its subsidiary,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56" w:lineRule="exact"/>
        <w:rPr>
          <w:sz w:val="20"/>
          <w:szCs w:val="20"/>
          <w:color w:val="auto"/>
        </w:rPr>
      </w:pPr>
    </w:p>
    <w:p>
      <w:pPr>
        <w:ind w:right="220" w:firstLine="1018"/>
        <w:spacing w:after="0" w:line="279" w:lineRule="auto"/>
        <w:rPr>
          <w:sz w:val="20"/>
          <w:szCs w:val="20"/>
          <w:color w:val="auto"/>
        </w:rPr>
      </w:pPr>
      <w:r>
        <w:rPr>
          <w:rFonts w:ascii="Arial" w:cs="Arial" w:eastAsia="Arial" w:hAnsi="Arial"/>
          <w:sz w:val="18"/>
          <w:szCs w:val="18"/>
          <w:color w:val="auto"/>
        </w:rPr>
        <w:t>The Organizational Transactions were considered transactions between entities under common control. As a result, the condensed consolidated financial statements for periods prior to the IPO and the Organizational Transactions have been adjusted to combine the previously separate entities for presentation purposes.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39"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our operations and cash flows for interim periods in accordance with U.S. GAAP. All such adjustments are of a normal, recurring nature. Operating results for the three and nine months ended September 30, 2021 are not necessarily indicative of the results that may be expected for the year ending December 31, 2021 or for any future period.</w:t>
      </w:r>
    </w:p>
    <w:p>
      <w:pPr>
        <w:spacing w:after="0" w:line="163" w:lineRule="exact"/>
        <w:rPr>
          <w:sz w:val="20"/>
          <w:szCs w:val="20"/>
          <w:color w:val="auto"/>
        </w:rPr>
      </w:pPr>
    </w:p>
    <w:p>
      <w:pPr>
        <w:ind w:right="160" w:firstLine="1018"/>
        <w:spacing w:after="0" w:line="319" w:lineRule="auto"/>
        <w:rPr>
          <w:sz w:val="20"/>
          <w:szCs w:val="20"/>
          <w:color w:val="auto"/>
        </w:rPr>
      </w:pPr>
      <w:r>
        <w:rPr>
          <w:rFonts w:ascii="Arial" w:cs="Arial" w:eastAsia="Arial" w:hAnsi="Arial"/>
          <w:sz w:val="16"/>
          <w:szCs w:val="16"/>
          <w:color w:val="auto"/>
        </w:rPr>
        <w:t>The consolidated balance sheet as of December 31, 2020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financial statements should be read in conjunction with the Company’s audited consolidated financial statements included in the Company's Registration Statement on Form S-1 (No. 333-257809) filed with the SEC.</w:t>
      </w:r>
    </w:p>
    <w:p>
      <w:pPr>
        <w:spacing w:after="0" w:line="16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39" w:lineRule="exact"/>
        <w:rPr>
          <w:sz w:val="20"/>
          <w:szCs w:val="20"/>
          <w:color w:val="auto"/>
        </w:rPr>
      </w:pPr>
    </w:p>
    <w:p>
      <w:pPr>
        <w:ind w:right="140" w:firstLine="1018"/>
        <w:spacing w:after="0" w:line="292" w:lineRule="auto"/>
        <w:rPr>
          <w:sz w:val="20"/>
          <w:szCs w:val="20"/>
          <w:color w:val="auto"/>
        </w:rPr>
      </w:pPr>
      <w:r>
        <w:rPr>
          <w:rFonts w:ascii="Arial" w:cs="Arial" w:eastAsia="Arial" w:hAnsi="Arial"/>
          <w:sz w:val="17"/>
          <w:szCs w:val="17"/>
          <w:color w:val="auto"/>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right="220" w:firstLine="1018"/>
        <w:spacing w:after="0" w:line="309"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Estimates include, but are not limited to, revenue recognition, recovery of long-lived assets, equity-based compensation, accrued research and development costs and the fair value of Profits Interests and preferred unit warrants. Actual results may differ materially and adversely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440" w:firstLine="1018"/>
        <w:spacing w:after="0" w:line="293" w:lineRule="auto"/>
        <w:rPr>
          <w:sz w:val="20"/>
          <w:szCs w:val="20"/>
          <w:color w:val="auto"/>
        </w:rPr>
      </w:pPr>
      <w:r>
        <w:rPr>
          <w:rFonts w:ascii="Arial" w:cs="Arial" w:eastAsia="Arial" w:hAnsi="Arial"/>
          <w:sz w:val="18"/>
          <w:szCs w:val="18"/>
          <w:color w:val="auto"/>
        </w:rPr>
        <w:t>The Company enters into evaluation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right="40" w:firstLine="1018"/>
        <w:spacing w:after="0" w:line="272"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91"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8" w:lineRule="exact"/>
        <w:rPr>
          <w:sz w:val="20"/>
          <w:szCs w:val="20"/>
          <w:color w:val="auto"/>
        </w:rPr>
      </w:pPr>
    </w:p>
    <w:p>
      <w:pPr>
        <w:ind w:firstLine="1018"/>
        <w:spacing w:after="0" w:line="308" w:lineRule="auto"/>
        <w:rPr>
          <w:sz w:val="20"/>
          <w:szCs w:val="20"/>
          <w:color w:val="auto"/>
        </w:rPr>
      </w:pPr>
      <w:r>
        <w:rPr>
          <w:rFonts w:ascii="Arial" w:cs="Arial" w:eastAsia="Arial" w:hAnsi="Arial"/>
          <w:sz w:val="16"/>
          <w:szCs w:val="16"/>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63"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ind w:right="180"/>
        <w:spacing w:after="0" w:line="293" w:lineRule="auto"/>
        <w:rPr>
          <w:sz w:val="20"/>
          <w:szCs w:val="20"/>
          <w:color w:val="auto"/>
        </w:rPr>
      </w:pPr>
      <w:r>
        <w:rPr>
          <w:rFonts w:ascii="Arial" w:cs="Arial" w:eastAsia="Arial" w:hAnsi="Arial"/>
          <w:sz w:val="18"/>
          <w:szCs w:val="18"/>
          <w:color w:val="auto"/>
        </w:rPr>
        <w:t>estimates are based on the Company’s reasonable assumptions and its historical experience. Actual results may differ materially and adversely from these estimates.</w:t>
      </w:r>
    </w:p>
    <w:p>
      <w:pPr>
        <w:spacing w:after="0" w:line="170"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3" w:lineRule="exact"/>
        <w:rPr>
          <w:sz w:val="20"/>
          <w:szCs w:val="20"/>
          <w:color w:val="auto"/>
        </w:rPr>
      </w:pPr>
    </w:p>
    <w:p>
      <w:pPr>
        <w:ind w:right="120" w:firstLine="1018"/>
        <w:spacing w:after="0" w:line="359"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a contract receivable when it has an unconditional right to consideration. No contract assets balance was recorded as of September 30, 2021 or December 31, 2020.</w:t>
      </w:r>
    </w:p>
    <w:p>
      <w:pPr>
        <w:spacing w:after="0" w:line="125" w:lineRule="exact"/>
        <w:rPr>
          <w:sz w:val="20"/>
          <w:szCs w:val="20"/>
          <w:color w:val="auto"/>
        </w:rPr>
      </w:pPr>
    </w:p>
    <w:p>
      <w:pPr>
        <w:ind w:right="280" w:firstLine="1018"/>
        <w:spacing w:after="0" w:line="27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2020 the Company had deferred revenue of $2.7 million. There was no deferred revenue as of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39" w:lineRule="exact"/>
        <w:rPr>
          <w:sz w:val="20"/>
          <w:szCs w:val="20"/>
          <w:color w:val="auto"/>
        </w:rPr>
      </w:pPr>
    </w:p>
    <w:p>
      <w:pPr>
        <w:ind w:firstLine="1018"/>
        <w:spacing w:after="0" w:line="31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56"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impacted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condensed consolidated financial statements.</w:t>
      </w:r>
    </w:p>
    <w:p>
      <w:pPr>
        <w:spacing w:after="0" w:line="182" w:lineRule="exact"/>
        <w:rPr>
          <w:sz w:val="20"/>
          <w:szCs w:val="20"/>
          <w:color w:val="auto"/>
        </w:rPr>
      </w:pPr>
    </w:p>
    <w:p>
      <w:pPr>
        <w:ind w:right="60" w:firstLine="1018"/>
        <w:spacing w:after="0" w:line="287"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80" w:firstLine="1018"/>
        <w:spacing w:after="0" w:line="27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9" w:lineRule="exact"/>
        <w:rPr>
          <w:sz w:val="20"/>
          <w:szCs w:val="20"/>
          <w:color w:val="auto"/>
        </w:rPr>
      </w:pPr>
    </w:p>
    <w:p>
      <w:pPr>
        <w:ind w:left="1020" w:right="40"/>
        <w:spacing w:after="0" w:line="266"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1020" w:right="280"/>
        <w:spacing w:after="0" w:line="293"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right="60" w:firstLine="1018"/>
        <w:spacing w:after="0" w:line="279"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approximated its carrying value based on borrowing rates currently available to the Company for debt with similar terms and maturities (Level 2 inputs).</w:t>
      </w:r>
    </w:p>
    <w:p>
      <w:pPr>
        <w:spacing w:after="0" w:line="183" w:lineRule="exact"/>
        <w:rPr>
          <w:sz w:val="20"/>
          <w:szCs w:val="20"/>
          <w:color w:val="auto"/>
        </w:rPr>
      </w:pPr>
    </w:p>
    <w:p>
      <w:pPr>
        <w:ind w:right="120" w:firstLine="1018"/>
        <w:spacing w:after="0" w:line="275"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(Note 3). A financial instrument’s level within the fair value hierarchy is based on the lowest level of any input that is significant to the fair value of the instrument.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9" w:lineRule="exact"/>
        <w:rPr>
          <w:sz w:val="20"/>
          <w:szCs w:val="20"/>
          <w:color w:val="auto"/>
        </w:rPr>
      </w:pPr>
    </w:p>
    <w:p>
      <w:pPr>
        <w:ind w:right="100" w:firstLine="1018"/>
        <w:spacing w:after="0" w:line="288"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81"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8"/>
          <w:szCs w:val="18"/>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9"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employee RSA's is determined based on the estimated fair value of the Company’s Class A common stock on the grant date and is subject to the Company's reacquisition right which is accounted for as a forfeiture provision (Note 9).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condensed consolidated statements of operations and comprehensive loss based on the function to which the related services are provided.</w:t>
      </w:r>
    </w:p>
    <w:p>
      <w:pPr>
        <w:spacing w:after="0" w:line="182"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The Company determines the grant-date fair value of options to purchase common shares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Unit-Based Compensation</w:t>
      </w:r>
    </w:p>
    <w:p>
      <w:pPr>
        <w:spacing w:after="0" w:line="239"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Prior to the IPO, Rani LLC had granted equity-based awards to employees, Board Managers and nonemployees, including ICL employees and consultants, in the form of non-vested incentive units (“Profits Interests”) and/or options to purchase common units. All awards of Profits Interests and options to purchase common units were measured based on the estimated fair value of the award on the date of grant. Forfeitures were recognized when they occurred. All of the Profits Interests were subject to service and performance-based conditions and the Company evaluated the probability of achieving each performance-based condition at each</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300"/>
        <w:spacing w:after="0" w:line="275" w:lineRule="auto"/>
        <w:rPr>
          <w:sz w:val="20"/>
          <w:szCs w:val="20"/>
          <w:color w:val="auto"/>
        </w:rPr>
      </w:pPr>
      <w:r>
        <w:rPr>
          <w:rFonts w:ascii="Arial" w:cs="Arial" w:eastAsia="Arial" w:hAnsi="Arial"/>
          <w:sz w:val="18"/>
          <w:szCs w:val="18"/>
          <w:color w:val="auto"/>
        </w:rPr>
        <w:t>reporting date and recognized equity-based compensation expense for employee and consultant awards and distributions of equity for ICL employee awards in the condensed consolidated financial statements when it was deemed probable that the performance-based condition would be met using the accelerated attribution method over the requisite service period. The options to purchase common units were subject to service conditions and generally vested over three or four years.</w:t>
      </w:r>
    </w:p>
    <w:p>
      <w:pPr>
        <w:spacing w:after="0" w:line="185"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 xml:space="preserve">The Company utilized estimates and assumptions in determining the fair value of its Profits Interests and options to purchase common units on the date of grant. The Company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 Held Company Equity Securities Issued as Compensation</w:t>
      </w:r>
      <w:r>
        <w:rPr>
          <w:rFonts w:ascii="Arial" w:cs="Arial" w:eastAsia="Arial" w:hAnsi="Arial"/>
          <w:sz w:val="17"/>
          <w:szCs w:val="17"/>
          <w:color w:val="auto"/>
        </w:rPr>
        <w:t>, to estimate the fair value of its preferred units, common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ind w:right="20" w:firstLine="1063"/>
        <w:spacing w:after="0" w:line="272" w:lineRule="auto"/>
        <w:rPr>
          <w:sz w:val="20"/>
          <w:szCs w:val="20"/>
          <w:color w:val="auto"/>
        </w:rPr>
      </w:pPr>
      <w:r>
        <w:rPr>
          <w:rFonts w:ascii="Arial" w:cs="Arial" w:eastAsia="Arial" w:hAnsi="Arial"/>
          <w:sz w:val="18"/>
          <w:szCs w:val="18"/>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and (b) payments under the TRA and (ii) certain other benefits arising from payments under the TRA (collectively the “Tax Attributes”).</w:t>
      </w:r>
    </w:p>
    <w:p>
      <w:pPr>
        <w:spacing w:after="0" w:line="191" w:lineRule="exact"/>
        <w:rPr>
          <w:sz w:val="20"/>
          <w:szCs w:val="20"/>
          <w:color w:val="auto"/>
        </w:rPr>
      </w:pPr>
    </w:p>
    <w:p>
      <w:pPr>
        <w:ind w:right="20" w:firstLine="1018"/>
        <w:spacing w:after="0" w:line="296" w:lineRule="auto"/>
        <w:rPr>
          <w:sz w:val="20"/>
          <w:szCs w:val="20"/>
          <w:color w:val="auto"/>
        </w:rPr>
      </w:pPr>
      <w:r>
        <w:rPr>
          <w:rFonts w:ascii="Arial" w:cs="Arial" w:eastAsia="Arial" w:hAnsi="Arial"/>
          <w:sz w:val="17"/>
          <w:szCs w:val="17"/>
          <w:color w:val="auto"/>
        </w:rPr>
        <w:t>A liability for the payable to parties subject to the TRA, and a reduction to stockholders’ equity, is accrued when (i) an exchange of a Paired Interest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 exchanges of Paired Interests had occurred through September 30, 2021 and therefore no liability had been accrued for the TRA.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9" w:lineRule="exact"/>
        <w:rPr>
          <w:sz w:val="20"/>
          <w:szCs w:val="20"/>
          <w:color w:val="auto"/>
        </w:rPr>
      </w:pPr>
    </w:p>
    <w:p>
      <w:pPr>
        <w:jc w:val="both"/>
        <w:ind w:right="300" w:firstLine="1018"/>
        <w:spacing w:after="0" w:line="279"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Class A Common Share Attributable to Rani Therapeutics Holdings, Inc.</w:t>
      </w:r>
    </w:p>
    <w:p>
      <w:pPr>
        <w:spacing w:after="0" w:line="239" w:lineRule="exact"/>
        <w:rPr>
          <w:sz w:val="20"/>
          <w:szCs w:val="20"/>
          <w:color w:val="auto"/>
        </w:rPr>
      </w:pPr>
    </w:p>
    <w:p>
      <w:pPr>
        <w:ind w:right="60" w:firstLine="1018"/>
        <w:spacing w:after="0" w:line="306" w:lineRule="auto"/>
        <w:rPr>
          <w:sz w:val="20"/>
          <w:szCs w:val="20"/>
          <w:color w:val="auto"/>
        </w:rPr>
      </w:pPr>
      <w:r>
        <w:rPr>
          <w:rFonts w:ascii="Arial" w:cs="Arial" w:eastAsia="Arial" w:hAnsi="Arial"/>
          <w:sz w:val="16"/>
          <w:szCs w:val="16"/>
          <w:color w:val="auto"/>
        </w:rPr>
        <w:t>Basic net loss per Class A common share attributable to Rani Therapeutics Holdings, Inc.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 Net loss per share is not presented for the three and nine months ended September 30, 2020 as the Company did not have any economic interests prior to the date of the IPO and Organizational Transactions through which it was given ownership in Rani LLC. Losses prior to the IPO and Organizational Transactions would have been allocated to the original members of Rani LLC. The basic and diluted net loss per Class A common share attributable to Rani Therapeutics Holdings, Inc. for the three and nine-months ended September 30, 2021 is applicable only for the period from August 4, 2021 to September 30, 2021, which is the period following the IPO and Organizational Transactions and represents the period that the Company had Class A common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39" w:lineRule="exact"/>
        <w:rPr>
          <w:sz w:val="20"/>
          <w:szCs w:val="20"/>
          <w:color w:val="auto"/>
        </w:rPr>
      </w:pPr>
    </w:p>
    <w:p>
      <w:pPr>
        <w:ind w:right="200" w:firstLine="1018"/>
        <w:spacing w:after="0" w:line="293"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our consolidated subsidiary that is not allocable to the Company based on the Company's percentage of ownership of Rani LLC.</w:t>
      </w:r>
    </w:p>
    <w:p>
      <w:pPr>
        <w:spacing w:after="0" w:line="170" w:lineRule="exact"/>
        <w:rPr>
          <w:sz w:val="20"/>
          <w:szCs w:val="20"/>
          <w:color w:val="auto"/>
        </w:rPr>
      </w:pPr>
    </w:p>
    <w:p>
      <w:pPr>
        <w:ind w:right="100" w:firstLine="1018"/>
        <w:spacing w:after="0" w:line="266" w:lineRule="auto"/>
        <w:rPr>
          <w:sz w:val="20"/>
          <w:szCs w:val="20"/>
          <w:color w:val="auto"/>
        </w:rPr>
      </w:pPr>
      <w:r>
        <w:rPr>
          <w:rFonts w:ascii="Arial" w:cs="Arial" w:eastAsia="Arial" w:hAnsi="Arial"/>
          <w:sz w:val="18"/>
          <w:szCs w:val="18"/>
          <w:color w:val="auto"/>
        </w:rPr>
        <w:t>In August 2021, based on the Organizational Transactions, the Company became the sole managing member of Rani LLC. As of September 30, 2021, the Company held approximately 39% of the Class A Units of Rani LLC, and approximately 61% of the outstanding Class A Units of Rani LLC are held by the Continuing LLC Owners. Therefore, the Company reports NCI based on the Class A Units of Rani LLC held by the Continuing LLC Owners on its condensed consolidated balance sheet as of September 30, 2021. Income or loss attributed to the NCI in Rani LLC is based on the Class A Units outstanding during the period for which the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income or loss is generated and is presented on the condensed consolidated statements of operations and comprehensive income or loss.</w:t>
      </w:r>
    </w:p>
    <w:p>
      <w:pPr>
        <w:spacing w:after="0" w:line="239"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8"/>
          <w:szCs w:val="18"/>
          <w:color w:val="auto"/>
        </w:rPr>
        <w:t>Future exchanges of Paired Interests will result in a change in ownership and reduce or increase the amount recorded as NCI and increase or decrease additional paid-in-capital when Rani LLC has positive or negative net assets, respectively. From the date of the Organizational Transactions to September 30, 2021, there were no exchanges of Paired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39" w:lineRule="exact"/>
        <w:rPr>
          <w:sz w:val="20"/>
          <w:szCs w:val="20"/>
          <w:color w:val="auto"/>
        </w:rPr>
      </w:pPr>
    </w:p>
    <w:p>
      <w:pPr>
        <w:ind w:right="20" w:firstLine="1018"/>
        <w:spacing w:after="0" w:line="285" w:lineRule="auto"/>
        <w:rPr>
          <w:sz w:val="20"/>
          <w:szCs w:val="20"/>
          <w:color w:val="auto"/>
        </w:rPr>
      </w:pPr>
      <w:r>
        <w:rPr>
          <w:rFonts w:ascii="Arial" w:cs="Arial" w:eastAsia="Arial" w:hAnsi="Arial"/>
          <w:sz w:val="17"/>
          <w:szCs w:val="17"/>
          <w:color w:val="auto"/>
        </w:rPr>
        <w:t xml:space="preserve">In February 2016, the Financial Accounting Standards Board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Topic 842 requires companies that lease assets to recognize on the condensed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condensed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condensed consolidated financial statements but does expect the adoption of Topic 842 will have a material impact on the Company’s consolidated financial statements and related notes to the recognition of right of use (“ROU”) assets and lease liabilities on the Company’s consolidated balance sheets, but it will not have a material impact on the Company’s consolidated statement of income. The adoption of Topic 842 will also result in enhanced disclosures.</w:t>
      </w:r>
    </w:p>
    <w:p>
      <w:pPr>
        <w:spacing w:after="0" w:line="179" w:lineRule="exact"/>
        <w:rPr>
          <w:sz w:val="20"/>
          <w:szCs w:val="20"/>
          <w:color w:val="auto"/>
        </w:rPr>
      </w:pPr>
    </w:p>
    <w:p>
      <w:pPr>
        <w:ind w:firstLine="1018"/>
        <w:spacing w:after="0" w:line="30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3" w:lineRule="exact"/>
        <w:rPr>
          <w:sz w:val="20"/>
          <w:szCs w:val="20"/>
          <w:color w:val="auto"/>
        </w:rPr>
      </w:pPr>
    </w:p>
    <w:p>
      <w:pPr>
        <w:ind w:right="140" w:firstLine="1018"/>
        <w:spacing w:after="0" w:line="29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3"/>
              </w:rPr>
              <w:t>As of September 30, 2021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r>
      <w:tr>
        <w:trPr>
          <w:trHeight w:val="25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126,363</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5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126,363</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40"/>
        </w:trPr>
        <w:tc>
          <w:tcPr>
            <w:tcW w:w="5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4"/>
              </w:rPr>
              <w:t>As of December 31, 2020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r>
      <w:tr>
        <w:trPr>
          <w:trHeight w:val="25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71,666</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71,666</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r>
      <w:tr>
        <w:trPr>
          <w:trHeight w:val="237"/>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57"/>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Preferred unit warrant liability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10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-1508125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-1490980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-1508125</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-1490980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-1508125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-1490980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-548005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-530860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-548005</wp:posOffset>
            </wp:positionV>
            <wp:extent cx="1200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-530860</wp:posOffset>
            </wp:positionV>
            <wp:extent cx="1200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-548005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-530860</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-193675</wp:posOffset>
            </wp:positionV>
            <wp:extent cx="1371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-193675</wp:posOffset>
            </wp:positionV>
            <wp:extent cx="1200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-193675</wp:posOffset>
            </wp:positionV>
            <wp:extent cx="514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financial liabilities measured at fair value on a recurring basis as of September 30, 2021.</w:t>
      </w:r>
    </w:p>
    <w:p>
      <w:pPr>
        <w:spacing w:after="0" w:line="252" w:lineRule="exact"/>
        <w:rPr>
          <w:sz w:val="20"/>
          <w:szCs w:val="20"/>
          <w:color w:val="auto"/>
        </w:rPr>
      </w:pPr>
    </w:p>
    <w:p>
      <w:pPr>
        <w:jc w:val="both"/>
        <w:ind w:right="280" w:firstLine="1018"/>
        <w:spacing w:after="0" w:line="266"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102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52" w:lineRule="exact"/>
        <w:rPr>
          <w:sz w:val="20"/>
          <w:szCs w:val="20"/>
          <w:color w:val="auto"/>
        </w:rPr>
      </w:pPr>
    </w:p>
    <w:p>
      <w:pPr>
        <w:ind w:right="120" w:firstLine="1018"/>
        <w:spacing w:after="0" w:line="359" w:lineRule="auto"/>
        <w:rPr>
          <w:sz w:val="20"/>
          <w:szCs w:val="20"/>
          <w:color w:val="auto"/>
        </w:rPr>
      </w:pPr>
      <w:r>
        <w:rPr>
          <w:rFonts w:ascii="Arial" w:cs="Arial" w:eastAsia="Arial" w:hAnsi="Arial"/>
          <w:sz w:val="16"/>
          <w:szCs w:val="16"/>
          <w:color w:val="auto"/>
        </w:rPr>
        <w:t>The Company held a Level 3 liability associated with preferred unit warrants that were issued in conjunction with a loan and security Agreement (Note 11). These preferred unit warrants were settled with Class A common stock as part of the IPO and Organizational Transactions (Note 7).</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900" w:type="dxa"/>
            <w:vAlign w:val="bottom"/>
            <w:gridSpan w:val="5"/>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90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4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660" w:type="dxa"/>
            <w:vAlign w:val="bottom"/>
            <w:shd w:val="clear" w:color="auto" w:fill="CFF0FC"/>
          </w:tcPr>
          <w:p>
            <w:pPr>
              <w:jc w:val="right"/>
              <w:ind w:right="48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606</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FF0FC"/>
          </w:tcPr>
          <w:p>
            <w:pPr>
              <w:jc w:val="right"/>
              <w:ind w:right="3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320</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Change in estimated fair value of Series B warrants</w:t>
            </w:r>
          </w:p>
        </w:tc>
        <w:tc>
          <w:tcPr>
            <w:tcW w:w="6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2"/>
                <w:szCs w:val="22"/>
                <w:color w:val="auto"/>
              </w:rPr>
            </w:pPr>
          </w:p>
        </w:tc>
        <w:tc>
          <w:tcPr>
            <w:tcW w:w="4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estimated fair value of Series E warrants</w:t>
            </w:r>
          </w:p>
        </w:tc>
        <w:tc>
          <w:tcPr>
            <w:tcW w:w="66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371</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Expiration of Series B warrants</w:t>
            </w:r>
          </w:p>
        </w:tc>
        <w:tc>
          <w:tcPr>
            <w:tcW w:w="6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(671 )</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4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Settlement of Series E warrants</w:t>
            </w:r>
          </w:p>
        </w:tc>
        <w:tc>
          <w:tcPr>
            <w:tcW w:w="660" w:type="dxa"/>
            <w:vAlign w:val="bottom"/>
            <w:shd w:val="clear" w:color="auto" w:fill="CFF0FC"/>
          </w:tcPr>
          <w:p>
            <w:pPr>
              <w:spacing w:after="0"/>
              <w:rPr>
                <w:sz w:val="22"/>
                <w:szCs w:val="2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4"/>
              </w:rPr>
              <w:t>(691 )</w:t>
            </w: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80"/>
              </w:rPr>
              <w:t>(691 )</w:t>
            </w:r>
          </w:p>
        </w:tc>
        <w:tc>
          <w:tcPr>
            <w:tcW w:w="3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41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6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FF0FC"/>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Expenses</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542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20" w:type="dxa"/>
            <w:vAlign w:val="bottom"/>
            <w:gridSpan w:val="3"/>
          </w:tcPr>
          <w:p>
            <w:pPr>
              <w:ind w:left="1020"/>
              <w:spacing w:after="0"/>
              <w:rPr>
                <w:sz w:val="20"/>
                <w:szCs w:val="20"/>
                <w:color w:val="auto"/>
              </w:rPr>
            </w:pPr>
            <w:r>
              <w:rPr>
                <w:rFonts w:ascii="Arial" w:cs="Arial" w:eastAsia="Arial" w:hAnsi="Arial"/>
                <w:sz w:val="18"/>
                <w:szCs w:val="18"/>
                <w:color w:val="auto"/>
                <w:w w:val="95"/>
              </w:rPr>
              <w:t>Accrued expenses consist of the following (in thousands):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5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6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Payroll and related</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IPO issuance costs</w:t>
            </w:r>
          </w:p>
        </w:tc>
        <w:tc>
          <w:tcPr>
            <w:tcW w:w="6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accrued expenses</w:t>
            </w:r>
          </w:p>
        </w:tc>
        <w:tc>
          <w:tcPr>
            <w:tcW w:w="6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3,649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-2087880</wp:posOffset>
            </wp:positionV>
            <wp:extent cx="1460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-2087880</wp:posOffset>
            </wp:positionV>
            <wp:extent cx="10287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-2087880</wp:posOffset>
            </wp:positionV>
            <wp:extent cx="12890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-2087880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1460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1460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Evaluation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w:t>
      </w:r>
    </w:p>
    <w:p>
      <w:pPr>
        <w:spacing w:after="0" w:line="239"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 FVIII-RaniPill therapeutic. Takeda paid the Company up-front payments of $5.9 million upon execution of and subsequent modifications to the agreement. Upon the initial evaluation services being completed, Takeda had an option to pay the Company $3.0 million to perform later stage evaluation services. Takeda also had the ability to terminate the agreement at any time by providing 30 days written notice after the effective date of the agreement. Unless terminated early, the agreement term ended upon the expiration of the right of first negotiation period which is 120 days after the completion of the evaluation services. The Takeda agreement could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would terminate.</w:t>
      </w:r>
    </w:p>
    <w:p>
      <w:pPr>
        <w:spacing w:after="0" w:line="170"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8"/>
          <w:szCs w:val="18"/>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w:t>
      </w:r>
    </w:p>
    <w:p>
      <w:pPr>
        <w:spacing w:after="0" w:line="183"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80" w:firstLine="1018"/>
        <w:spacing w:after="0" w:line="271"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recognized its contract revenue based on actual costs incurred as a percentage of total estimated costs the Company expected to incur to deliver its performance obligation. These actual costs consisted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was recorded in the period in which changes were identified and amounts were reasonably estimable.</w:t>
      </w:r>
    </w:p>
    <w:p>
      <w:pPr>
        <w:spacing w:after="0" w:line="191" w:lineRule="exact"/>
        <w:rPr>
          <w:sz w:val="20"/>
          <w:szCs w:val="20"/>
          <w:color w:val="auto"/>
        </w:rPr>
      </w:pPr>
    </w:p>
    <w:p>
      <w:pPr>
        <w:ind w:right="100" w:firstLine="1018"/>
        <w:spacing w:after="0" w:line="303" w:lineRule="auto"/>
        <w:rPr>
          <w:sz w:val="20"/>
          <w:szCs w:val="20"/>
          <w:color w:val="auto"/>
        </w:rPr>
      </w:pPr>
      <w:r>
        <w:rPr>
          <w:rFonts w:ascii="Arial" w:cs="Arial" w:eastAsia="Arial" w:hAnsi="Arial"/>
          <w:sz w:val="17"/>
          <w:szCs w:val="17"/>
          <w:color w:val="auto"/>
        </w:rPr>
        <w:t xml:space="preserve">In May 2021, the Company received written notice from Takeda as to their intent to terminate the contract for convenience. </w:t>
      </w:r>
      <w:r>
        <w:rPr>
          <w:rFonts w:ascii="Arial" w:cs="Arial" w:eastAsia="Arial" w:hAnsi="Arial"/>
          <w:sz w:val="17"/>
          <w:szCs w:val="17"/>
          <w:color w:val="212529"/>
        </w:rPr>
        <w:t>Due to the</w:t>
      </w:r>
      <w:r>
        <w:rPr>
          <w:rFonts w:ascii="Arial" w:cs="Arial" w:eastAsia="Arial" w:hAnsi="Arial"/>
          <w:sz w:val="17"/>
          <w:szCs w:val="17"/>
          <w:color w:val="auto"/>
        </w:rPr>
        <w:t xml:space="preserve"> </w:t>
      </w:r>
      <w:r>
        <w:rPr>
          <w:rFonts w:ascii="Arial" w:cs="Arial" w:eastAsia="Arial" w:hAnsi="Arial"/>
          <w:sz w:val="17"/>
          <w:szCs w:val="17"/>
          <w:color w:val="212529"/>
        </w:rPr>
        <w:t>delivery of the termination notice, the Company determined that there were no further enforceable rights and obligations under the agreement beyond May 2021 and the remaining $2.0 million of deferred revenue was recognized during the nine months ended September 30, 2021</w:t>
      </w:r>
      <w:r>
        <w:rPr>
          <w:rFonts w:ascii="Arial" w:cs="Arial" w:eastAsia="Arial" w:hAnsi="Arial"/>
          <w:sz w:val="17"/>
          <w:szCs w:val="17"/>
          <w:color w:val="000000"/>
        </w:rPr>
        <w:t>.</w:t>
      </w:r>
    </w:p>
    <w:p>
      <w:pPr>
        <w:spacing w:after="0" w:line="164"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8"/>
          <w:szCs w:val="18"/>
          <w:color w:val="auto"/>
        </w:rPr>
        <w:t>For the three months ended September 30, 2021, no contract revenue related to the Takeda agreement was recognized. For the three months ended September 30, 2020, the Company recognized contract revenue related to the Takeda agreement of $0.1 million.</w:t>
      </w:r>
    </w:p>
    <w:p>
      <w:pPr>
        <w:spacing w:after="0" w:line="170" w:lineRule="exact"/>
        <w:rPr>
          <w:sz w:val="20"/>
          <w:szCs w:val="20"/>
          <w:color w:val="auto"/>
        </w:rPr>
      </w:pPr>
    </w:p>
    <w:p>
      <w:pPr>
        <w:ind w:right="80" w:firstLine="1018"/>
        <w:spacing w:after="0" w:line="329" w:lineRule="auto"/>
        <w:rPr>
          <w:sz w:val="20"/>
          <w:szCs w:val="20"/>
          <w:color w:val="auto"/>
        </w:rPr>
      </w:pPr>
      <w:r>
        <w:rPr>
          <w:rFonts w:ascii="Arial" w:cs="Arial" w:eastAsia="Arial" w:hAnsi="Arial"/>
          <w:sz w:val="16"/>
          <w:szCs w:val="16"/>
          <w:color w:val="auto"/>
        </w:rPr>
        <w:t>For the nine months ended September 30, 2021 and 2020, the Company recognized contract revenue related to the Takeda agreement of $2.7 million and $0.3 million, respectively. As of December 31, 2020, deferred revenue related to the remaining identified performance obligation for the Takeda agreement of $2.7 million was recorded on the condensed consolidated balance sheets. There was no deferred revenue as of September 30, 2021.</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49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r>
      <w:tr>
        <w:trPr>
          <w:trHeight w:val="25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Deductions</w:t>
            </w:r>
          </w:p>
        </w:tc>
        <w:tc>
          <w:tcPr>
            <w:tcW w:w="1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(2,717 )</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(462 )</w:t>
            </w:r>
          </w:p>
        </w:tc>
      </w:tr>
      <w:tr>
        <w:trPr>
          <w:trHeight w:val="250"/>
        </w:trPr>
        <w:tc>
          <w:tcPr>
            <w:tcW w:w="49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c>
          <w:tcPr>
            <w:tcW w:w="120" w:type="dxa"/>
            <w:vAlign w:val="bottom"/>
            <w:tcBorders>
              <w:top w:val="single" w:sz="8" w:color="CFF0FC"/>
            </w:tcBorders>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-193675</wp:posOffset>
            </wp:positionV>
            <wp:extent cx="1460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580" w:firstLine="1018"/>
        <w:spacing w:after="0" w:line="324" w:lineRule="auto"/>
        <w:rPr>
          <w:sz w:val="20"/>
          <w:szCs w:val="20"/>
          <w:color w:val="auto"/>
        </w:rPr>
      </w:pPr>
      <w:r>
        <w:rPr>
          <w:rFonts w:ascii="Arial" w:cs="Arial" w:eastAsia="Arial" w:hAnsi="Arial"/>
          <w:sz w:val="17"/>
          <w:szCs w:val="17"/>
          <w:color w:val="auto"/>
        </w:rPr>
        <w:t>There were no receivables or net contract assets recorded as of September 30, 2021 or December 31, 2020 associated with the Takeda agreement. The Company expensed all incremental costs of obtaining the Takeda agreements, as such amounts were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43" w:lineRule="exact"/>
        <w:rPr>
          <w:sz w:val="20"/>
          <w:szCs w:val="20"/>
          <w:color w:val="auto"/>
        </w:rPr>
      </w:pPr>
    </w:p>
    <w:p>
      <w:pPr>
        <w:jc w:val="both"/>
        <w:ind w:right="420" w:firstLine="1018"/>
        <w:spacing w:after="0" w:line="279" w:lineRule="auto"/>
        <w:rPr>
          <w:sz w:val="20"/>
          <w:szCs w:val="20"/>
          <w:color w:val="auto"/>
        </w:rPr>
      </w:pPr>
      <w:r>
        <w:rPr>
          <w:rFonts w:ascii="Arial" w:cs="Arial" w:eastAsia="Arial" w:hAnsi="Arial"/>
          <w:sz w:val="18"/>
          <w:szCs w:val="18"/>
          <w:color w:val="auto"/>
        </w:rPr>
        <w:t>ICL is wholly-owned by the Company’s founder and Executive Chairman and his family. The Company’s Chief Scientific Officer is the brother of the founder and Executive Chairman and uncle of the Company’s Chief Executive Officer. The founder and Executive Chairman is also the father of the Company’s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39"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In January 2019, the Company, through its subsidiary, entered into a one year service agreement with ICL. This agreement was amended in January 2020 to extend the period for an additional year and expired in December 2020. The Company is presently operating under a service agreement with ICL executed in June 2021, retroactive to January 1, 2021.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the Company as well as allocations of expenses based upon the Company’s utilization of ICL’s facilities and equipment.</w:t>
      </w:r>
    </w:p>
    <w:p>
      <w:pPr>
        <w:spacing w:after="0" w:line="192"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In June 2021, RMS entered into the RMS-ICL Service Agreement with ICL effective January 1, 2021 (the "RMS-ICL Service Agreement"), pursuant to which ICL agreed to rent a specified portion of its facility to RMS. Additionally, RMS and ICL agreed to provide personnel services to the other upon requests based on rates specified in the agreement. The RMS-ICL Service Agreement has a 12-month term and will automatically renew for successive 12-month periods unless terminated. For the nine months ended September 30, 2020 and 2021, RMS charged ICL $0.3 million and $0.5 million for services performed, respectively, and such amounts charged were recorded as a reduction to research and development expense in the condensed consolidated statement of operations and comprehensive loss.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100" w:firstLine="1018"/>
        <w:spacing w:after="0" w:line="293" w:lineRule="auto"/>
        <w:rPr>
          <w:sz w:val="20"/>
          <w:szCs w:val="20"/>
          <w:color w:val="auto"/>
        </w:rPr>
      </w:pPr>
      <w:r>
        <w:rPr>
          <w:rFonts w:ascii="Arial" w:cs="Arial" w:eastAsia="Arial" w:hAnsi="Arial"/>
          <w:sz w:val="18"/>
          <w:szCs w:val="18"/>
          <w:color w:val="auto"/>
        </w:rPr>
        <w:t>The table below details the amounts charged by ICL for services and rent, net of the amount that RMS charged ICL, which is included in the condensed consolidated statements of operations and comprehensive loss (in thousands):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238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2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12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(22 )</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8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22"/>
                <w:szCs w:val="22"/>
                <w:color w:val="auto"/>
              </w:rPr>
            </w:pP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1"/>
                <w:szCs w:val="21"/>
                <w:color w:val="auto"/>
              </w:rPr>
            </w:pPr>
          </w:p>
        </w:tc>
      </w:tr>
      <w:tr>
        <w:trPr>
          <w:trHeight w:val="290"/>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371</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893</w:t>
            </w:r>
          </w:p>
        </w:tc>
        <w:tc>
          <w:tcPr>
            <w:tcW w:w="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-25400</wp:posOffset>
            </wp:positionV>
            <wp:extent cx="1543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154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171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1714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480" w:firstLine="1018"/>
        <w:spacing w:after="0" w:line="324"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the employees, including the Company’s named executive officers, who satisfy certain eligibility requirements.</w:t>
      </w:r>
    </w:p>
    <w:p>
      <w:pPr>
        <w:spacing w:after="0" w:line="147" w:lineRule="exact"/>
        <w:rPr>
          <w:sz w:val="20"/>
          <w:szCs w:val="20"/>
          <w:color w:val="auto"/>
        </w:rPr>
      </w:pPr>
    </w:p>
    <w:p>
      <w:pPr>
        <w:ind w:right="340" w:firstLine="1018"/>
        <w:spacing w:after="0" w:line="293" w:lineRule="auto"/>
        <w:rPr>
          <w:sz w:val="20"/>
          <w:szCs w:val="20"/>
          <w:color w:val="auto"/>
        </w:rPr>
      </w:pPr>
      <w:r>
        <w:rPr>
          <w:rFonts w:ascii="Arial" w:cs="Arial" w:eastAsia="Arial" w:hAnsi="Arial"/>
          <w:sz w:val="18"/>
          <w:szCs w:val="18"/>
          <w:color w:val="auto"/>
        </w:rPr>
        <w:t>As of September 30, 2021, all of the Company's facilities are owned by an entity affiliated with the Company’s Executive Chairman. The Company pays for the use of these facilities through the services agreement with ICL.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39"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right="20" w:firstLine="1018"/>
        <w:spacing w:after="0" w:line="303" w:lineRule="auto"/>
        <w:rPr>
          <w:sz w:val="20"/>
          <w:szCs w:val="20"/>
          <w:color w:val="auto"/>
        </w:rPr>
      </w:pPr>
      <w:r>
        <w:rPr>
          <w:rFonts w:ascii="Arial" w:cs="Arial" w:eastAsia="Arial" w:hAnsi="Arial"/>
          <w:sz w:val="17"/>
          <w:szCs w:val="17"/>
          <w:color w:val="auto"/>
        </w:rPr>
        <w:t>In June 2017, the Company converted the outstanding net advances of $6.6 million to ICL into three notes receivable. The notes provide for interest at 1.97% compounded annually, loan fees of 2.75% and are payable upon demand to the Company any time after January 1, 2024. During 2020, the Company received $0.2 million in payments for interest and repayment of principal on the remaining notes receivable.</w:t>
      </w:r>
    </w:p>
    <w:p>
      <w:pPr>
        <w:spacing w:after="0" w:line="164" w:lineRule="exact"/>
        <w:rPr>
          <w:sz w:val="20"/>
          <w:szCs w:val="20"/>
          <w:color w:val="auto"/>
        </w:rPr>
      </w:pPr>
    </w:p>
    <w:p>
      <w:pPr>
        <w:ind w:right="260" w:firstLine="1018"/>
        <w:spacing w:after="0" w:line="293" w:lineRule="auto"/>
        <w:rPr>
          <w:sz w:val="20"/>
          <w:szCs w:val="20"/>
          <w:color w:val="auto"/>
        </w:rPr>
      </w:pPr>
      <w:r>
        <w:rPr>
          <w:rFonts w:ascii="Arial" w:cs="Arial" w:eastAsia="Arial" w:hAnsi="Arial"/>
          <w:sz w:val="18"/>
          <w:szCs w:val="18"/>
          <w:color w:val="auto"/>
        </w:rPr>
        <w:t>As of December 31, 2020, $1.7 million of the notes receivable was outstanding. In March 2021, the outstanding balance due, including all accrued interest, was fully repaid by ICL.</w:t>
      </w:r>
    </w:p>
    <w:p>
      <w:pPr>
        <w:spacing w:after="0" w:line="170"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(Note 7). This same entity also acquired 59,312 Series D units for $1.0 million in 2017.</w:t>
      </w:r>
    </w:p>
    <w:p>
      <w:pPr>
        <w:spacing w:after="0" w:line="183" w:lineRule="exact"/>
        <w:rPr>
          <w:sz w:val="20"/>
          <w:szCs w:val="20"/>
          <w:color w:val="auto"/>
        </w:rPr>
      </w:pPr>
    </w:p>
    <w:p>
      <w:pPr>
        <w:ind w:right="20" w:firstLine="1018"/>
        <w:spacing w:after="0" w:line="275" w:lineRule="auto"/>
        <w:rPr>
          <w:sz w:val="20"/>
          <w:szCs w:val="20"/>
          <w:color w:val="auto"/>
        </w:rPr>
      </w:pPr>
      <w:r>
        <w:rPr>
          <w:rFonts w:ascii="Arial" w:cs="Arial" w:eastAsia="Arial" w:hAnsi="Arial"/>
          <w:sz w:val="18"/>
          <w:szCs w:val="18"/>
          <w:color w:val="auto"/>
        </w:rPr>
        <w:t>During 2020 and 2021, South Lake One LLC, a related party of the Company, and its Affiliates purchased 7,880,120 Series E Preferred Units of Rani LLC at $7.1471 per unit. As part of the Organizational Transactions the Series E Preferred Units were exchanged for 5,277,729 shares of the Company's Class A common stock. In connection with the IPO and subsequent thereto, South Lake One LLC and its Affiliates purchased an additional 6,458,904 shares of the Company’s Class A common stock for total gross proceeds of $71.1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39"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1" w:lineRule="exact"/>
        <w:rPr>
          <w:sz w:val="20"/>
          <w:szCs w:val="20"/>
          <w:color w:val="auto"/>
        </w:rPr>
      </w:pPr>
    </w:p>
    <w:p>
      <w:pPr>
        <w:ind w:right="40" w:firstLine="1018"/>
        <w:spacing w:after="0" w:line="281" w:lineRule="auto"/>
        <w:rPr>
          <w:sz w:val="20"/>
          <w:szCs w:val="20"/>
          <w:color w:val="auto"/>
        </w:rPr>
      </w:pPr>
      <w:r>
        <w:rPr>
          <w:rFonts w:ascii="Arial" w:cs="Arial" w:eastAsia="Arial" w:hAnsi="Arial"/>
          <w:sz w:val="17"/>
          <w:szCs w:val="17"/>
          <w:color w:val="auto"/>
        </w:rPr>
        <w:t>In June 2021, ICL and the Company, through Rani LLC, entered into an Amended and Restated Exclusive License Agreement which replaces the 2012 Exclusive License Agreement, as amended in 2013, and terminates the Intellectual Property Agreement, as amended in June 2013. Under the Amended and Restated License Agreement, the Company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will cover patent-related expenses and, after a certain period, the Company will have the right to acquire four specified U.S. patent families from ICL by making a one-time payment of $0.3 million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right="60"/>
        <w:spacing w:after="0" w:line="293" w:lineRule="auto"/>
        <w:rPr>
          <w:sz w:val="20"/>
          <w:szCs w:val="20"/>
          <w:color w:val="auto"/>
        </w:rPr>
      </w:pPr>
      <w:r>
        <w:rPr>
          <w:rFonts w:ascii="Arial" w:cs="Arial" w:eastAsia="Arial" w:hAnsi="Arial"/>
          <w:sz w:val="18"/>
          <w:szCs w:val="18"/>
          <w:color w:val="auto"/>
        </w:rPr>
        <w:t>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39"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39" w:lineRule="exact"/>
        <w:rPr>
          <w:sz w:val="20"/>
          <w:szCs w:val="20"/>
          <w:color w:val="auto"/>
        </w:rPr>
      </w:pPr>
    </w:p>
    <w:p>
      <w:pPr>
        <w:ind w:right="60" w:firstLine="1018"/>
        <w:spacing w:after="0" w:line="290" w:lineRule="auto"/>
        <w:rPr>
          <w:sz w:val="20"/>
          <w:szCs w:val="20"/>
          <w:color w:val="auto"/>
        </w:rPr>
      </w:pPr>
      <w:r>
        <w:rPr>
          <w:rFonts w:ascii="Arial" w:cs="Arial" w:eastAsia="Arial" w:hAnsi="Arial"/>
          <w:sz w:val="17"/>
          <w:szCs w:val="17"/>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Services</w:t>
      </w:r>
    </w:p>
    <w:p>
      <w:pPr>
        <w:spacing w:after="0" w:line="239" w:lineRule="exact"/>
        <w:rPr>
          <w:sz w:val="20"/>
          <w:szCs w:val="20"/>
          <w:color w:val="auto"/>
        </w:rPr>
      </w:pPr>
    </w:p>
    <w:p>
      <w:pPr>
        <w:ind w:right="340" w:firstLine="1018"/>
        <w:spacing w:after="0" w:line="293"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39"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8"/>
          <w:szCs w:val="18"/>
          <w:color w:val="auto"/>
        </w:rPr>
        <w:t>In February 2021, one of the Company's named executive officer's and then member of the Board of Managers, and a current member of the Board of Managers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39" w:lineRule="exact"/>
        <w:rPr>
          <w:sz w:val="20"/>
          <w:szCs w:val="20"/>
          <w:color w:val="auto"/>
        </w:rPr>
      </w:pPr>
    </w:p>
    <w:p>
      <w:pPr>
        <w:ind w:right="160" w:firstLine="1063"/>
        <w:spacing w:after="0" w:line="271" w:lineRule="auto"/>
        <w:rPr>
          <w:sz w:val="20"/>
          <w:szCs w:val="20"/>
          <w:color w:val="auto"/>
        </w:rPr>
      </w:pPr>
      <w:r>
        <w:rPr>
          <w:rFonts w:ascii="Arial" w:cs="Arial" w:eastAsia="Arial" w:hAnsi="Arial"/>
          <w:sz w:val="18"/>
          <w:szCs w:val="18"/>
          <w:color w:val="auto"/>
        </w:rPr>
        <w:t>In connection with the IPO and Organizational Transactions, the Company effectuated an exchange of all outstanding Profits Interests into Class A Units including certain Profits Interests related to ICL and its affiliates ("ICL Holders"). Upon the IPO and Organizational Transactions, the performance condition was met for all Profits Interest no longer subject to a service based vesting condition resulting in the recognition of compensation cost associated with these awards (Note 9). ICL Holders of 919,282 Class A Units exchanged 854,807 such units for the Company's Class A common stock, the remaining 64,475 Class A Units of Rani LLC continue to be outstanding and are exchangeable for the Company's Class A common stock at the option of the ICL Holders.</w:t>
      </w:r>
    </w:p>
    <w:p>
      <w:pPr>
        <w:spacing w:after="0" w:line="191" w:lineRule="exact"/>
        <w:rPr>
          <w:sz w:val="20"/>
          <w:szCs w:val="20"/>
          <w:color w:val="auto"/>
        </w:rPr>
      </w:pPr>
    </w:p>
    <w:p>
      <w:pPr>
        <w:ind w:right="80" w:firstLine="1018"/>
        <w:spacing w:after="0" w:line="284" w:lineRule="auto"/>
        <w:rPr>
          <w:sz w:val="20"/>
          <w:szCs w:val="20"/>
          <w:color w:val="auto"/>
        </w:rPr>
      </w:pPr>
      <w:r>
        <w:rPr>
          <w:rFonts w:ascii="Arial" w:cs="Arial" w:eastAsia="Arial" w:hAnsi="Arial"/>
          <w:sz w:val="17"/>
          <w:szCs w:val="17"/>
          <w:color w:val="auto"/>
        </w:rPr>
        <w:t>The following table summarizes the components of equity-based compensation expense recorded in the condensed consolidated statement of operations and comprehensive loss related to awards granted to employees of ICL and its affiliates by the Company (in thousands):</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25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9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3,591</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3,591</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1289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128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128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289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111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160" w:firstLine="1018"/>
        <w:spacing w:after="0" w:line="279" w:lineRule="auto"/>
        <w:rPr>
          <w:sz w:val="20"/>
          <w:szCs w:val="20"/>
          <w:color w:val="auto"/>
        </w:rPr>
      </w:pPr>
      <w:r>
        <w:rPr>
          <w:rFonts w:ascii="Arial" w:cs="Arial" w:eastAsia="Arial" w:hAnsi="Arial"/>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39" w:lineRule="exact"/>
        <w:rPr>
          <w:sz w:val="20"/>
          <w:szCs w:val="20"/>
          <w:color w:val="auto"/>
        </w:rPr>
      </w:pPr>
    </w:p>
    <w:p>
      <w:pPr>
        <w:ind w:right="40" w:firstLine="1018"/>
        <w:spacing w:after="0" w:line="272" w:lineRule="auto"/>
        <w:rPr>
          <w:sz w:val="20"/>
          <w:szCs w:val="20"/>
          <w:color w:val="auto"/>
        </w:rPr>
      </w:pPr>
      <w:r>
        <w:rPr>
          <w:rFonts w:ascii="Arial" w:cs="Arial" w:eastAsia="Arial" w:hAnsi="Arial"/>
          <w:sz w:val="18"/>
          <w:szCs w:val="18"/>
          <w:color w:val="auto"/>
        </w:rPr>
        <w:t>In connection with the IPO, the Company entered into a Registration Rights Agreement. ICL is a party to this agreement. The Registration Rights Agreement provides certain registration rights whereby, at any time following the IPO and the expiration of any related lock-up period, ICL Holders with LLC Interests can require the Company to register under the Securities Act of 1933, as amended (the “Securities Act”) shares of Class A common stock issuable to such ICL Holders upon, at the Company’s election, redemption or exchange of their Paired Interests. The Registration Rights Agreement also provides for piggyback registration rights.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39" w:lineRule="exact"/>
        <w:rPr>
          <w:sz w:val="20"/>
          <w:szCs w:val="20"/>
          <w:color w:val="auto"/>
        </w:rPr>
      </w:pPr>
    </w:p>
    <w:p>
      <w:pPr>
        <w:ind w:right="80" w:firstLine="1018"/>
        <w:spacing w:after="0" w:line="311" w:lineRule="auto"/>
        <w:rPr>
          <w:sz w:val="20"/>
          <w:szCs w:val="20"/>
          <w:color w:val="auto"/>
        </w:rPr>
      </w:pPr>
      <w:r>
        <w:rPr>
          <w:rFonts w:ascii="Arial" w:cs="Arial" w:eastAsia="Arial" w:hAnsi="Arial"/>
          <w:sz w:val="16"/>
          <w:szCs w:val="16"/>
          <w:color w:val="auto"/>
        </w:rPr>
        <w:t>The Company operates its business through Rani LLC and its subsidiary. In connection with the IPO, the Company and the Continuing LLC Owners, including ICL, entered into the Rani LLC Agreement. The operations of Rani LLC, and the rights and obligations of the holders of LLC Interests, are set forth in the Rani LLC Agreement. As a Continuing LLC Owner, ICL is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No exchanges with ICL of Paired Interests occurred during the three and nine months ended September 30, 2021.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39" w:lineRule="exact"/>
        <w:rPr>
          <w:sz w:val="20"/>
          <w:szCs w:val="20"/>
          <w:color w:val="auto"/>
        </w:rPr>
      </w:pPr>
    </w:p>
    <w:p>
      <w:pPr>
        <w:ind w:firstLine="1018"/>
        <w:spacing w:after="0" w:line="290" w:lineRule="auto"/>
        <w:rPr>
          <w:sz w:val="20"/>
          <w:szCs w:val="20"/>
          <w:color w:val="auto"/>
        </w:rPr>
      </w:pPr>
      <w:r>
        <w:rPr>
          <w:rFonts w:ascii="Arial" w:cs="Arial" w:eastAsia="Arial" w:hAnsi="Arial"/>
          <w:sz w:val="17"/>
          <w:szCs w:val="17"/>
          <w:color w:val="auto"/>
        </w:rPr>
        <w:t>In September 2020, in conjunction with a loan and security Agreement (Note 11), the Company issued warrants to purchase up to 118,929 Series E preferred units. The Series E warrants were exercisable for a period of seven years from the grant date at an exercise price of $7.1471 per unit. In the event of a change of control or IPO, the Series E warrants were to automatically be exchanged for the same number of units of the Company’s securities for no consideration had the holder of the warrant elected to exercise the warrant immediately prior to a change in control or IPO. In conjunction with the IPO, all of the Series E warrants were ultimately settled for 62,887 shares of the Company's Class A common stock. At December 31, 2020 there were 118,929 Series E warrants outstanding. There were no Series E warrants outstanding at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39"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In 2017, in conjunction with the Series D convertible preferred unit financing, the Company issued 229,315 common unit warrants with an exercise price of $2.18 per unit and an exercise period of five years. The Company recorded the issuance-date fair value of the common warrants of $0.3 million in equity as the warrant met all criteria for equity classification. In January 2021, 6,000 common unit warrants were exercised at $2.18 per unit, and in July 2021 common unit warrants totaling 5,931 were exercised at $2.18 per unit. In connection with the IPO and Organizational Transactions, the remaining common warrants were net exercised for 71,867 Class A Units of Rani LLC of which 60,494 were then exchanged into shares of the Company's Class A common stock as part of the Organizational Transactions. At December 31, 2020, 229,315 common unit warrants were outstanding. There were no common unit warrants outstanding at September 30, 2021.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 Members’ Deficit</w:t>
      </w:r>
    </w:p>
    <w:p>
      <w:pPr>
        <w:spacing w:after="0" w:line="243" w:lineRule="exact"/>
        <w:rPr>
          <w:sz w:val="20"/>
          <w:szCs w:val="20"/>
          <w:color w:val="auto"/>
        </w:rPr>
      </w:pPr>
    </w:p>
    <w:p>
      <w:pPr>
        <w:ind w:right="260" w:firstLine="1018"/>
        <w:spacing w:after="0" w:line="272" w:lineRule="auto"/>
        <w:rPr>
          <w:sz w:val="20"/>
          <w:szCs w:val="20"/>
          <w:color w:val="auto"/>
        </w:rPr>
      </w:pPr>
      <w:r>
        <w:rPr>
          <w:rFonts w:ascii="Arial" w:cs="Arial" w:eastAsia="Arial" w:hAnsi="Arial"/>
          <w:sz w:val="18"/>
          <w:szCs w:val="18"/>
          <w:color w:val="auto"/>
        </w:rPr>
        <w:t>Prior to the Organizational Transactions, Rani LLC was authorized to issue 101,000,000 common units, of which 10,850,000 had been reserved for issuance as Profits Interests and 32,620,000 were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91" w:lineRule="exact"/>
        <w:rPr>
          <w:sz w:val="20"/>
          <w:szCs w:val="20"/>
          <w:color w:val="auto"/>
        </w:rPr>
      </w:pPr>
    </w:p>
    <w:p>
      <w:pPr>
        <w:ind w:right="420" w:firstLine="1018"/>
        <w:spacing w:after="0" w:line="266" w:lineRule="auto"/>
        <w:rPr>
          <w:sz w:val="20"/>
          <w:szCs w:val="20"/>
          <w:color w:val="auto"/>
        </w:rPr>
      </w:pPr>
      <w:r>
        <w:rPr>
          <w:rFonts w:ascii="Arial" w:cs="Arial" w:eastAsia="Arial" w:hAnsi="Arial"/>
          <w:sz w:val="18"/>
          <w:szCs w:val="18"/>
          <w:color w:val="auto"/>
        </w:rPr>
        <w:t>The members of the Rani LLC who held these common and Preferred Units were not liable, solely by reason of being a member, for the debts, obligations, or liabilities of the Company whether arising in contract or tort; under a judgment, decree, or order of a court; or otherwise. The members were also not obligated to make capital contributions to the Rani LLC and Rani LLC would have dissolved only upon a written consent of a majority of the members.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240" w:firstLine="1018"/>
        <w:spacing w:after="0" w:line="293" w:lineRule="auto"/>
        <w:rPr>
          <w:sz w:val="20"/>
          <w:szCs w:val="20"/>
          <w:color w:val="auto"/>
        </w:rPr>
      </w:pPr>
      <w:r>
        <w:rPr>
          <w:rFonts w:ascii="Arial" w:cs="Arial" w:eastAsia="Arial" w:hAnsi="Arial"/>
          <w:sz w:val="18"/>
          <w:szCs w:val="18"/>
          <w:color w:val="auto"/>
        </w:rPr>
        <w:t>The Company’s Profits Interests were subject to either a combination of service, market, or performance vesting conditions. Vested Profits Interests were treated as common units for purposes of distributions.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39" w:lineRule="exact"/>
        <w:rPr>
          <w:sz w:val="20"/>
          <w:szCs w:val="20"/>
          <w:color w:val="auto"/>
        </w:rPr>
      </w:pPr>
    </w:p>
    <w:p>
      <w:pPr>
        <w:ind w:right="220" w:firstLine="1018"/>
        <w:spacing w:after="0" w:line="319" w:lineRule="auto"/>
        <w:rPr>
          <w:sz w:val="20"/>
          <w:szCs w:val="20"/>
          <w:color w:val="auto"/>
        </w:rPr>
      </w:pPr>
      <w:r>
        <w:rPr>
          <w:rFonts w:ascii="Arial" w:cs="Arial" w:eastAsia="Arial" w:hAnsi="Arial"/>
          <w:sz w:val="16"/>
          <w:szCs w:val="16"/>
          <w:color w:val="auto"/>
        </w:rPr>
        <w:t>In connection with the Organizational Transactions, the Company’s certificate of incorporation was amended and restated to, among other things, provide for the (i) authorization of 800,000,000 shares of Class A common stock with a par value of $0.0001 per share; (ii) authorization of 40,000,000 shares of Class B common stock with a par value of $0.0001 per share; (iii) authorization of 20,000,000 shares Class C common stock with a par value of $0.0001 per share; and (iv) authorization of 20,000,000 shares of preferred stock with a par value of $0.0001 per share.</w:t>
      </w:r>
    </w:p>
    <w:p>
      <w:pPr>
        <w:spacing w:after="0" w:line="156" w:lineRule="exact"/>
        <w:rPr>
          <w:sz w:val="20"/>
          <w:szCs w:val="20"/>
          <w:color w:val="auto"/>
        </w:rPr>
      </w:pPr>
    </w:p>
    <w:p>
      <w:pPr>
        <w:ind w:right="60" w:firstLine="1018"/>
        <w:spacing w:after="0" w:line="292" w:lineRule="auto"/>
        <w:rPr>
          <w:sz w:val="20"/>
          <w:szCs w:val="20"/>
          <w:color w:val="auto"/>
        </w:rPr>
      </w:pPr>
      <w:r>
        <w:rPr>
          <w:rFonts w:ascii="Arial" w:cs="Arial" w:eastAsia="Arial" w:hAnsi="Arial"/>
          <w:sz w:val="17"/>
          <w:szCs w:val="17"/>
          <w:color w:val="auto"/>
        </w:rPr>
        <w:t>Holders of Class A common stock are entitled to one vote per share; holders of Class B common stock are entitled to ten votes per share; and holders of Class C common stock have no voting rights. Except as otherwise expressly provided in the Amended and Restated Certificate of Incorporation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74" w:lineRule="exact"/>
        <w:rPr>
          <w:sz w:val="20"/>
          <w:szCs w:val="20"/>
          <w:color w:val="auto"/>
        </w:rPr>
      </w:pPr>
    </w:p>
    <w:p>
      <w:pPr>
        <w:ind w:right="20" w:firstLine="1018"/>
        <w:spacing w:after="0" w:line="309" w:lineRule="auto"/>
        <w:rPr>
          <w:sz w:val="20"/>
          <w:szCs w:val="20"/>
          <w:color w:val="auto"/>
        </w:rPr>
      </w:pPr>
      <w:r>
        <w:rPr>
          <w:rFonts w:ascii="Arial" w:cs="Arial" w:eastAsia="Arial" w:hAnsi="Arial"/>
          <w:sz w:val="16"/>
          <w:szCs w:val="16"/>
          <w:color w:val="auto"/>
        </w:rPr>
        <w:t>The Company is required to, at all times, maintain (i) a one-to-one ratio between the number of shares of Class A common stock outstanding and the number of Class A Units owned by Company and (ii) a one-to-one ratio between the number of shares of Class B common stock owned by the Continuing LLC Owners and the number of Class A Units owned by the Continuing LLC Owners. The Company may issue shares of Class B common stock only to the extent necessary to maintain these ratios. Shares of Class B common stock are not transferable except (a) to the Company for no consideration (in which case the shares will be cancelled automatically) or (b) together with an equal number of Class A Units to a transferee in compliance with the LLC Agreement and the provisions set forth in the Company’s amended and restated certificate of incorporation. All Class B common stock that is exchanged as part of a Paired Interest for Class A common stock shall be automatically retired and cancelled and shall no longer be outstanding.</w:t>
      </w:r>
    </w:p>
    <w:p>
      <w:pPr>
        <w:spacing w:after="0" w:line="164" w:lineRule="exact"/>
        <w:rPr>
          <w:sz w:val="20"/>
          <w:szCs w:val="20"/>
          <w:color w:val="auto"/>
        </w:rPr>
      </w:pPr>
    </w:p>
    <w:p>
      <w:pPr>
        <w:ind w:right="80" w:firstLine="1018"/>
        <w:spacing w:after="0" w:line="293" w:lineRule="auto"/>
        <w:rPr>
          <w:sz w:val="20"/>
          <w:szCs w:val="20"/>
          <w:color w:val="auto"/>
        </w:rPr>
      </w:pPr>
      <w:r>
        <w:rPr>
          <w:rFonts w:ascii="Arial" w:cs="Arial" w:eastAsia="Arial" w:hAnsi="Arial"/>
          <w:sz w:val="18"/>
          <w:szCs w:val="18"/>
          <w:color w:val="auto"/>
        </w:rPr>
        <w:t>In August 2021, the Company received 29,290,391Class B Units of Rani LLC as consideration for the issuance of Class B common stock on a one-for-one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Rani LLC</w:t>
      </w:r>
    </w:p>
    <w:p>
      <w:pPr>
        <w:spacing w:after="0" w:line="239" w:lineRule="exact"/>
        <w:rPr>
          <w:sz w:val="20"/>
          <w:szCs w:val="20"/>
          <w:color w:val="auto"/>
        </w:rPr>
      </w:pPr>
    </w:p>
    <w:p>
      <w:pPr>
        <w:ind w:right="100" w:firstLine="1018"/>
        <w:spacing w:after="0" w:line="275" w:lineRule="auto"/>
        <w:rPr>
          <w:sz w:val="20"/>
          <w:szCs w:val="20"/>
          <w:color w:val="auto"/>
        </w:rPr>
      </w:pPr>
      <w:r>
        <w:rPr>
          <w:rFonts w:ascii="Arial" w:cs="Arial" w:eastAsia="Arial" w:hAnsi="Arial"/>
          <w:sz w:val="18"/>
          <w:szCs w:val="18"/>
          <w:color w:val="auto"/>
        </w:rPr>
        <w:t>In August 2021, Rani LLC’s members and Board of Managers adopted the amended and restated Rani LLC Agreement to, among other things, appoint the Company as Rani LLC’s sole managing member and provide that, except where the approval of one or more members is specifically required by the express terms of the Rani LLC Agreement, all management powers over the business and affairs of Rani LLC are vested exclusively in the Company as the sole managing member.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39" w:lineRule="exact"/>
        <w:rPr>
          <w:sz w:val="20"/>
          <w:szCs w:val="20"/>
          <w:color w:val="auto"/>
        </w:rPr>
      </w:pPr>
    </w:p>
    <w:p>
      <w:pPr>
        <w:ind w:right="60" w:firstLine="1018"/>
        <w:spacing w:after="0" w:line="296" w:lineRule="auto"/>
        <w:rPr>
          <w:sz w:val="20"/>
          <w:szCs w:val="20"/>
          <w:color w:val="auto"/>
        </w:rPr>
      </w:pPr>
      <w:r>
        <w:rPr>
          <w:rFonts w:ascii="Arial" w:cs="Arial" w:eastAsia="Arial" w:hAnsi="Arial"/>
          <w:sz w:val="17"/>
          <w:szCs w:val="17"/>
          <w:color w:val="auto"/>
        </w:rPr>
        <w:t>In July 2021, the Company completed an initial public offering of 7,666,667 shares of common stock, inclusive of the 1,000,000 shares of Class A common stock purchased by underwriters pursuant to the underwriters’ option to purchase additional shares at the initial public offering price, less underwriting discounts and commissions. The Company received net proceeds from the IPO of approximately $73.6 million after deducting underwriting discounts and commissions, which was used to purchase 7,666,667 newly-issued Class A Units of Rani LLC.</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39" w:lineRule="exact"/>
        <w:rPr>
          <w:sz w:val="20"/>
          <w:szCs w:val="20"/>
          <w:color w:val="auto"/>
        </w:rPr>
      </w:pPr>
    </w:p>
    <w:p>
      <w:pPr>
        <w:ind w:firstLine="1018"/>
        <w:spacing w:after="0" w:line="290" w:lineRule="auto"/>
        <w:rPr>
          <w:sz w:val="20"/>
          <w:szCs w:val="20"/>
          <w:color w:val="auto"/>
        </w:rPr>
      </w:pPr>
      <w:r>
        <w:rPr>
          <w:rFonts w:ascii="Arial" w:cs="Arial" w:eastAsia="Arial" w:hAnsi="Arial"/>
          <w:sz w:val="17"/>
          <w:szCs w:val="17"/>
          <w:color w:val="auto"/>
        </w:rPr>
        <w:t>In connection with the IPO, the Company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the Company to register under the Securities Act shares of Class A common stock issuable to them upon, at the Company’s election, redemption or exchange of their Paired Interests, and the Former LLC Owners can require the Company to register under the Securities Act the shares of Class A common stock issued to them in connection with the Organizational Transactions. The Registration Rights Agreement also provides for piggyback registration rights for the Continuing LLC Owners.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Equity-Based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60" w:firstLine="1018"/>
        <w:spacing w:after="0" w:line="279" w:lineRule="auto"/>
        <w:rPr>
          <w:sz w:val="20"/>
          <w:szCs w:val="20"/>
          <w:color w:val="auto"/>
        </w:rPr>
      </w:pPr>
      <w:r>
        <w:rPr>
          <w:rFonts w:ascii="Arial" w:cs="Arial" w:eastAsia="Arial" w:hAnsi="Arial"/>
          <w:sz w:val="18"/>
          <w:szCs w:val="18"/>
          <w:color w:val="auto"/>
        </w:rPr>
        <w:t>In July 2021, in connection with the IPO, the Company adopted and its stockholders approved the 2021 Plan. The 2021 Plan provides for the grant of incentive stock options ("ISOs"), non-statutory stock options ("NSOs"), stock appreciation rights, RSAs, RSUs, performance-based awards and other awards for shares of the Company’s Class A common stock.</w:t>
      </w:r>
    </w:p>
    <w:p>
      <w:pPr>
        <w:spacing w:after="0" w:line="183"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8"/>
          <w:szCs w:val="18"/>
          <w:color w:val="auto"/>
        </w:rPr>
        <w:t>In July 2021, the Company's board of directors adopted and its stockholders approved, the Rani Therapeutics Holdings, Inc. 2021 Employee Stock Purchase Plan (the “ESPP”). As of September 30, 2021, the ESPP was not yet effective.</w:t>
      </w:r>
    </w:p>
    <w:p>
      <w:pPr>
        <w:spacing w:after="0" w:line="170" w:lineRule="exact"/>
        <w:rPr>
          <w:sz w:val="20"/>
          <w:szCs w:val="20"/>
          <w:color w:val="auto"/>
        </w:rPr>
      </w:pPr>
    </w:p>
    <w:p>
      <w:pPr>
        <w:ind w:right="300" w:firstLine="1018"/>
        <w:spacing w:after="0" w:line="293" w:lineRule="auto"/>
        <w:rPr>
          <w:sz w:val="20"/>
          <w:szCs w:val="20"/>
          <w:color w:val="auto"/>
        </w:rPr>
      </w:pPr>
      <w:r>
        <w:rPr>
          <w:rFonts w:ascii="Arial" w:cs="Arial" w:eastAsia="Arial" w:hAnsi="Arial"/>
          <w:sz w:val="18"/>
          <w:szCs w:val="18"/>
          <w:color w:val="auto"/>
        </w:rPr>
        <w:t>The Company reserved 500,000 shares of Class A Common Stock for issuance under the ESPP and 5,500,000 shares of Class A common stock for future issuance under the 2021 Plan.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Stock Options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stock option activity during the periods indicated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460" w:type="dxa"/>
            <w:vAlign w:val="bottom"/>
          </w:tcPr>
          <w:p>
            <w:pPr>
              <w:spacing w:after="0"/>
              <w:rPr>
                <w:sz w:val="15"/>
                <w:szCs w:val="15"/>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Stock</w:t>
            </w:r>
          </w:p>
        </w:tc>
        <w:tc>
          <w:tcPr>
            <w:tcW w:w="200" w:type="dxa"/>
            <w:vAlign w:val="bottom"/>
          </w:tcPr>
          <w:p>
            <w:pPr>
              <w:spacing w:after="0"/>
              <w:rPr>
                <w:sz w:val="15"/>
                <w:szCs w:val="15"/>
                <w:color w:val="auto"/>
              </w:rPr>
            </w:pPr>
          </w:p>
        </w:tc>
        <w:tc>
          <w:tcPr>
            <w:tcW w:w="13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Weighted Average</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 (in</w:t>
            </w:r>
          </w:p>
        </w:tc>
        <w:tc>
          <w:tcPr>
            <w:tcW w:w="200" w:type="dxa"/>
            <w:vAlign w:val="bottom"/>
          </w:tcPr>
          <w:p>
            <w:pPr>
              <w:spacing w:after="0"/>
              <w:rPr>
                <w:sz w:val="15"/>
                <w:szCs w:val="15"/>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Aggregate Intrinsic</w:t>
            </w:r>
          </w:p>
        </w:tc>
        <w:tc>
          <w:tcPr>
            <w:tcW w:w="60" w:type="dxa"/>
            <w:vAlign w:val="bottom"/>
          </w:tcPr>
          <w:p>
            <w:pPr>
              <w:spacing w:after="0"/>
              <w:rPr>
                <w:sz w:val="15"/>
                <w:szCs w:val="15"/>
                <w:color w:val="auto"/>
              </w:rPr>
            </w:pPr>
          </w:p>
        </w:tc>
      </w:tr>
      <w:tr>
        <w:trPr>
          <w:trHeight w:val="192"/>
        </w:trPr>
        <w:tc>
          <w:tcPr>
            <w:tcW w:w="3460" w:type="dxa"/>
            <w:vAlign w:val="bottom"/>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Exercise Price</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Value (in thousands)</w:t>
            </w:r>
          </w:p>
        </w:tc>
        <w:tc>
          <w:tcPr>
            <w:tcW w:w="60" w:type="dxa"/>
            <w:vAlign w:val="bottom"/>
          </w:tcPr>
          <w:p>
            <w:pPr>
              <w:spacing w:after="0"/>
              <w:rPr>
                <w:sz w:val="16"/>
                <w:szCs w:val="16"/>
                <w:color w:val="auto"/>
              </w:rPr>
            </w:pPr>
          </w:p>
        </w:tc>
      </w:tr>
      <w:tr>
        <w:trPr>
          <w:trHeight w:val="25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r>
      <w:tr>
        <w:trPr>
          <w:trHeight w:val="250"/>
        </w:trPr>
        <w:tc>
          <w:tcPr>
            <w:tcW w:w="3460" w:type="dxa"/>
            <w:vAlign w:val="bottom"/>
          </w:tcPr>
          <w:p>
            <w:pPr>
              <w:ind w:left="180"/>
              <w:spacing w:after="0"/>
              <w:rPr>
                <w:sz w:val="20"/>
                <w:szCs w:val="20"/>
                <w:color w:val="auto"/>
              </w:rPr>
            </w:pPr>
            <w:r>
              <w:rPr>
                <w:rFonts w:ascii="Arial" w:cs="Arial" w:eastAsia="Arial" w:hAnsi="Arial"/>
                <w:sz w:val="18"/>
                <w:szCs w:val="18"/>
                <w:color w:val="auto"/>
              </w:rPr>
              <w:t>Granted as replacement awards</w:t>
            </w:r>
          </w:p>
        </w:tc>
        <w:tc>
          <w:tcPr>
            <w:tcW w:w="1380" w:type="dxa"/>
            <w:vAlign w:val="bottom"/>
          </w:tcPr>
          <w:p>
            <w:pPr>
              <w:jc w:val="right"/>
              <w:spacing w:after="0"/>
              <w:rPr>
                <w:sz w:val="20"/>
                <w:szCs w:val="20"/>
                <w:color w:val="auto"/>
              </w:rPr>
            </w:pPr>
            <w:r>
              <w:rPr>
                <w:rFonts w:ascii="Arial" w:cs="Arial" w:eastAsia="Arial" w:hAnsi="Arial"/>
                <w:sz w:val="18"/>
                <w:szCs w:val="18"/>
                <w:color w:val="auto"/>
              </w:rPr>
              <w:t>1,212,124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10,158</w:t>
            </w:r>
          </w:p>
        </w:tc>
        <w:tc>
          <w:tcPr>
            <w:tcW w:w="60" w:type="dxa"/>
            <w:vAlign w:val="bottom"/>
          </w:tcPr>
          <w:p>
            <w:pPr>
              <w:spacing w:after="0"/>
              <w:rPr>
                <w:sz w:val="21"/>
                <w:szCs w:val="21"/>
                <w:color w:val="auto"/>
              </w:rPr>
            </w:pPr>
          </w:p>
        </w:tc>
      </w:tr>
      <w:tr>
        <w:trPr>
          <w:trHeight w:val="263"/>
        </w:trPr>
        <w:tc>
          <w:tcPr>
            <w:tcW w:w="3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66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60" w:type="dxa"/>
            <w:vAlign w:val="bottom"/>
            <w:shd w:val="clear" w:color="auto" w:fill="CFF0FC"/>
          </w:tcPr>
          <w:p>
            <w:pPr>
              <w:spacing w:after="0"/>
              <w:rPr>
                <w:sz w:val="22"/>
                <w:szCs w:val="22"/>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2,119,524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11,402</w:t>
            </w:r>
          </w:p>
        </w:tc>
        <w:tc>
          <w:tcPr>
            <w:tcW w:w="60" w:type="dxa"/>
            <w:vAlign w:val="bottom"/>
          </w:tcPr>
          <w:p>
            <w:pPr>
              <w:spacing w:after="0"/>
              <w:rPr>
                <w:sz w:val="21"/>
                <w:szCs w:val="21"/>
                <w:color w:val="auto"/>
              </w:rPr>
            </w:pPr>
          </w:p>
        </w:tc>
      </w:tr>
      <w:tr>
        <w:trPr>
          <w:trHeight w:val="20"/>
        </w:trPr>
        <w:tc>
          <w:tcPr>
            <w:tcW w:w="3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September 30, 2021</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660" w:type="dxa"/>
            <w:vAlign w:val="bottom"/>
            <w:tcBorders>
              <w:bottom w:val="single" w:sz="8" w:color="CFF0FC"/>
            </w:tcBorders>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Nonvested at September 30,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10,918</w:t>
            </w:r>
          </w:p>
        </w:tc>
        <w:tc>
          <w:tcPr>
            <w:tcW w:w="6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-213995</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-196215</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right="480" w:firstLine="1018"/>
        <w:spacing w:after="0" w:line="296" w:lineRule="auto"/>
        <w:rPr>
          <w:sz w:val="20"/>
          <w:szCs w:val="20"/>
          <w:color w:val="auto"/>
        </w:rPr>
      </w:pPr>
      <w:r>
        <w:rPr>
          <w:rFonts w:ascii="Arial" w:cs="Arial" w:eastAsia="Arial" w:hAnsi="Arial"/>
          <w:sz w:val="17"/>
          <w:szCs w:val="17"/>
          <w:color w:val="auto"/>
        </w:rPr>
        <w:t>In connection with the Organizational Transactions, 2,292,309 options for common units of Rani LLC still subject to service vesting conditions were canceled and replaced with 1,212,124 stock options to acquire the Company’s Class A common stock. This was considered to be a modification but did not result in modification accounting as it did not impact the awards’ vesting conditions, classification or fair value. These stock options vest based on the grantees continued services over a three or four year period.</w:t>
      </w:r>
    </w:p>
    <w:p>
      <w:pPr>
        <w:spacing w:after="0" w:line="170" w:lineRule="exact"/>
        <w:rPr>
          <w:sz w:val="20"/>
          <w:szCs w:val="20"/>
          <w:color w:val="auto"/>
        </w:rPr>
      </w:pPr>
    </w:p>
    <w:p>
      <w:pPr>
        <w:ind w:right="340" w:firstLine="1018"/>
        <w:spacing w:after="0" w:line="293" w:lineRule="auto"/>
        <w:rPr>
          <w:sz w:val="20"/>
          <w:szCs w:val="20"/>
          <w:color w:val="auto"/>
        </w:rPr>
      </w:pPr>
      <w:r>
        <w:rPr>
          <w:rFonts w:ascii="Arial" w:cs="Arial" w:eastAsia="Arial" w:hAnsi="Arial"/>
          <w:sz w:val="18"/>
          <w:szCs w:val="18"/>
          <w:color w:val="auto"/>
        </w:rPr>
        <w:t>As of September 30, 2021, there was $17.8 million of unrecognized equity-based compensation expense related to stock options which is expected to be recognized over a weighted-average period of approximately 3.5 years.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Units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RSU activity during the periods indicated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Number of Restricted Stock</w:t>
            </w: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Weighted Average Grant-Date</w:t>
            </w:r>
          </w:p>
        </w:tc>
        <w:tc>
          <w:tcPr>
            <w:tcW w:w="80" w:type="dxa"/>
            <w:vAlign w:val="bottom"/>
          </w:tcPr>
          <w:p>
            <w:pPr>
              <w:spacing w:after="0"/>
              <w:rPr>
                <w:sz w:val="15"/>
                <w:szCs w:val="15"/>
                <w:color w:val="auto"/>
              </w:rPr>
            </w:pPr>
          </w:p>
        </w:tc>
      </w:tr>
      <w:tr>
        <w:trPr>
          <w:trHeight w:val="192"/>
        </w:trPr>
        <w:tc>
          <w:tcPr>
            <w:tcW w:w="5240" w:type="dxa"/>
            <w:vAlign w:val="bottom"/>
          </w:tcPr>
          <w:p>
            <w:pPr>
              <w:spacing w:after="0"/>
              <w:rPr>
                <w:sz w:val="16"/>
                <w:szCs w:val="16"/>
                <w:color w:val="auto"/>
              </w:rPr>
            </w:pPr>
          </w:p>
        </w:tc>
        <w:tc>
          <w:tcPr>
            <w:tcW w:w="19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 per Share</w:t>
            </w:r>
          </w:p>
        </w:tc>
        <w:tc>
          <w:tcPr>
            <w:tcW w:w="80" w:type="dxa"/>
            <w:vAlign w:val="bottom"/>
          </w:tcPr>
          <w:p>
            <w:pPr>
              <w:spacing w:after="0"/>
              <w:rPr>
                <w:sz w:val="16"/>
                <w:szCs w:val="16"/>
                <w:color w:val="auto"/>
              </w:rPr>
            </w:pPr>
          </w:p>
        </w:tc>
      </w:tr>
      <w:tr>
        <w:trPr>
          <w:trHeight w:val="25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599,500</w:t>
            </w:r>
          </w:p>
        </w:tc>
        <w:tc>
          <w:tcPr>
            <w:tcW w:w="3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Pr>
          <w:p>
            <w:pPr>
              <w:spacing w:after="0"/>
              <w:rPr>
                <w:sz w:val="21"/>
                <w:szCs w:val="21"/>
                <w:color w:val="auto"/>
              </w:rPr>
            </w:pPr>
          </w:p>
        </w:tc>
      </w:tr>
      <w:tr>
        <w:trPr>
          <w:trHeight w:val="26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2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(2,000 )</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FF0FC"/>
          </w:tcPr>
          <w:p>
            <w:pPr>
              <w:spacing w:after="0"/>
              <w:rPr>
                <w:sz w:val="22"/>
                <w:szCs w:val="22"/>
                <w:color w:val="auto"/>
              </w:rPr>
            </w:pPr>
          </w:p>
        </w:tc>
      </w:tr>
      <w:tr>
        <w:trPr>
          <w:trHeight w:val="250"/>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2021</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597,500</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Borders>
              <w:top w:val="single" w:sz="8" w:color="CFF0FC"/>
            </w:tcBorders>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-193675</wp:posOffset>
            </wp:positionV>
            <wp:extent cx="19685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6850" cy="5715"/>
                    </a:xfrm>
                    <a:prstGeom prst="rect">
                      <a:avLst/>
                    </a:prstGeom>
                    <a:noFill/>
                  </pic:spPr>
                </pic:pic>
              </a:graphicData>
            </a:graphic>
          </wp:anchor>
        </w:drawing>
      </w:r>
    </w:p>
    <w:p>
      <w:pPr>
        <w:spacing w:after="0" w:line="195" w:lineRule="exact"/>
        <w:rPr>
          <w:sz w:val="20"/>
          <w:szCs w:val="20"/>
          <w:color w:val="auto"/>
        </w:rPr>
      </w:pPr>
    </w:p>
    <w:p>
      <w:pPr>
        <w:ind w:firstLine="1018"/>
        <w:spacing w:after="0" w:line="266" w:lineRule="auto"/>
        <w:rPr>
          <w:sz w:val="20"/>
          <w:szCs w:val="20"/>
          <w:color w:val="auto"/>
        </w:rPr>
      </w:pPr>
      <w:r>
        <w:rPr>
          <w:rFonts w:ascii="Arial" w:cs="Arial" w:eastAsia="Arial" w:hAnsi="Arial"/>
          <w:sz w:val="18"/>
          <w:szCs w:val="18"/>
          <w:color w:val="auto"/>
        </w:rPr>
        <w:t>As of September 30, 2021, there was $11.4 million of unrecognized equity-based compensation expense related to RSUs which is expected to be recognized over a weighted-average period of approximately 1.9 years.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left="1020"/>
        <w:spacing w:after="0"/>
        <w:rPr>
          <w:sz w:val="20"/>
          <w:szCs w:val="20"/>
          <w:color w:val="auto"/>
        </w:rPr>
      </w:pPr>
      <w:r>
        <w:rPr>
          <w:rFonts w:ascii="Arial" w:cs="Arial" w:eastAsia="Arial" w:hAnsi="Arial"/>
          <w:sz w:val="18"/>
          <w:szCs w:val="18"/>
          <w:i w:val="1"/>
          <w:iCs w:val="1"/>
          <w:color w:val="auto"/>
        </w:rPr>
        <w:t>Restricted Stock Awards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RSA activity during the periods indicated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2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Number of Restricted Stock</w:t>
            </w: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Weighted Average Grant-Date</w:t>
            </w:r>
          </w:p>
        </w:tc>
        <w:tc>
          <w:tcPr>
            <w:tcW w:w="80" w:type="dxa"/>
            <w:vAlign w:val="bottom"/>
          </w:tcPr>
          <w:p>
            <w:pPr>
              <w:spacing w:after="0"/>
              <w:rPr>
                <w:sz w:val="15"/>
                <w:szCs w:val="15"/>
                <w:color w:val="auto"/>
              </w:rPr>
            </w:pPr>
          </w:p>
        </w:tc>
      </w:tr>
      <w:tr>
        <w:trPr>
          <w:trHeight w:val="192"/>
        </w:trPr>
        <w:tc>
          <w:tcPr>
            <w:tcW w:w="5240" w:type="dxa"/>
            <w:vAlign w:val="bottom"/>
          </w:tcPr>
          <w:p>
            <w:pPr>
              <w:spacing w:after="0"/>
              <w:rPr>
                <w:sz w:val="16"/>
                <w:szCs w:val="16"/>
                <w:color w:val="auto"/>
              </w:rPr>
            </w:pPr>
          </w:p>
        </w:tc>
        <w:tc>
          <w:tcPr>
            <w:tcW w:w="19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Awards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Fair Value per Share</w:t>
            </w:r>
          </w:p>
        </w:tc>
        <w:tc>
          <w:tcPr>
            <w:tcW w:w="80" w:type="dxa"/>
            <w:vAlign w:val="bottom"/>
          </w:tcPr>
          <w:p>
            <w:pPr>
              <w:spacing w:after="0"/>
              <w:rPr>
                <w:sz w:val="16"/>
                <w:szCs w:val="16"/>
                <w:color w:val="auto"/>
              </w:rPr>
            </w:pPr>
          </w:p>
        </w:tc>
      </w:tr>
      <w:tr>
        <w:trPr>
          <w:trHeight w:val="25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240" w:type="dxa"/>
            <w:vAlign w:val="bottom"/>
          </w:tcPr>
          <w:p>
            <w:pPr>
              <w:ind w:left="180"/>
              <w:spacing w:after="0"/>
              <w:rPr>
                <w:sz w:val="20"/>
                <w:szCs w:val="20"/>
                <w:color w:val="auto"/>
              </w:rPr>
            </w:pPr>
            <w:r>
              <w:rPr>
                <w:rFonts w:ascii="Arial" w:cs="Arial" w:eastAsia="Arial" w:hAnsi="Arial"/>
                <w:sz w:val="18"/>
                <w:szCs w:val="18"/>
                <w:color w:val="auto"/>
              </w:rPr>
              <w:t>Granted as replacement of Profits Interests</w:t>
            </w:r>
          </w:p>
        </w:tc>
        <w:tc>
          <w:tcPr>
            <w:tcW w:w="1960" w:type="dxa"/>
            <w:vAlign w:val="bottom"/>
          </w:tcPr>
          <w:p>
            <w:pPr>
              <w:jc w:val="right"/>
              <w:spacing w:after="0"/>
              <w:rPr>
                <w:sz w:val="20"/>
                <w:szCs w:val="20"/>
                <w:color w:val="auto"/>
              </w:rPr>
            </w:pPr>
            <w:r>
              <w:rPr>
                <w:rFonts w:ascii="Arial" w:cs="Arial" w:eastAsia="Arial" w:hAnsi="Arial"/>
                <w:sz w:val="18"/>
                <w:szCs w:val="18"/>
                <w:color w:val="auto"/>
              </w:rPr>
              <w:t>137,691</w:t>
            </w:r>
          </w:p>
        </w:tc>
        <w:tc>
          <w:tcPr>
            <w:tcW w:w="3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21"/>
                <w:szCs w:val="21"/>
                <w:color w:val="auto"/>
              </w:rPr>
            </w:pPr>
          </w:p>
        </w:tc>
      </w:tr>
      <w:tr>
        <w:trPr>
          <w:trHeight w:val="26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2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(15,058 )</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FF0FC"/>
          </w:tcPr>
          <w:p>
            <w:pPr>
              <w:spacing w:after="0"/>
              <w:rPr>
                <w:sz w:val="22"/>
                <w:szCs w:val="22"/>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240"/>
              <w:spacing w:after="0"/>
              <w:rPr>
                <w:sz w:val="20"/>
                <w:szCs w:val="20"/>
                <w:color w:val="auto"/>
              </w:rPr>
            </w:pPr>
            <w:r>
              <w:rPr>
                <w:rFonts w:ascii="Arial" w:cs="Arial" w:eastAsia="Arial" w:hAnsi="Arial"/>
                <w:sz w:val="18"/>
                <w:szCs w:val="18"/>
                <w:color w:val="auto"/>
              </w:rPr>
              <w:t>(2,718 )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22"/>
                <w:szCs w:val="22"/>
                <w:color w:val="auto"/>
              </w:rPr>
            </w:pPr>
          </w:p>
        </w:tc>
      </w:tr>
      <w:tr>
        <w:trPr>
          <w:trHeight w:val="29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1968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96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0" w:firstLine="1018"/>
        <w:spacing w:after="0" w:line="309" w:lineRule="auto"/>
        <w:rPr>
          <w:sz w:val="20"/>
          <w:szCs w:val="20"/>
          <w:color w:val="auto"/>
        </w:rPr>
      </w:pPr>
      <w:r>
        <w:rPr>
          <w:rFonts w:ascii="Arial" w:cs="Arial" w:eastAsia="Arial" w:hAnsi="Arial"/>
          <w:sz w:val="16"/>
          <w:szCs w:val="16"/>
          <w:color w:val="auto"/>
        </w:rPr>
        <w:t>In connection with the IPO and Organizational Transactions, 397,500 Profits Interests of Rani LLC were canceled and replaced with 137,691 RSAs of the Company’s Class A common stock. This was considered to be a modification but did not result in modification accounting as it did not impact the awards’ vesting conditions, classification or fair value. The RSAs are subject to both service vesting conditions and the Company's reacquisition right of unvested RSAs from the holder, for no monetary consideration, upon the termination of continuous service by the holder. The RSAs are not deemed to be issued for accounting purposes until they vest and are therefore excluded from shares outstanding for accounting purposes until the repurchase right lapses and the shares are no longer subject to the reacquisition right. As of September 30, 2021, there was $0.7 million of unrecognized equity-based compensation expense related to RSAs which is expected to be recognized over a weighted-average period of approximately 3.3 years.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239" w:lineRule="exact"/>
        <w:rPr>
          <w:sz w:val="20"/>
          <w:szCs w:val="20"/>
          <w:color w:val="auto"/>
        </w:rPr>
      </w:pPr>
    </w:p>
    <w:p>
      <w:pPr>
        <w:ind w:right="40" w:firstLine="1018"/>
        <w:spacing w:after="0" w:line="269" w:lineRule="auto"/>
        <w:rPr>
          <w:sz w:val="20"/>
          <w:szCs w:val="20"/>
          <w:color w:val="auto"/>
        </w:rPr>
      </w:pPr>
      <w:r>
        <w:rPr>
          <w:rFonts w:ascii="Arial" w:cs="Arial" w:eastAsia="Arial" w:hAnsi="Arial"/>
          <w:sz w:val="18"/>
          <w:szCs w:val="18"/>
          <w:color w:val="auto"/>
        </w:rPr>
        <w:t>Prior to the IPO, Rani LLC had adopted the 2016 Equity Incentive Plan (the “2016 Plan”) under which the Board of Managers issued options for common units, Profits Interests, and restricted common units to managers, consultants or other individuals who provide service to the Company. The Board of Managers had the authority to determine to whom Profits Interests would be granted, the number of options granted, and the Profits Interests threshold amount, which was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Effective April, 2021, in anticipation of the IPO the Company ceased granting Profits Interests and began to issue options for common units out of the remaining pool. In July 2021, the 2016 Plan was terminated concurrent with the adoption of the 2021 Plan.</w:t>
      </w:r>
    </w:p>
    <w:p>
      <w:pPr>
        <w:spacing w:after="0" w:line="196" w:lineRule="exact"/>
        <w:rPr>
          <w:sz w:val="20"/>
          <w:szCs w:val="20"/>
          <w:color w:val="auto"/>
        </w:rPr>
      </w:pPr>
    </w:p>
    <w:p>
      <w:pPr>
        <w:ind w:firstLine="1018"/>
        <w:spacing w:after="0" w:line="308" w:lineRule="auto"/>
        <w:rPr>
          <w:sz w:val="20"/>
          <w:szCs w:val="20"/>
          <w:color w:val="auto"/>
        </w:rPr>
      </w:pPr>
      <w:r>
        <w:rPr>
          <w:rFonts w:ascii="Arial" w:cs="Arial" w:eastAsia="Arial" w:hAnsi="Arial"/>
          <w:sz w:val="16"/>
          <w:szCs w:val="16"/>
          <w:color w:val="auto"/>
        </w:rPr>
        <w:t>Immediately upon receipt of a Profits Interests award, the recipient had no initial capital account balance and the Profits Interests received did not entitle such recipient to any portion of the capital of Rani LLC at the time of such recipient’s admission to Rani LLC as an unitholder member, such that if Rani LLC’s assets were sold at fair market value immediately after the grant to such recipient of Profits Interests and the proceeds distributed in complete liquidation of Rani LLC, the Profits Interests received would entitle such recipient to receive no portion of those proceeds. Additionally, Rani LLC would not make a distribution with respect to any Profits Interests unless Rani LLC had made aggregate distributions to each interest subject to a lower or no Profits Interests Threshold Amount. The common units underlying each Profits Interests award entitled the holder, upon a sale or other specified capital transaction (as set forth in the Operating Agreement), to participate in a portion of the profits and appreciation in the equity value of Rani LLC arising after the date of grant, as determined in reference to the Profits Interests Threshold Amount set forth in each award agreement.</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Profits Interests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98" w:lineRule="exact"/>
        <w:rPr>
          <w:sz w:val="20"/>
          <w:szCs w:val="20"/>
          <w:color w:val="auto"/>
        </w:rPr>
      </w:pPr>
    </w:p>
    <w:tbl>
      <w:tblPr>
        <w:tblLayout w:type="fixed"/>
        <w:tblInd w:w="80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500" w:type="dxa"/>
            <w:vAlign w:val="bottom"/>
          </w:tcPr>
          <w:p>
            <w:pPr>
              <w:ind w:left="540"/>
              <w:spacing w:after="0"/>
              <w:rPr>
                <w:sz w:val="20"/>
                <w:szCs w:val="20"/>
                <w:color w:val="auto"/>
              </w:rPr>
            </w:pPr>
            <w:r>
              <w:rPr>
                <w:rFonts w:ascii="Arial" w:cs="Arial" w:eastAsia="Arial" w:hAnsi="Arial"/>
                <w:sz w:val="14"/>
                <w:szCs w:val="14"/>
                <w:b w:val="1"/>
                <w:bCs w:val="1"/>
                <w:color w:val="auto"/>
              </w:rPr>
              <w:t>Profits</w:t>
            </w:r>
          </w:p>
        </w:tc>
      </w:tr>
      <w:tr>
        <w:trPr>
          <w:trHeight w:val="176"/>
        </w:trPr>
        <w:tc>
          <w:tcPr>
            <w:tcW w:w="472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Profits</w:t>
            </w:r>
          </w:p>
        </w:tc>
        <w:tc>
          <w:tcPr>
            <w:tcW w:w="220" w:type="dxa"/>
            <w:vAlign w:val="bottom"/>
          </w:tcPr>
          <w:p>
            <w:pPr>
              <w:spacing w:after="0"/>
              <w:rPr>
                <w:sz w:val="15"/>
                <w:szCs w:val="15"/>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r>
      <w:tr>
        <w:trPr>
          <w:trHeight w:val="192"/>
        </w:trPr>
        <w:tc>
          <w:tcPr>
            <w:tcW w:w="47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Threshold</w:t>
            </w: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6,926,358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7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90"/>
              </w:rPr>
              <w:t>$1.44 - $2.29</w:t>
            </w:r>
          </w:p>
        </w:tc>
      </w:tr>
      <w:tr>
        <w:trPr>
          <w:trHeight w:val="250"/>
        </w:trPr>
        <w:tc>
          <w:tcPr>
            <w:tcW w:w="47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1,857,000</w:t>
            </w:r>
          </w:p>
        </w:tc>
        <w:tc>
          <w:tcPr>
            <w:tcW w:w="26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w w:val="90"/>
              </w:rPr>
              <w:t>$1.99 - $2.13</w:t>
            </w:r>
          </w:p>
        </w:tc>
      </w:tr>
      <w:tr>
        <w:trPr>
          <w:trHeight w:val="263"/>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(235,957 )</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7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90"/>
              </w:rPr>
              <w:t>$1.45 - $2.29</w:t>
            </w:r>
          </w:p>
        </w:tc>
      </w:tr>
      <w:tr>
        <w:trPr>
          <w:trHeight w:val="250"/>
        </w:trPr>
        <w:tc>
          <w:tcPr>
            <w:tcW w:w="4720" w:type="dxa"/>
            <w:vAlign w:val="bottom"/>
          </w:tcPr>
          <w:p>
            <w:pPr>
              <w:ind w:left="200"/>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(8,149,901 )</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w w:val="90"/>
              </w:rPr>
              <w:t>$1.44 - $2.29</w:t>
            </w:r>
          </w:p>
        </w:tc>
      </w:tr>
      <w:tr>
        <w:trPr>
          <w:trHeight w:val="263"/>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Canceled and replaced with restricted stock awards</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(397,500 )</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7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90"/>
              </w:rPr>
              <w:t>$1.99 - $2.13</w:t>
            </w:r>
          </w:p>
        </w:tc>
      </w:tr>
      <w:tr>
        <w:trPr>
          <w:trHeight w:val="250"/>
        </w:trPr>
        <w:tc>
          <w:tcPr>
            <w:tcW w:w="4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500" w:type="dxa"/>
            <w:vAlign w:val="bottom"/>
            <w:tcBorders>
              <w:top w:val="single" w:sz="8" w:color="CFF0FC"/>
            </w:tcBorders>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-193675</wp:posOffset>
            </wp:positionV>
            <wp:extent cx="16319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80" w:firstLine="1018"/>
        <w:spacing w:after="0" w:line="286" w:lineRule="auto"/>
        <w:rPr>
          <w:sz w:val="20"/>
          <w:szCs w:val="20"/>
          <w:color w:val="auto"/>
        </w:rPr>
      </w:pPr>
      <w:r>
        <w:rPr>
          <w:rFonts w:ascii="Arial" w:cs="Arial" w:eastAsia="Arial" w:hAnsi="Arial"/>
          <w:sz w:val="17"/>
          <w:szCs w:val="17"/>
          <w:color w:val="auto"/>
        </w:rPr>
        <w:t>In connection with the IPO and Organizational Transactions, 1,771,767 units of unvested Profits Interests that contained a performance condition were modified to accelerate their vesting in return for exchanging such awards for shares of the Company’s Class A common stock upon an IPO. Concurrent with the IPO, such Profits Interests holders exchanged their then issued 3,201,220 Class A Units of Rani LLC for 1,655,409 shares of the Company’s Class A common stock. This resulted in an improbable to improbable modification and resulted in the remeasurement of the related compensation cost at the fair value of these Profits Interests on the modification date in July 2021. As a result of the modification and based on the performance condition being satisfied with the IPO and Organizational Transactions in July 2021, the Company recognized an incremental equity-based compensation expense of $3.0 million for the three and nine months ended September 30, 2021. Profits Interests of 397,500 still subject to service based vesting, but where the performance condition associated with the IPO and Organizational Transactions had been met, were exchanged for 137,691 RSAs with the same remaining service vesting conditions. All Profits Interests no longer subject to a vesting condition and that did not participate in the exchange, were converted into 1,545,811 Class A Units of Rani LLC.</w:t>
      </w:r>
    </w:p>
    <w:p>
      <w:pPr>
        <w:spacing w:after="0" w:line="182"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Upon the IPO and Organizational Transactions, the performance condition was met for all Profits Interest no longer subject to a service based vesting condition and the Company recorded an additional $14.0 million of equity-based compensation expense.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Options for Common Units</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summary of options for common units activity during the periods indicated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 Unit</w:t>
            </w:r>
          </w:p>
        </w:tc>
        <w:tc>
          <w:tcPr>
            <w:tcW w:w="134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Weighted Average</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 (in</w:t>
            </w:r>
          </w:p>
        </w:tc>
        <w:tc>
          <w:tcPr>
            <w:tcW w:w="20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auto"/>
                <w:w w:val="98"/>
              </w:rPr>
              <w:t>Aggregate Intrinsic</w:t>
            </w:r>
          </w:p>
        </w:tc>
        <w:tc>
          <w:tcPr>
            <w:tcW w:w="60" w:type="dxa"/>
            <w:vAlign w:val="bottom"/>
          </w:tcPr>
          <w:p>
            <w:pPr>
              <w:spacing w:after="0"/>
              <w:rPr>
                <w:sz w:val="15"/>
                <w:szCs w:val="15"/>
                <w:color w:val="auto"/>
              </w:rPr>
            </w:pPr>
          </w:p>
        </w:tc>
      </w:tr>
      <w:tr>
        <w:trPr>
          <w:trHeight w:val="192"/>
        </w:trPr>
        <w:tc>
          <w:tcPr>
            <w:tcW w:w="3420" w:type="dxa"/>
            <w:vAlign w:val="bottom"/>
          </w:tcPr>
          <w:p>
            <w:pPr>
              <w:spacing w:after="0"/>
              <w:rPr>
                <w:sz w:val="16"/>
                <w:szCs w:val="16"/>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Value (in thousands)</w:t>
            </w:r>
          </w:p>
        </w:tc>
        <w:tc>
          <w:tcPr>
            <w:tcW w:w="60" w:type="dxa"/>
            <w:vAlign w:val="bottom"/>
          </w:tcPr>
          <w:p>
            <w:pPr>
              <w:spacing w:after="0"/>
              <w:rPr>
                <w:sz w:val="16"/>
                <w:szCs w:val="16"/>
                <w:color w:val="auto"/>
              </w:rPr>
            </w:pPr>
          </w:p>
        </w:tc>
      </w:tr>
      <w:tr>
        <w:trPr>
          <w:trHeight w:val="25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3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2,292,309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342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6"/>
              </w:rPr>
              <w:t>Canceled and replaced with stock options</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(2,292,309 )</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3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21"/>
                <w:szCs w:val="21"/>
                <w:color w:val="auto"/>
              </w:rPr>
            </w:pP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1"/>
                <w:szCs w:val="21"/>
                <w:color w:val="auto"/>
              </w:rPr>
            </w:pPr>
          </w:p>
        </w:tc>
        <w:tc>
          <w:tcPr>
            <w:tcW w:w="1320" w:type="dxa"/>
            <w:vAlign w:val="bottom"/>
            <w:tcBorders>
              <w:top w:val="single" w:sz="8" w:color="CFF0FC"/>
            </w:tcBorders>
          </w:tcPr>
          <w:p>
            <w:pPr>
              <w:ind w:left="11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-193675</wp:posOffset>
            </wp:positionV>
            <wp:extent cx="1625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56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0" w:firstLine="1018"/>
        <w:spacing w:after="0" w:line="359" w:lineRule="auto"/>
        <w:rPr>
          <w:sz w:val="20"/>
          <w:szCs w:val="20"/>
          <w:color w:val="auto"/>
        </w:rPr>
      </w:pPr>
      <w:r>
        <w:rPr>
          <w:rFonts w:ascii="Arial" w:cs="Arial" w:eastAsia="Arial" w:hAnsi="Arial"/>
          <w:sz w:val="16"/>
          <w:szCs w:val="16"/>
          <w:color w:val="auto"/>
        </w:rPr>
        <w:t>Through July 2021, the Company granted options to acquire 2,292,309 common units of Rani LLC to certain executives and members of the Board of Managers. In conjunction with the Organizational Transactions, these unit options were canceled and replaced with stock options of the Company.</w:t>
      </w:r>
    </w:p>
    <w:p>
      <w:pPr>
        <w:spacing w:after="0" w:line="125" w:lineRule="exact"/>
        <w:rPr>
          <w:sz w:val="20"/>
          <w:szCs w:val="20"/>
          <w:color w:val="auto"/>
        </w:rPr>
      </w:pPr>
    </w:p>
    <w:p>
      <w:pPr>
        <w:ind w:right="60" w:firstLine="1018"/>
        <w:spacing w:after="0" w:line="279" w:lineRule="auto"/>
        <w:rPr>
          <w:sz w:val="20"/>
          <w:szCs w:val="20"/>
          <w:color w:val="auto"/>
        </w:rPr>
      </w:pPr>
      <w:r>
        <w:rPr>
          <w:rFonts w:ascii="Arial" w:cs="Arial" w:eastAsia="Arial" w:hAnsi="Arial"/>
          <w:sz w:val="18"/>
          <w:szCs w:val="18"/>
          <w:color w:val="auto"/>
        </w:rPr>
        <w:t>The following table summarizes the components of equity-based compensation expense resulting from the grant of stock options, RSUs, RSAs, Profits Interests, and options for common units, recorded in the Company’s condensed consolidated statement of operations and comprehensive loss (in thousands):</w:t>
      </w:r>
    </w:p>
    <w:p>
      <w:pPr>
        <w:spacing w:after="0" w:line="242"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w w:val="96"/>
              </w:rPr>
              <w:t>Nine Months Ended September 30,</w:t>
            </w:r>
          </w:p>
        </w:tc>
        <w:tc>
          <w:tcPr>
            <w:tcW w:w="60" w:type="dxa"/>
            <w:vAlign w:val="bottom"/>
          </w:tcPr>
          <w:p>
            <w:pPr>
              <w:spacing w:after="0"/>
              <w:rPr>
                <w:sz w:val="16"/>
                <w:szCs w:val="16"/>
                <w:color w:val="auto"/>
              </w:rPr>
            </w:pPr>
          </w:p>
        </w:tc>
      </w:tr>
      <w:tr>
        <w:trPr>
          <w:trHeight w:val="196"/>
        </w:trPr>
        <w:tc>
          <w:tcPr>
            <w:tcW w:w="35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56"/>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6,635</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6,696</w:t>
            </w: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22"/>
                <w:szCs w:val="22"/>
                <w:color w:val="auto"/>
              </w:rPr>
            </w:pPr>
          </w:p>
        </w:tc>
      </w:tr>
      <w:tr>
        <w:trPr>
          <w:trHeight w:val="250"/>
        </w:trPr>
        <w:tc>
          <w:tcPr>
            <w:tcW w:w="35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12,061</w:t>
            </w:r>
          </w:p>
        </w:tc>
        <w:tc>
          <w:tcPr>
            <w:tcW w:w="2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12,282</w:t>
            </w:r>
          </w:p>
        </w:tc>
        <w:tc>
          <w:tcPr>
            <w:tcW w:w="160" w:type="dxa"/>
            <w:vAlign w:val="bottom"/>
          </w:tcPr>
          <w:p>
            <w:pPr>
              <w:spacing w:after="0"/>
              <w:rPr>
                <w:sz w:val="21"/>
                <w:szCs w:val="21"/>
                <w:color w:val="auto"/>
              </w:rPr>
            </w:pP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r>
      <w:tr>
        <w:trPr>
          <w:trHeight w:val="290"/>
        </w:trPr>
        <w:tc>
          <w:tcPr>
            <w:tcW w:w="3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equity-based compensation</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18,696</w:t>
            </w:r>
          </w:p>
        </w:tc>
        <w:tc>
          <w:tcPr>
            <w:tcW w:w="2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18,978</w:t>
            </w:r>
          </w:p>
        </w:tc>
        <w:tc>
          <w:tcPr>
            <w:tcW w:w="1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1289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1289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jc w:val="both"/>
        <w:ind w:right="100" w:firstLine="1018"/>
        <w:spacing w:after="0" w:line="279"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(Note 6), which is accounted for as an operating lease with an implied renewal option into 2025. Rent expense incurred with ICL was $0.6 million for each of the nine month periods ended September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ind w:right="180" w:firstLine="1018"/>
        <w:spacing w:after="0" w:line="266"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line="279" w:lineRule="auto"/>
        <w:rPr>
          <w:sz w:val="20"/>
          <w:szCs w:val="20"/>
          <w:color w:val="auto"/>
        </w:rPr>
      </w:pPr>
      <w:r>
        <w:rPr>
          <w:rFonts w:ascii="Arial" w:cs="Arial" w:eastAsia="Arial" w:hAnsi="Arial"/>
          <w:sz w:val="18"/>
          <w:szCs w:val="18"/>
          <w:color w:val="auto"/>
        </w:rPr>
        <w:t>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ind w:right="100" w:firstLine="1018"/>
        <w:spacing w:after="0" w:line="270" w:lineRule="auto"/>
        <w:rPr>
          <w:sz w:val="20"/>
          <w:szCs w:val="20"/>
          <w:color w:val="auto"/>
        </w:rPr>
      </w:pPr>
      <w:r>
        <w:rPr>
          <w:rFonts w:ascii="Arial" w:cs="Arial" w:eastAsia="Arial" w:hAnsi="Arial"/>
          <w:sz w:val="18"/>
          <w:szCs w:val="18"/>
          <w:color w:val="auto"/>
        </w:rPr>
        <w:t>In September 2020, Rani LLC, entered into a secured convertible loan agreement (the “Loan and Security Agreement” or the “Loan”) with Avenue Venture Opportunity Fund L.P. (“Avenue”), whereby Rani LLC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Rani LLC opted not to draw down this additional amount, and the option has since expired undrawn. In exchange for access to this facility, Rani LLC agreed to issue warrants exercisable into Rani LLC preferred units amounting to $0.9 million; Rani LLC subsequently granted 118,929 Series E warrants with an exercise price of $7.1471 per unit (Note 7).</w:t>
      </w:r>
    </w:p>
    <w:p>
      <w:pPr>
        <w:spacing w:after="0" w:line="193" w:lineRule="exact"/>
        <w:rPr>
          <w:sz w:val="20"/>
          <w:szCs w:val="20"/>
          <w:color w:val="auto"/>
        </w:rPr>
      </w:pPr>
    </w:p>
    <w:p>
      <w:pPr>
        <w:ind w:right="80" w:firstLine="1018"/>
        <w:spacing w:after="0" w:line="319" w:lineRule="auto"/>
        <w:rPr>
          <w:sz w:val="20"/>
          <w:szCs w:val="20"/>
          <w:color w:val="auto"/>
        </w:rPr>
      </w:pPr>
      <w:r>
        <w:rPr>
          <w:rFonts w:ascii="Arial" w:cs="Arial" w:eastAsia="Arial" w:hAnsi="Arial"/>
          <w:sz w:val="16"/>
          <w:szCs w:val="16"/>
          <w:color w:val="auto"/>
        </w:rPr>
        <w:t>The Loan was interest only until September 2021 and bore interest at a variable rate of interest per annum, compounded monthly until its maturity date of September 2023, at which time all outstanding principal and interest would have become due and payable in cash if not already converted. Rani LLC’s obligations under the Loan were secured by a first priority security interest in substantially all of its assets. The Loan included customary events of default, including instances of a material adverse change in the Rani LLC’s operations, which may require prepayment of the outstanding Loan.</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At December 31, 2020 the effective interest rate on the Loan was 20.56%. At September 30, 2021 there was no Loan outstanding.</w:t>
      </w:r>
    </w:p>
    <w:p>
      <w:pPr>
        <w:spacing w:after="0" w:line="250" w:lineRule="exact"/>
        <w:rPr>
          <w:sz w:val="20"/>
          <w:szCs w:val="20"/>
          <w:color w:val="auto"/>
        </w:rPr>
      </w:pPr>
    </w:p>
    <w:p>
      <w:pPr>
        <w:ind w:right="20" w:firstLine="1018"/>
        <w:spacing w:after="0" w:line="324" w:lineRule="auto"/>
        <w:rPr>
          <w:sz w:val="20"/>
          <w:szCs w:val="20"/>
          <w:color w:val="auto"/>
        </w:rPr>
      </w:pPr>
      <w:r>
        <w:rPr>
          <w:rFonts w:ascii="Arial" w:cs="Arial" w:eastAsia="Arial" w:hAnsi="Arial"/>
          <w:sz w:val="17"/>
          <w:szCs w:val="17"/>
          <w:color w:val="auto"/>
        </w:rPr>
        <w:t>The Loan contained a contingent interest feature in the event of default that was not clearly and closely related to the underlying note and met the definition of a derivative. The Company concluded that the fair value of this derivative was insignificant for all periods presented.</w:t>
      </w:r>
    </w:p>
    <w:p>
      <w:pPr>
        <w:spacing w:after="0" w:line="147"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The Loan and Security Agreement contained negative and affirmative covenants, including covenants that restricted the ability of Rani LLC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contained certain objective events of default, including, without limitation, nonpayment of principal, interest or other obligations, violation of the covenants, insolvency, court ordered judgments, and change in control. The Loan and Security Agreement required Rani LLC to provide audited consolidated financial statements to the lenders no later than 120 days after year-end.</w:t>
      </w:r>
    </w:p>
    <w:p>
      <w:pPr>
        <w:spacing w:after="0" w:line="176" w:lineRule="exact"/>
        <w:rPr>
          <w:sz w:val="20"/>
          <w:szCs w:val="20"/>
          <w:color w:val="auto"/>
        </w:rPr>
      </w:pPr>
    </w:p>
    <w:p>
      <w:pPr>
        <w:ind w:right="220" w:firstLine="1018"/>
        <w:spacing w:after="0" w:line="275" w:lineRule="auto"/>
        <w:rPr>
          <w:sz w:val="20"/>
          <w:szCs w:val="20"/>
          <w:color w:val="auto"/>
        </w:rPr>
      </w:pPr>
      <w:r>
        <w:rPr>
          <w:rFonts w:ascii="Arial" w:cs="Arial" w:eastAsia="Arial" w:hAnsi="Arial"/>
          <w:sz w:val="18"/>
          <w:szCs w:val="18"/>
          <w:color w:val="auto"/>
        </w:rPr>
        <w:t>In July 2021, the Company repaid, in full, the $3.0 million of principal and approximately $0.5 million of final payment and fees under the Loan and Security Agreement resulting in a $0.7 million loss on extinguishment of debt recorded in the Company's condensed consolidated statement of operations and comprehensive loss for the three and nine months ended September 30, 2021. Avenue Capital also waived their right to convert the outstanding principal into Series E Preferred Units.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39" w:lineRule="exact"/>
        <w:rPr>
          <w:sz w:val="20"/>
          <w:szCs w:val="20"/>
          <w:color w:val="auto"/>
        </w:rPr>
      </w:pPr>
    </w:p>
    <w:p>
      <w:pPr>
        <w:ind w:right="80" w:firstLine="1018"/>
        <w:spacing w:after="0" w:line="275" w:lineRule="auto"/>
        <w:rPr>
          <w:sz w:val="20"/>
          <w:szCs w:val="20"/>
          <w:color w:val="auto"/>
        </w:rPr>
      </w:pPr>
      <w:r>
        <w:rPr>
          <w:rFonts w:ascii="Arial" w:cs="Arial" w:eastAsia="Arial" w:hAnsi="Arial"/>
          <w:sz w:val="18"/>
          <w:szCs w:val="18"/>
          <w:color w:val="auto"/>
        </w:rPr>
        <w:t>In April 2020, the Company received a $1.3 million small business loan under the Paycheck Protection Program (“PPP Loan”) as part of the CARES Act. The PPP Loan was due to mature in April 2022, and bore interest at a rate of 1.0% per annum. The PPP Loan was evidenced by a promissory note, which contained customary events of default relating to, among other things, payment defaults and breaches of representations and warranties. The PPP Loan could be prepaid at any time prior to maturity with no prepayment penalties.</w:t>
      </w:r>
    </w:p>
    <w:p>
      <w:pPr>
        <w:spacing w:after="0" w:line="185" w:lineRule="exact"/>
        <w:rPr>
          <w:sz w:val="20"/>
          <w:szCs w:val="20"/>
          <w:color w:val="auto"/>
        </w:rPr>
      </w:pPr>
    </w:p>
    <w:p>
      <w:pPr>
        <w:ind w:right="40" w:firstLine="1018"/>
        <w:spacing w:after="0" w:line="293" w:lineRule="auto"/>
        <w:rPr>
          <w:sz w:val="20"/>
          <w:szCs w:val="20"/>
          <w:color w:val="auto"/>
        </w:rPr>
      </w:pPr>
      <w:r>
        <w:rPr>
          <w:rFonts w:ascii="Arial" w:cs="Arial" w:eastAsia="Arial" w:hAnsi="Arial"/>
          <w:sz w:val="18"/>
          <w:szCs w:val="18"/>
          <w:color w:val="auto"/>
        </w:rPr>
        <w:t>The Company used all proceeds from the PPP Loan to retain employees, maintain payroll and make lease and utility payments. In September 2021, the Company repaid in full the $1.3 million of principal and interest related to the PPP Loan.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43"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The Company is the managing member of Rani LLC and, as a result, consolidates the financial results of Rani LLC and its taxable subsidiary RMS in the unaudited condensed consolidated financial statements. Rani LLC is a pass-through entity for U.S. federal and most applicable state and local income tax purposes following the IPO and Organizational Transactions. As an entity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20"/>
        <w:spacing w:after="0" w:line="292" w:lineRule="auto"/>
        <w:rPr>
          <w:sz w:val="20"/>
          <w:szCs w:val="20"/>
          <w:color w:val="auto"/>
        </w:rPr>
      </w:pPr>
      <w:r>
        <w:rPr>
          <w:rFonts w:ascii="Arial" w:cs="Arial" w:eastAsia="Arial" w:hAnsi="Arial"/>
          <w:sz w:val="17"/>
          <w:szCs w:val="17"/>
          <w:color w:val="auto"/>
        </w:rPr>
        <w:t>classified as a partnership for tax purposes, Rani LLC is not subject to U.S.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the Company, based on the Company's economic interest in Rani LLC. The Company's tax provision also includes the activity of RMS, which is taxed as a corporation for federal and state income tax purposes. The Company anticipates this structure to remain in existence for the foreseeable future.</w:t>
      </w:r>
    </w:p>
    <w:p>
      <w:pPr>
        <w:spacing w:after="0" w:line="174"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8"/>
          <w:szCs w:val="18"/>
          <w:color w:val="auto"/>
        </w:rPr>
        <w:t>The Company’s effective income tax rate was (0.22)% and (0.21)% for the three and nine months ended September 30, 2021, respectively, and (0.21)% for the three and nine months ended September 30, 2020. The Company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w:t>
      </w:r>
    </w:p>
    <w:p>
      <w:pPr>
        <w:spacing w:after="0" w:line="185" w:lineRule="exact"/>
        <w:rPr>
          <w:sz w:val="20"/>
          <w:szCs w:val="20"/>
          <w:color w:val="auto"/>
        </w:rPr>
      </w:pPr>
    </w:p>
    <w:p>
      <w:pPr>
        <w:ind w:right="620" w:firstLine="1018"/>
        <w:spacing w:after="0" w:line="293" w:lineRule="auto"/>
        <w:rPr>
          <w:sz w:val="20"/>
          <w:szCs w:val="20"/>
          <w:color w:val="auto"/>
        </w:rPr>
      </w:pPr>
      <w:r>
        <w:rPr>
          <w:rFonts w:ascii="Arial" w:cs="Arial" w:eastAsia="Arial" w:hAnsi="Arial"/>
          <w:sz w:val="18"/>
          <w:szCs w:val="18"/>
          <w:color w:val="auto"/>
        </w:rPr>
        <w:t>There were no material changes to uncertain tax positions for the three and nine months ended September 30, 2021 and 2020, and the Company does not anticipate material changes within the next 12 months.</w:t>
      </w:r>
    </w:p>
    <w:p>
      <w:pPr>
        <w:spacing w:after="0" w:line="170" w:lineRule="exact"/>
        <w:rPr>
          <w:sz w:val="20"/>
          <w:szCs w:val="20"/>
          <w:color w:val="auto"/>
        </w:rPr>
      </w:pPr>
    </w:p>
    <w:p>
      <w:pPr>
        <w:ind w:right="160" w:firstLine="1018"/>
        <w:spacing w:after="0" w:line="279" w:lineRule="auto"/>
        <w:rPr>
          <w:sz w:val="20"/>
          <w:szCs w:val="20"/>
          <w:color w:val="auto"/>
        </w:rPr>
      </w:pPr>
      <w:r>
        <w:rPr>
          <w:rFonts w:ascii="Arial" w:cs="Arial" w:eastAsia="Arial" w:hAnsi="Arial"/>
          <w:sz w:val="18"/>
          <w:szCs w:val="18"/>
          <w:color w:val="auto"/>
        </w:rPr>
        <w:t>The Company is party to a TRA with the Continuing LLC Owners (Note 2). As there have been no transactions which have occurred which would trigger a liability under this agreement, the Company has not recognized any deferred tax assets or liabilities related to this agreement as of September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43" w:lineRule="exact"/>
        <w:rPr>
          <w:sz w:val="20"/>
          <w:szCs w:val="20"/>
          <w:color w:val="auto"/>
        </w:rPr>
      </w:pPr>
    </w:p>
    <w:p>
      <w:pPr>
        <w:ind w:right="440" w:firstLine="1018"/>
        <w:spacing w:after="0" w:line="293" w:lineRule="auto"/>
        <w:rPr>
          <w:sz w:val="20"/>
          <w:szCs w:val="20"/>
          <w:color w:val="auto"/>
        </w:rPr>
      </w:pPr>
      <w:r>
        <w:rPr>
          <w:rFonts w:ascii="Arial" w:cs="Arial" w:eastAsia="Arial" w:hAnsi="Arial"/>
          <w:sz w:val="18"/>
          <w:szCs w:val="18"/>
          <w:color w:val="auto"/>
        </w:rPr>
        <w:t>The following table sets forth the computation of basic and diluted net loss per Class A common share attributable to Rani Therapeutics Holding, Inc.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5"/>
                <w:szCs w:val="15"/>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Net loss per Class A common share attributable to Rani Therapeutics Holding,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(3,142 )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(3,142 )</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Weighted average Class A common share outstanding—basic and diluted</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19,437</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Net loss per Class A common share attributable to Rani Therapeutics Holding, Inc.—basic and</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(0.16 )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diluted</w:t>
            </w:r>
          </w:p>
        </w:tc>
        <w:tc>
          <w:tcPr>
            <w:tcW w:w="180" w:type="dxa"/>
            <w:vAlign w:val="bottom"/>
            <w:vMerge w:val="continue"/>
            <w:shd w:val="clear" w:color="auto" w:fill="CFF0FC"/>
          </w:tcPr>
          <w:p>
            <w:pPr>
              <w:spacing w:after="0"/>
              <w:rPr>
                <w:sz w:val="19"/>
                <w:szCs w:val="19"/>
                <w:color w:val="auto"/>
              </w:rPr>
            </w:pPr>
          </w:p>
        </w:tc>
        <w:tc>
          <w:tcPr>
            <w:tcW w:w="194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7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-836295</wp:posOffset>
            </wp:positionV>
            <wp:extent cx="19748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-836295</wp:posOffset>
            </wp:positionV>
            <wp:extent cx="596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974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974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both"/>
        <w:ind w:right="20" w:firstLine="1018"/>
        <w:spacing w:after="0" w:line="293"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Class A common share attributable to Rani Therapeutics Holding,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188"/>
        </w:trPr>
        <w:tc>
          <w:tcPr>
            <w:tcW w:w="8980" w:type="dxa"/>
            <w:vAlign w:val="bottom"/>
          </w:tcPr>
          <w:p>
            <w:pPr>
              <w:spacing w:after="0"/>
              <w:rPr>
                <w:sz w:val="16"/>
                <w:szCs w:val="16"/>
                <w:color w:val="auto"/>
              </w:rPr>
            </w:pPr>
          </w:p>
        </w:tc>
        <w:tc>
          <w:tcPr>
            <w:tcW w:w="218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50"/>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Paired Interests</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29,290,391</w:t>
            </w:r>
          </w:p>
        </w:tc>
        <w:tc>
          <w:tcPr>
            <w:tcW w:w="80" w:type="dxa"/>
            <w:vAlign w:val="bottom"/>
            <w:shd w:val="clear" w:color="auto" w:fill="CFF0FC"/>
          </w:tcPr>
          <w:p>
            <w:pPr>
              <w:spacing w:after="0"/>
              <w:rPr>
                <w:sz w:val="21"/>
                <w:szCs w:val="21"/>
                <w:color w:val="auto"/>
              </w:rPr>
            </w:pPr>
          </w:p>
        </w:tc>
      </w:tr>
      <w:tr>
        <w:trPr>
          <w:trHeight w:val="250"/>
        </w:trPr>
        <w:tc>
          <w:tcPr>
            <w:tcW w:w="89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2,119,524</w:t>
            </w:r>
          </w:p>
        </w:tc>
        <w:tc>
          <w:tcPr>
            <w:tcW w:w="80" w:type="dxa"/>
            <w:vAlign w:val="bottom"/>
          </w:tcPr>
          <w:p>
            <w:pPr>
              <w:spacing w:after="0"/>
              <w:rPr>
                <w:sz w:val="21"/>
                <w:szCs w:val="21"/>
                <w:color w:val="auto"/>
              </w:rPr>
            </w:pPr>
          </w:p>
        </w:tc>
      </w:tr>
      <w:tr>
        <w:trPr>
          <w:trHeight w:val="263"/>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 A Units of Rani LLC exchangeable for Class A common stock</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1,545,811</w:t>
            </w:r>
          </w:p>
        </w:tc>
        <w:tc>
          <w:tcPr>
            <w:tcW w:w="80" w:type="dxa"/>
            <w:vAlign w:val="bottom"/>
            <w:shd w:val="clear" w:color="auto" w:fill="CFF0FC"/>
          </w:tcPr>
          <w:p>
            <w:pPr>
              <w:spacing w:after="0"/>
              <w:rPr>
                <w:sz w:val="22"/>
                <w:szCs w:val="22"/>
                <w:color w:val="auto"/>
              </w:rPr>
            </w:pPr>
          </w:p>
        </w:tc>
      </w:tr>
      <w:tr>
        <w:trPr>
          <w:trHeight w:val="250"/>
        </w:trPr>
        <w:tc>
          <w:tcPr>
            <w:tcW w:w="89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597,500</w:t>
            </w:r>
          </w:p>
        </w:tc>
        <w:tc>
          <w:tcPr>
            <w:tcW w:w="80" w:type="dxa"/>
            <w:vAlign w:val="bottom"/>
          </w:tcPr>
          <w:p>
            <w:pPr>
              <w:spacing w:after="0"/>
              <w:rPr>
                <w:sz w:val="21"/>
                <w:szCs w:val="21"/>
                <w:color w:val="auto"/>
              </w:rPr>
            </w:pPr>
          </w:p>
        </w:tc>
      </w:tr>
      <w:tr>
        <w:trPr>
          <w:trHeight w:val="257"/>
        </w:trPr>
        <w:tc>
          <w:tcPr>
            <w:tcW w:w="8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8980" w:type="dxa"/>
            <w:vAlign w:val="bottom"/>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33,673,141</w:t>
            </w:r>
          </w:p>
        </w:tc>
        <w:tc>
          <w:tcPr>
            <w:tcW w:w="80" w:type="dxa"/>
            <w:vAlign w:val="bottom"/>
          </w:tcPr>
          <w:p>
            <w:pPr>
              <w:spacing w:after="0"/>
              <w:rPr>
                <w:sz w:val="21"/>
                <w:szCs w:val="21"/>
                <w:color w:val="auto"/>
              </w:rPr>
            </w:pPr>
          </w:p>
        </w:tc>
      </w:tr>
      <w:tr>
        <w:trPr>
          <w:trHeight w:val="20"/>
        </w:trPr>
        <w:tc>
          <w:tcPr>
            <w:tcW w:w="8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7073265</wp:posOffset>
            </wp:positionH>
            <wp:positionV relativeFrom="paragraph">
              <wp:posOffset>-1160780</wp:posOffset>
            </wp:positionV>
            <wp:extent cx="76835"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00" w:firstLine="1018"/>
        <w:spacing w:after="0" w:line="266" w:lineRule="auto"/>
        <w:rPr>
          <w:sz w:val="20"/>
          <w:szCs w:val="20"/>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three and nine months ended September 30, 2021. Therefore, they are not included in the computation of net loss per Class A common share attributable to Rani Therapeutics Holding,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ind w:right="60" w:firstLine="1018"/>
        <w:spacing w:after="0" w:line="28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interim condensed consolidated financial statements and the related notes included elsewhere in this Quarterly Report on Form 10-Q, and our final prospectus filed with the Securities and Exchange Commission ("SEC") pursuant to Rule 424(b)(4) under the Securities Act of 1933, as amended, dated August 2, 2021 (the “Prospectus”). Some of the information contained in this discussion and analysis or set forth elsewhere in this document, includes forward looking statements that involve risks, uncertainties, and assumptions. You should carefully read the “Special Note Regarding Forward-Looking Statements” and “Risk Factors” sections of this document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jc w:val="both"/>
        <w:ind w:right="40" w:firstLine="1018"/>
        <w:spacing w:after="0" w:line="296" w:lineRule="auto"/>
        <w:rPr>
          <w:sz w:val="20"/>
          <w:szCs w:val="20"/>
          <w:color w:val="auto"/>
        </w:rPr>
      </w:pPr>
      <w:r>
        <w:rPr>
          <w:rFonts w:ascii="Arial" w:cs="Arial" w:eastAsia="Arial" w:hAnsi="Arial"/>
          <w:sz w:val="17"/>
          <w:szCs w:val="17"/>
          <w:i w:val="1"/>
          <w:iCs w:val="1"/>
          <w:color w:val="auto"/>
        </w:rPr>
        <w:t>The following discussion contains references to calendar year 2020 and the nine months ended September 30, 2020 and September 30, 2021, which represents the condensed consolidated financial results of Rani Therapeutics Holdings, Inc. (the "Company") and its subsidiaries for the year ended December 31, 2020 and the nine months ended September 30, 2020 and 2021, respectively. Unless we state otherwise or the context otherwise requires, the terms “we,” “us,” “our,” and “Rani” and similar references refers to the Company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We are a clinical stage biotherapeutics company advancing technologies to enable the development of orally administered biologics.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 Our pipeline includes five core product candidate programs. Additionally, we envision complementing these core programs with robust partnering activities to maximize the value inherent in the RaniPill capsule.</w:t>
      </w:r>
    </w:p>
    <w:p>
      <w:pPr>
        <w:spacing w:after="0" w:line="182"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our preferred units and the issuance of convertible promissory notes, with aggregate gross proceeds of $282.4 million, as well as revenue generated from evaluation agreements. We expect that our cash and cash equivalents of $129.7 million as of September 30, 2021 will be sufficient to fund our operating expenses and capital expenditure requirements through at least the next twelve months.</w:t>
      </w:r>
    </w:p>
    <w:p>
      <w:pPr>
        <w:spacing w:after="0" w:line="174" w:lineRule="exact"/>
        <w:rPr>
          <w:sz w:val="20"/>
          <w:szCs w:val="20"/>
          <w:color w:val="auto"/>
        </w:rPr>
      </w:pPr>
    </w:p>
    <w:p>
      <w:pPr>
        <w:ind w:right="120" w:firstLine="1018"/>
        <w:spacing w:after="0" w:line="311" w:lineRule="auto"/>
        <w:rPr>
          <w:sz w:val="20"/>
          <w:szCs w:val="20"/>
          <w:color w:val="auto"/>
        </w:rPr>
      </w:pPr>
      <w:r>
        <w:rPr>
          <w:rFonts w:ascii="Arial" w:cs="Arial" w:eastAsia="Arial" w:hAnsi="Arial"/>
          <w:sz w:val="16"/>
          <w:szCs w:val="16"/>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Since our inception, we have incurred significant losses and negative cash flows from operations. Our net losses were $28.7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$39.8 million for the three and nine months ended September 30, 2021, respectively, of which $3.1 million was attributable to Rani Therapeutics Holdings,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 for the three and nine months ended September 30, 2021. As of September 30, 2021, we had an accumulated deficit of $3.1 million. We expect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continue to incur significant losses for the foreseeable future, and our net losses may fluctuate significantly from period to period, depending on the timing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and expenditures on our planned research and development activities. Until such time as we can generate sufficient revenue from commercial product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sales, if ever, we expect to finance our operations through a combination of equity offerings and debt financings, or other capital sources, which may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include strategic collaborations or other arrangements with third parties. We may be unable to raise additional funds or to enter into such agreements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arrangements on favorable terms, or at all. If we are unable to raise capital or enter into such agreements as and when needed, we may have to significantly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delay, scale back or discontinue the development or commercialization of one or more of our product candidates. Insufficient liquidity may also require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relinquish rights to product candidates at an earlier stage of development or on less favorable terms than we would otherwise choose.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right="20" w:firstLine="1018"/>
        <w:spacing w:after="0" w:line="290"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6"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As is common with biotechnology companies, we rely on third-party suppliers for the supply of raw materials and active pharmaceutical ingredients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9"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65" w:lineRule="exact"/>
        <w:rPr>
          <w:sz w:val="20"/>
          <w:szCs w:val="20"/>
          <w:color w:val="auto"/>
        </w:rPr>
      </w:pPr>
    </w:p>
    <w:p>
      <w:pPr>
        <w:ind w:right="20" w:firstLine="1018"/>
        <w:spacing w:after="0" w:line="292" w:lineRule="auto"/>
        <w:rPr>
          <w:sz w:val="20"/>
          <w:szCs w:val="20"/>
          <w:color w:val="auto"/>
        </w:rPr>
      </w:pPr>
      <w:r>
        <w:rPr>
          <w:rFonts w:ascii="Arial" w:cs="Arial" w:eastAsia="Arial" w:hAnsi="Arial"/>
          <w:sz w:val="17"/>
          <w:szCs w:val="17"/>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43" w:lineRule="exact"/>
        <w:rPr>
          <w:sz w:val="20"/>
          <w:szCs w:val="20"/>
          <w:color w:val="auto"/>
        </w:rPr>
      </w:pPr>
    </w:p>
    <w:p>
      <w:pPr>
        <w:ind w:right="180" w:firstLine="1018"/>
        <w:spacing w:after="0" w:line="292" w:lineRule="auto"/>
        <w:rPr>
          <w:sz w:val="20"/>
          <w:szCs w:val="20"/>
          <w:color w:val="auto"/>
        </w:rPr>
      </w:pPr>
      <w:r>
        <w:rPr>
          <w:rFonts w:ascii="Arial" w:cs="Arial" w:eastAsia="Arial" w:hAnsi="Arial"/>
          <w:sz w:val="17"/>
          <w:szCs w:val="17"/>
          <w:color w:val="auto"/>
        </w:rPr>
        <w:t>The Company was incorporated in April 2021 and formed for the purpose of facilitating the initial public offering ("IPO") in order to carry on the Company’s business. In connection with the IPO, the Company became a holding company and its principal asset is the Class A common units (“Class A Units”) of Rani Therapeutics, LLC ("Rani LLC") that it owns. As the sole managing member of Rani LLC, the Company operates and controls all of Rani LLC’s operations, and through Rani LLC and its subsidiary, conducts all of Rani LLC’s business and the financial results of Rani LLC and its consolidated subsidiary will be included in the consolidated financial statements of the Company.</w:t>
      </w:r>
    </w:p>
    <w:p>
      <w:pPr>
        <w:spacing w:after="0" w:line="174" w:lineRule="exact"/>
        <w:rPr>
          <w:sz w:val="20"/>
          <w:szCs w:val="20"/>
          <w:color w:val="auto"/>
        </w:rPr>
      </w:pPr>
    </w:p>
    <w:p>
      <w:pPr>
        <w:ind w:right="20" w:firstLine="1018"/>
        <w:spacing w:after="0" w:line="299" w:lineRule="auto"/>
        <w:rPr>
          <w:sz w:val="20"/>
          <w:szCs w:val="20"/>
          <w:color w:val="auto"/>
        </w:rPr>
      </w:pPr>
      <w:r>
        <w:rPr>
          <w:rFonts w:ascii="Arial" w:cs="Arial" w:eastAsia="Arial" w:hAnsi="Arial"/>
          <w:sz w:val="16"/>
          <w:szCs w:val="16"/>
          <w:color w:val="auto"/>
        </w:rPr>
        <w:t>Rani LLC has been, and after the IPO continues to be, treated as a pass-through entity for U.S. federal and state income tax purposes and accordingly has not been subject to U.S. federal or state income tax. The wholly owned subsidiary of Rani LLC, Rani Management Services, Inc. ("RMS"), which was incorporated in 2019, is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will incur expenses related to our operations and we are required to make payments under the Tax Receivable Agreement with certain of the individuals and entities that continue to hold interests in Rani LLC after the IPO (the "Continuing LLC Owners"). Due to the uncertainty of various factors, we cannot</w:t>
      </w:r>
    </w:p>
    <w:p>
      <w:pPr>
        <w:spacing w:after="0" w:line="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280"/>
        <w:spacing w:after="0" w:line="359" w:lineRule="auto"/>
        <w:rPr>
          <w:sz w:val="20"/>
          <w:szCs w:val="20"/>
          <w:color w:val="auto"/>
        </w:rPr>
      </w:pPr>
      <w:r>
        <w:rPr>
          <w:rFonts w:ascii="Arial" w:cs="Arial" w:eastAsia="Arial" w:hAnsi="Arial"/>
          <w:sz w:val="16"/>
          <w:szCs w:val="16"/>
          <w:color w:val="auto"/>
        </w:rPr>
        <w:t>estimate the likely tax benefits we will realize as a result of LLC Interests exchanges, and the resulting amounts we will likely pay out to the Continuing LLC Owners pursuant to the Tax Receivable Agreement; however, we estimate that such payments may be substantial in the event we are profitable.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39"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has been derived from the evaluation agreements, which are recorded as contract revenue. As of September 30, 2021, we had no active evaluation agreements, and therefore we expect that our revenue for the next several years will be derived from any new agreements that we may enter into in the future.</w:t>
      </w:r>
    </w:p>
    <w:p>
      <w:pPr>
        <w:spacing w:after="0" w:line="185" w:lineRule="exact"/>
        <w:rPr>
          <w:sz w:val="20"/>
          <w:szCs w:val="20"/>
          <w:color w:val="auto"/>
        </w:rPr>
      </w:pPr>
    </w:p>
    <w:p>
      <w:pPr>
        <w:ind w:right="200" w:firstLine="1018"/>
        <w:spacing w:after="0" w:line="303" w:lineRule="auto"/>
        <w:rPr>
          <w:sz w:val="20"/>
          <w:szCs w:val="20"/>
          <w:color w:val="auto"/>
        </w:rPr>
      </w:pPr>
      <w:r>
        <w:rPr>
          <w:rFonts w:ascii="Arial" w:cs="Arial" w:eastAsia="Arial" w:hAnsi="Arial"/>
          <w:sz w:val="17"/>
          <w:szCs w:val="17"/>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w:t>
      </w:r>
    </w:p>
    <w:p>
      <w:pPr>
        <w:spacing w:after="0" w:line="239" w:lineRule="exact"/>
        <w:rPr>
          <w:sz w:val="20"/>
          <w:szCs w:val="20"/>
          <w:color w:val="auto"/>
        </w:rPr>
      </w:pPr>
    </w:p>
    <w:p>
      <w:pPr>
        <w:ind w:right="140" w:firstLine="1018"/>
        <w:spacing w:after="0" w:line="293"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commercialize the RaniPill capsule. These expenses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consisting of:</w:t>
      </w:r>
    </w:p>
    <w:p>
      <w:pPr>
        <w:spacing w:after="0" w:line="239" w:lineRule="exact"/>
        <w:rPr>
          <w:sz w:val="20"/>
          <w:szCs w:val="20"/>
          <w:color w:val="auto"/>
        </w:rPr>
      </w:pPr>
    </w:p>
    <w:p>
      <w:pPr>
        <w:ind w:left="1520" w:hanging="366"/>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associated with contract research organizations ("CROs"), for managing and conducting clinical trials;</w:t>
      </w:r>
    </w:p>
    <w:p>
      <w:pPr>
        <w:spacing w:after="0" w:line="238" w:lineRule="exact"/>
        <w:rPr>
          <w:rFonts w:ascii="Arial" w:cs="Arial" w:eastAsia="Arial" w:hAnsi="Arial"/>
          <w:sz w:val="18"/>
          <w:szCs w:val="18"/>
          <w:color w:val="auto"/>
        </w:rPr>
      </w:pPr>
    </w:p>
    <w:p>
      <w:pPr>
        <w:ind w:left="1540" w:right="260" w:hanging="386"/>
        <w:spacing w:after="0" w:line="293" w:lineRule="auto"/>
        <w:tabs>
          <w:tab w:leader="none" w:pos="151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69" w:lineRule="exact"/>
        <w:rPr>
          <w:rFonts w:ascii="Arial" w:cs="Arial" w:eastAsia="Arial" w:hAnsi="Arial"/>
          <w:sz w:val="18"/>
          <w:szCs w:val="18"/>
          <w:color w:val="auto"/>
        </w:rPr>
      </w:pPr>
    </w:p>
    <w:p>
      <w:pPr>
        <w:ind w:left="1520" w:hanging="366"/>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Internal expenses, consisting of:</w:t>
      </w:r>
    </w:p>
    <w:p>
      <w:pPr>
        <w:spacing w:after="0" w:line="239" w:lineRule="exact"/>
        <w:rPr>
          <w:sz w:val="20"/>
          <w:szCs w:val="20"/>
          <w:color w:val="auto"/>
        </w:rPr>
      </w:pPr>
    </w:p>
    <w:p>
      <w:pPr>
        <w:ind w:left="1540" w:right="380" w:hanging="386"/>
        <w:spacing w:after="0" w:line="293" w:lineRule="auto"/>
        <w:tabs>
          <w:tab w:leader="none" w:pos="15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including salaries, bonuses, equity-based compensation and benefits for personnel engaged in research and development functions;</w:t>
      </w:r>
    </w:p>
    <w:p>
      <w:pPr>
        <w:spacing w:after="0" w:line="169" w:lineRule="exact"/>
        <w:rPr>
          <w:rFonts w:ascii="Arial" w:cs="Arial" w:eastAsia="Arial" w:hAnsi="Arial"/>
          <w:sz w:val="18"/>
          <w:szCs w:val="18"/>
          <w:color w:val="auto"/>
        </w:rPr>
      </w:pPr>
    </w:p>
    <w:p>
      <w:pPr>
        <w:ind w:left="1540" w:right="620" w:hanging="386"/>
        <w:spacing w:after="0" w:line="293" w:lineRule="auto"/>
        <w:tabs>
          <w:tab w:leader="none" w:pos="15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69" w:lineRule="exact"/>
        <w:rPr>
          <w:rFonts w:ascii="Arial" w:cs="Arial" w:eastAsia="Arial" w:hAnsi="Arial"/>
          <w:sz w:val="18"/>
          <w:szCs w:val="18"/>
          <w:color w:val="auto"/>
        </w:rPr>
      </w:pPr>
    </w:p>
    <w:p>
      <w:pPr>
        <w:ind w:left="1520" w:hanging="366"/>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39"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81" w:lineRule="exact"/>
        <w:rPr>
          <w:sz w:val="20"/>
          <w:szCs w:val="20"/>
          <w:color w:val="auto"/>
        </w:rPr>
      </w:pPr>
    </w:p>
    <w:p>
      <w:pPr>
        <w:ind w:right="360" w:firstLine="1018"/>
        <w:spacing w:after="0" w:line="266"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right="40" w:firstLine="1018"/>
        <w:spacing w:after="0" w:line="293"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right="20" w:firstLine="1018"/>
        <w:spacing w:after="0" w:line="309"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220" w:firstLine="1018"/>
        <w:spacing w:after="0" w:line="292"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equity-based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74" w:lineRule="exact"/>
        <w:rPr>
          <w:sz w:val="20"/>
          <w:szCs w:val="20"/>
          <w:color w:val="auto"/>
        </w:rPr>
      </w:pPr>
    </w:p>
    <w:p>
      <w:pPr>
        <w:ind w:right="260" w:firstLine="1018"/>
        <w:spacing w:after="0" w:line="319" w:lineRule="auto"/>
        <w:rPr>
          <w:sz w:val="20"/>
          <w:szCs w:val="20"/>
          <w:color w:val="auto"/>
        </w:rPr>
      </w:pPr>
      <w:r>
        <w:rPr>
          <w:rFonts w:ascii="Arial" w:cs="Arial" w:eastAsia="Arial" w:hAnsi="Arial"/>
          <w:sz w:val="16"/>
          <w:szCs w:val="16"/>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9" w:lineRule="exact"/>
        <w:rPr>
          <w:sz w:val="20"/>
          <w:szCs w:val="20"/>
          <w:color w:val="auto"/>
        </w:rPr>
      </w:pPr>
    </w:p>
    <w:p>
      <w:pPr>
        <w:ind w:right="80" w:firstLine="1018"/>
        <w:spacing w:after="0" w:line="293"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 and loss on the extinguishment of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InCube Labs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39"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In January 2019, we entered into a one year service agreement with InCube Labs, LLC ("ICL"), the majority holder of the Company's common units and a related party. This agreement was amended in January 2020 to extend the period for an additional year and expired in December 2020. We are presently operating under a service agreement with ICL executed in June 2021, retroactive to January 1, 2021. We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our behalf as well as allocations of expenses based upon our utilization of ICL’s facilities and equipment.</w:t>
      </w:r>
    </w:p>
    <w:p>
      <w:pPr>
        <w:spacing w:after="0" w:line="181"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In June 2021, RMS entered into the RMS-ICL Service Agreement effective January 1, 2021, pursuant to which ICL agreed to rent a specified portion of its facility to RMS. Additionally, RMS and ICL agreed to provide personnel services to the other upon requests based on rates specified in the agreement. The RMS-ICL Service Agreement has a 12-month term and will automatically renew for successive 12-month periods unless terminated. For the nine months ended September 30, 2021 and 2020, RMS charged ICL $0.3 million and $0.5 million for services performed, respectively, and such amounts charged were recorded as a reduction to research and development expense in the condensed consolidated statement of operations and comprehensive loss.</w:t>
      </w:r>
    </w:p>
    <w:p>
      <w:pPr>
        <w:spacing w:after="0" w:line="191" w:lineRule="exact"/>
        <w:rPr>
          <w:sz w:val="20"/>
          <w:szCs w:val="20"/>
          <w:color w:val="auto"/>
        </w:rPr>
      </w:pPr>
    </w:p>
    <w:p>
      <w:pPr>
        <w:ind w:right="280" w:firstLine="1018"/>
        <w:spacing w:after="0" w:line="293" w:lineRule="auto"/>
        <w:rPr>
          <w:sz w:val="20"/>
          <w:szCs w:val="20"/>
          <w:color w:val="auto"/>
        </w:rPr>
      </w:pPr>
      <w:r>
        <w:rPr>
          <w:rFonts w:ascii="Arial" w:cs="Arial" w:eastAsia="Arial" w:hAnsi="Arial"/>
          <w:sz w:val="18"/>
          <w:szCs w:val="18"/>
          <w:color w:val="auto"/>
        </w:rPr>
        <w:t>Our eligible employees are permitted to participate in ICL’s 401(k) Plan (“401(k) Plan”). Participation in the 401(k) Plan is offered for the benefit of our employees, including our named executive officers, who satisfy certain eligibility requirements.</w:t>
      </w:r>
    </w:p>
    <w:p>
      <w:pPr>
        <w:spacing w:after="0" w:line="170" w:lineRule="exact"/>
        <w:rPr>
          <w:sz w:val="20"/>
          <w:szCs w:val="20"/>
          <w:color w:val="auto"/>
        </w:rPr>
      </w:pPr>
    </w:p>
    <w:p>
      <w:pPr>
        <w:ind w:right="200" w:firstLine="1018"/>
        <w:spacing w:after="0" w:line="266" w:lineRule="auto"/>
        <w:rPr>
          <w:sz w:val="20"/>
          <w:szCs w:val="20"/>
          <w:color w:val="auto"/>
        </w:rPr>
      </w:pPr>
      <w:r>
        <w:rPr>
          <w:rFonts w:ascii="Arial" w:cs="Arial" w:eastAsia="Arial" w:hAnsi="Arial"/>
          <w:sz w:val="18"/>
          <w:szCs w:val="18"/>
          <w:color w:val="auto"/>
        </w:rPr>
        <w:t>As of September 30, 2021, all of our facilities are owned by an entity affiliated with one of our directors, who is also the owner of ICL. We pay for the use of these facilities through the service agreement with ICL.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100" w:firstLine="1018"/>
        <w:spacing w:after="0" w:line="293" w:lineRule="auto"/>
        <w:rPr>
          <w:sz w:val="20"/>
          <w:szCs w:val="20"/>
          <w:color w:val="auto"/>
        </w:rPr>
      </w:pPr>
      <w:r>
        <w:rPr>
          <w:rFonts w:ascii="Arial" w:cs="Arial" w:eastAsia="Arial" w:hAnsi="Arial"/>
          <w:sz w:val="18"/>
          <w:szCs w:val="18"/>
          <w:color w:val="auto"/>
        </w:rPr>
        <w:t>The table below details the amounts charged by ICL for services and rent, net of the amount that RMS charged ICL, which is included in the condensed consolidated statements of operations and comprehensive loss (in thousands):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21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92"/>
        </w:trPr>
        <w:tc>
          <w:tcPr>
            <w:tcW w:w="37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w w:val="93"/>
              </w:rPr>
              <w:t>September 30,</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7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5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2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r>
      <w:tr>
        <w:trPr>
          <w:trHeight w:val="290"/>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371</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893</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146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146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1543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1543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1289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39" w:lineRule="exact"/>
        <w:rPr>
          <w:sz w:val="20"/>
          <w:szCs w:val="20"/>
          <w:color w:val="auto"/>
        </w:rPr>
      </w:pPr>
    </w:p>
    <w:p>
      <w:pPr>
        <w:ind w:right="200" w:firstLine="1063"/>
        <w:spacing w:after="0" w:line="271" w:lineRule="auto"/>
        <w:rPr>
          <w:sz w:val="20"/>
          <w:szCs w:val="20"/>
          <w:color w:val="auto"/>
        </w:rPr>
      </w:pPr>
      <w:r>
        <w:rPr>
          <w:rFonts w:ascii="Arial" w:cs="Arial" w:eastAsia="Arial" w:hAnsi="Arial"/>
          <w:sz w:val="18"/>
          <w:szCs w:val="18"/>
          <w:color w:val="auto"/>
        </w:rPr>
        <w:t>In connection with the IPO and Organizational Transactions, the Company effectuated an exchange of all outstanding Profits Interests into Class A Units including certain Profits Interests related to ICL and its affiliates ("ICL Holders"). Upon the IPO and Organizational Transactions, the performance condition was met for all Profits Interest no longer subject to a service based vesting condition resulting in the recognition of compensation cost associated with these awards. ICL Holders of 919,282 Class A Units exchanged 854,807 such units for the Company's Class A common stock, the remaining 64,475 Class A Units of Rani LLC continue to be outstanding and are exchangeable for the Company's Class A common stock at the option of the ICL Holders.</w:t>
      </w:r>
    </w:p>
    <w:p>
      <w:pPr>
        <w:spacing w:after="0" w:line="191" w:lineRule="exact"/>
        <w:rPr>
          <w:sz w:val="20"/>
          <w:szCs w:val="20"/>
          <w:color w:val="auto"/>
        </w:rPr>
      </w:pPr>
    </w:p>
    <w:p>
      <w:pPr>
        <w:ind w:right="80" w:firstLine="1018"/>
        <w:spacing w:after="0" w:line="324" w:lineRule="auto"/>
        <w:rPr>
          <w:sz w:val="20"/>
          <w:szCs w:val="20"/>
          <w:color w:val="auto"/>
        </w:rPr>
      </w:pPr>
      <w:r>
        <w:rPr>
          <w:rFonts w:ascii="Arial" w:cs="Arial" w:eastAsia="Arial" w:hAnsi="Arial"/>
          <w:sz w:val="17"/>
          <w:szCs w:val="17"/>
          <w:color w:val="auto"/>
        </w:rPr>
        <w:t>The following table summarizes the components of equity-based compensation expense recorded in the condensed consolidated statement of operations and comprehensive loss related to awards granted to employees of ICL and its affiliates by the Company (in thousands):</w:t>
      </w:r>
    </w:p>
    <w:p>
      <w:pPr>
        <w:spacing w:after="0" w:line="38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jc w:val="center"/>
              <w:ind w:right="175"/>
              <w:spacing w:after="0"/>
              <w:rPr>
                <w:sz w:val="20"/>
                <w:szCs w:val="20"/>
                <w:color w:val="auto"/>
              </w:rPr>
            </w:pPr>
            <w:r>
              <w:rPr>
                <w:rFonts w:ascii="Arial" w:cs="Arial" w:eastAsia="Arial" w:hAnsi="Arial"/>
                <w:sz w:val="14"/>
                <w:szCs w:val="14"/>
                <w:b w:val="1"/>
                <w:bCs w:val="1"/>
                <w:color w:val="auto"/>
                <w:w w:val="94"/>
              </w:rPr>
              <w:t>Nine Months Ended</w:t>
            </w:r>
          </w:p>
        </w:tc>
        <w:tc>
          <w:tcPr>
            <w:tcW w:w="400" w:type="dxa"/>
            <w:vAlign w:val="bottom"/>
          </w:tcPr>
          <w:p>
            <w:pPr>
              <w:spacing w:after="0"/>
              <w:rPr>
                <w:sz w:val="15"/>
                <w:szCs w:val="15"/>
                <w:color w:val="auto"/>
              </w:rPr>
            </w:pPr>
          </w:p>
        </w:tc>
      </w:t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96"/>
        </w:trPr>
        <w:tc>
          <w:tcPr>
            <w:tcW w:w="3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Pr>
          <w:p>
            <w:pPr>
              <w:spacing w:after="0"/>
              <w:rPr>
                <w:sz w:val="17"/>
                <w:szCs w:val="17"/>
                <w:color w:val="auto"/>
              </w:rPr>
            </w:pPr>
          </w:p>
        </w:tc>
      </w:tr>
      <w:tr>
        <w:trPr>
          <w:trHeight w:val="25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22"/>
                <w:szCs w:val="22"/>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r>
      <w:tr>
        <w:trPr>
          <w:trHeight w:val="290"/>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3,591</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3,591</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200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2571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257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39" w:lineRule="exact"/>
        <w:rPr>
          <w:sz w:val="20"/>
          <w:szCs w:val="20"/>
          <w:color w:val="auto"/>
        </w:rPr>
      </w:pPr>
    </w:p>
    <w:p>
      <w:pPr>
        <w:ind w:right="120" w:firstLine="1018"/>
        <w:spacing w:after="0" w:line="309" w:lineRule="auto"/>
        <w:rPr>
          <w:sz w:val="20"/>
          <w:szCs w:val="20"/>
          <w:color w:val="auto"/>
        </w:rPr>
      </w:pPr>
      <w:r>
        <w:rPr>
          <w:rFonts w:ascii="Arial" w:cs="Arial" w:eastAsia="Arial" w:hAnsi="Arial"/>
          <w:sz w:val="16"/>
          <w:szCs w:val="16"/>
          <w:color w:val="auto"/>
        </w:rPr>
        <w:t>From inception to December 31, 2017, we advanced funds to ICL, and ICL made payments directly to certain vendors on behalf of us. We have reimbursed ICL for all such payments at cost on a monthly basis. In June 2017, we converted the outstanding advances of $6.6 million to ICL into notes receivable. The notes provided for interest at 1.97% compounded annually, loan fees of 2.75% and were payable upon demand to us any time after January 1, 2024. During 2020, we received $1.0 million in payments for interest and repayment of principal on the ICL notes receivable. During the nine months ended September 30, 2020, payments for interest and repayment of principal on the ICL note receivable was insignificant. During the nine months ended September 30, 2021, we received $1.7 million for interest and principal on the ICL notes receivable. As of December 31, 2020, $1.7 million of the notes were outstanding. The outstanding balance, including all accrued interest, was fully repaid in March 2021.</w:t>
      </w:r>
    </w:p>
    <w:p>
      <w:pPr>
        <w:spacing w:after="0" w:line="164" w:lineRule="exact"/>
        <w:rPr>
          <w:sz w:val="20"/>
          <w:szCs w:val="20"/>
          <w:color w:val="auto"/>
        </w:rPr>
      </w:pPr>
    </w:p>
    <w:p>
      <w:pPr>
        <w:ind w:right="100" w:firstLine="1018"/>
        <w:spacing w:after="0" w:line="279" w:lineRule="auto"/>
        <w:rPr>
          <w:sz w:val="20"/>
          <w:szCs w:val="20"/>
          <w:color w:val="auto"/>
        </w:rPr>
      </w:pPr>
      <w:r>
        <w:rPr>
          <w:rFonts w:ascii="Arial" w:cs="Arial" w:eastAsia="Arial" w:hAnsi="Arial"/>
          <w:sz w:val="18"/>
          <w:szCs w:val="18"/>
          <w:color w:val="auto"/>
        </w:rPr>
        <w:t>In December 2020, we amended the terms of certain expired warrants to purchase Series B units (the "Series B Warrants"), issued to InCube Ventures II, LP ("ICV II"), a related party and entity affiliated with ICL, by extending its exercise period for an additional two years. In December 2020, ICV II elected to cashless exercise all of their Series B Warrants and Rani LLC issued 51,341 Series B units.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39" w:lineRule="exact"/>
        <w:rPr>
          <w:sz w:val="20"/>
          <w:szCs w:val="20"/>
          <w:color w:val="auto"/>
        </w:rPr>
      </w:pPr>
    </w:p>
    <w:p>
      <w:pPr>
        <w:ind w:right="20" w:firstLine="1018"/>
        <w:spacing w:after="0" w:line="299" w:lineRule="auto"/>
        <w:rPr>
          <w:sz w:val="20"/>
          <w:szCs w:val="20"/>
          <w:color w:val="auto"/>
        </w:rPr>
      </w:pPr>
      <w:r>
        <w:rPr>
          <w:rFonts w:ascii="Arial" w:cs="Arial" w:eastAsia="Arial" w:hAnsi="Arial"/>
          <w:sz w:val="16"/>
          <w:szCs w:val="16"/>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License Agreement, we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$0.3 million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right="300"/>
        <w:spacing w:after="0" w:line="293" w:lineRule="auto"/>
        <w:rPr>
          <w:sz w:val="20"/>
          <w:szCs w:val="20"/>
          <w:color w:val="auto"/>
        </w:rPr>
      </w:pPr>
      <w:r>
        <w:rPr>
          <w:rFonts w:ascii="Arial" w:cs="Arial" w:eastAsia="Arial" w:hAnsi="Arial"/>
          <w:sz w:val="18"/>
          <w:szCs w:val="18"/>
          <w:color w:val="auto"/>
        </w:rPr>
        <w:t>may terminate the Amended and Restated Exclusive License Agreement in its entirety or as to any particular licensed patent upon notification to ICL of such intent to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39"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June 2021, we entered into the Non-Exclusive License Agreement with ICL a related party, pursuant to which we granted ICL a non-exclusive, fully-paid license under specified patents that were assigned from ICL to the Company.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39"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June 2021, we entered into the Mir Agreement, pursuant to which we and Mir Imran agreed that we would own all intellectual property conceived (a) using any of our people, equipment, or facilities or (b)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ind w:right="60" w:firstLine="1018"/>
        <w:spacing w:after="0" w:line="279" w:lineRule="auto"/>
        <w:rPr>
          <w:sz w:val="20"/>
          <w:szCs w:val="20"/>
          <w:color w:val="auto"/>
        </w:rPr>
      </w:pPr>
      <w:r>
        <w:rPr>
          <w:rFonts w:ascii="Arial" w:cs="Arial" w:eastAsia="Arial" w:hAnsi="Arial"/>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39" w:lineRule="exact"/>
        <w:rPr>
          <w:sz w:val="20"/>
          <w:szCs w:val="20"/>
          <w:color w:val="auto"/>
        </w:rPr>
      </w:pPr>
    </w:p>
    <w:p>
      <w:pPr>
        <w:ind w:right="120" w:firstLine="1063"/>
        <w:spacing w:after="0" w:line="290" w:lineRule="auto"/>
        <w:rPr>
          <w:sz w:val="20"/>
          <w:szCs w:val="20"/>
          <w:color w:val="auto"/>
        </w:rPr>
      </w:pPr>
      <w:r>
        <w:rPr>
          <w:rFonts w:ascii="Arial" w:cs="Arial" w:eastAsia="Arial" w:hAnsi="Arial"/>
          <w:sz w:val="17"/>
          <w:szCs w:val="17"/>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and the Former LLC Owners can require us to register under the Securities Act of 1933, as amended (the “Securities Act”), the shares of Class A common stock issued to them in connection with the Organizational Transactions. The Registration Rights Agreement also provides for piggyback registration rights for the Continuing LLC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39" w:lineRule="exact"/>
        <w:rPr>
          <w:sz w:val="20"/>
          <w:szCs w:val="20"/>
          <w:color w:val="auto"/>
        </w:rPr>
      </w:pPr>
    </w:p>
    <w:p>
      <w:pPr>
        <w:ind w:right="80" w:firstLine="1018"/>
        <w:spacing w:after="0" w:line="311" w:lineRule="auto"/>
        <w:rPr>
          <w:sz w:val="20"/>
          <w:szCs w:val="20"/>
          <w:color w:val="auto"/>
        </w:rPr>
      </w:pPr>
      <w:r>
        <w:rPr>
          <w:rFonts w:ascii="Arial" w:cs="Arial" w:eastAsia="Arial" w:hAnsi="Arial"/>
          <w:sz w:val="16"/>
          <w:szCs w:val="16"/>
          <w:color w:val="auto"/>
        </w:rPr>
        <w:t>The Company operates its business through Rani LLC and its subsidiary. In connection with the IPO, the Company and the Continuing LLC Owners, including ICL, entered into the Rani LLC Agreement. The operations of Rani LLC, and the rights and obligations of the holders of LLC Interests, are set forth in the Rani LLC Agreement. As a Continuing LLC Owner, ICL is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No exchanges with ICL of Paired Interests occurred during the three and nine months ended September 30, 2021.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Public Company Expenses</w:t>
      </w:r>
    </w:p>
    <w:p>
      <w:pPr>
        <w:spacing w:after="0" w:line="243" w:lineRule="exact"/>
        <w:rPr>
          <w:sz w:val="20"/>
          <w:szCs w:val="20"/>
          <w:color w:val="auto"/>
        </w:rPr>
      </w:pPr>
    </w:p>
    <w:p>
      <w:pPr>
        <w:ind w:right="180" w:firstLine="1018"/>
        <w:spacing w:after="0" w:line="266" w:lineRule="auto"/>
        <w:rPr>
          <w:sz w:val="20"/>
          <w:szCs w:val="20"/>
          <w:color w:val="auto"/>
        </w:rPr>
      </w:pPr>
      <w:r>
        <w:rPr>
          <w:rFonts w:ascii="Arial" w:cs="Arial" w:eastAsia="Arial" w:hAnsi="Arial"/>
          <w:sz w:val="18"/>
          <w:szCs w:val="18"/>
          <w:color w:val="auto"/>
        </w:rPr>
        <w:t>As a result of the IPO, we expect our operating expenses to increase.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September 30,</w:t>
            </w:r>
          </w:p>
        </w:tc>
      </w:tr>
      <w:tr>
        <w:trPr>
          <w:trHeight w:val="196"/>
        </w:trPr>
        <w:tc>
          <w:tcPr>
            <w:tcW w:w="59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2"/>
                <w:szCs w:val="22"/>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FF0FC"/>
          </w:tcPr>
          <w:p>
            <w:pPr>
              <w:spacing w:after="0"/>
              <w:rPr>
                <w:sz w:val="22"/>
                <w:szCs w:val="22"/>
                <w:color w:val="auto"/>
              </w:rPr>
            </w:pPr>
          </w:p>
        </w:tc>
      </w:tr>
      <w:tr>
        <w:trPr>
          <w:trHeight w:val="250"/>
        </w:trPr>
        <w:tc>
          <w:tcPr>
            <w:tcW w:w="5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15,822</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r>
      <w:tr>
        <w:trPr>
          <w:trHeight w:val="250"/>
        </w:trPr>
        <w:tc>
          <w:tcPr>
            <w:tcW w:w="59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90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(27,781 )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(2,827 )</w:t>
            </w:r>
          </w:p>
        </w:tc>
      </w:tr>
      <w:tr>
        <w:trPr>
          <w:trHeight w:val="26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r>
      <w:tr>
        <w:trPr>
          <w:trHeight w:val="263"/>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(700 )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900" w:type="dxa"/>
            <w:vAlign w:val="bottom"/>
          </w:tcPr>
          <w:p>
            <w:pPr>
              <w:ind w:left="180"/>
              <w:spacing w:after="0"/>
              <w:rPr>
                <w:sz w:val="20"/>
                <w:szCs w:val="20"/>
                <w:color w:val="auto"/>
              </w:rPr>
            </w:pPr>
            <w:r>
              <w:rPr>
                <w:rFonts w:ascii="Arial" w:cs="Arial" w:eastAsia="Arial" w:hAnsi="Arial"/>
                <w:sz w:val="18"/>
                <w:szCs w:val="18"/>
                <w:color w:val="auto"/>
              </w:rPr>
              <w:t>Interest expense and other, net</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(110 )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(64 )</w:t>
            </w:r>
          </w:p>
        </w:tc>
      </w:tr>
      <w:tr>
        <w:trPr>
          <w:trHeight w:val="256"/>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estimated fair value of preferred unit warrant</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900" w:type="dxa"/>
            <w:vAlign w:val="bottom"/>
          </w:tcPr>
          <w:p>
            <w:pPr>
              <w:ind w:left="5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(28,663 )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(2,878 )</w:t>
            </w:r>
          </w:p>
        </w:tc>
      </w:tr>
      <w:tr>
        <w:trPr>
          <w:trHeight w:val="256"/>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r>
      <w:tr>
        <w:trPr>
          <w:trHeight w:val="20"/>
        </w:trPr>
        <w:tc>
          <w:tcPr>
            <w:tcW w:w="5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(28,700 )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(2,883 )</w:t>
            </w:r>
          </w:p>
        </w:tc>
      </w:tr>
      <w:tr>
        <w:trPr>
          <w:trHeight w:val="257"/>
        </w:trPr>
        <w:tc>
          <w:tcPr>
            <w:tcW w:w="5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(25,558 )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(2,883 )</w:t>
            </w:r>
          </w:p>
        </w:tc>
      </w:tr>
      <w:tr>
        <w:trPr>
          <w:trHeight w:val="20"/>
        </w:trPr>
        <w:tc>
          <w:tcPr>
            <w:tcW w:w="5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(3,142 )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-1847850</wp:posOffset>
            </wp:positionV>
            <wp:extent cx="1543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-1847850</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-862330</wp:posOffset>
            </wp:positionV>
            <wp:extent cx="154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-862330</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-527685</wp:posOffset>
            </wp:positionV>
            <wp:extent cx="15430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-527685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-193675</wp:posOffset>
            </wp:positionV>
            <wp:extent cx="1543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39" w:lineRule="exact"/>
        <w:rPr>
          <w:sz w:val="20"/>
          <w:szCs w:val="20"/>
          <w:color w:val="auto"/>
        </w:rPr>
      </w:pPr>
    </w:p>
    <w:p>
      <w:pPr>
        <w:jc w:val="both"/>
        <w:ind w:right="40" w:firstLine="1018"/>
        <w:spacing w:after="0" w:line="279" w:lineRule="auto"/>
        <w:rPr>
          <w:sz w:val="20"/>
          <w:szCs w:val="20"/>
          <w:color w:val="auto"/>
        </w:rPr>
      </w:pPr>
      <w:r>
        <w:rPr>
          <w:rFonts w:ascii="Arial" w:cs="Arial" w:eastAsia="Arial" w:hAnsi="Arial"/>
          <w:sz w:val="18"/>
          <w:szCs w:val="18"/>
          <w:color w:val="auto"/>
        </w:rPr>
        <w:t>Contract revenue was $0.1 million for the three months ended September 30, 2020, which was attributable to our evaluation agreement with Takeda. In May 2021, we received notice from Takeda as to their intent to terminate the contract for convenience and as such we did not have any revenues for the three months ended September 30, 2021.</w:t>
      </w:r>
    </w:p>
    <w:p>
      <w:pPr>
        <w:spacing w:after="0" w:line="35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r>
      <w:tr>
        <w:trPr>
          <w:trHeight w:val="25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7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21"/>
                <w:szCs w:val="21"/>
                <w:color w:val="auto"/>
              </w:rPr>
            </w:pPr>
          </w:p>
        </w:tc>
      </w:tr>
      <w:tr>
        <w:trPr>
          <w:trHeight w:val="26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r>
      <w:tr>
        <w:trPr>
          <w:trHeight w:val="290"/>
        </w:trPr>
        <w:tc>
          <w:tcPr>
            <w:tcW w:w="5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-25400</wp:posOffset>
            </wp:positionV>
            <wp:extent cx="1543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1543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5" w:lineRule="exact"/>
        <w:rPr>
          <w:sz w:val="20"/>
          <w:szCs w:val="20"/>
          <w:color w:val="auto"/>
        </w:rPr>
      </w:pPr>
    </w:p>
    <w:p>
      <w:pPr>
        <w:ind w:right="180" w:firstLine="1018"/>
        <w:spacing w:after="0" w:line="271" w:lineRule="auto"/>
        <w:rPr>
          <w:sz w:val="20"/>
          <w:szCs w:val="20"/>
          <w:color w:val="auto"/>
        </w:rPr>
      </w:pPr>
      <w:r>
        <w:rPr>
          <w:rFonts w:ascii="Arial" w:cs="Arial" w:eastAsia="Arial" w:hAnsi="Arial"/>
          <w:sz w:val="18"/>
          <w:szCs w:val="18"/>
          <w:color w:val="auto"/>
        </w:rPr>
        <w:t>Research and development expenses were $12.0 million for the three months ended September 30, 2021, compared to $2.1 million for the three months ended September 30, 2020. The change in research and development expense was attributed to an increase of $1.9 million in salaries and related benefit costs due to higher headcount, the equity-based compensation increased by $6.6 million attributed to the vesting and recognition of the Profits Interests expense in connection with the IPO and Organizational Transactions, and additional compensation as a result of a modification of certain Profits Interests, and increase in laboratory supplies of $0.4 million and third-party services of $0.6 million as a result of increasing research and development activities at the Company.</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General and administrative expenses were $15.8 million for the three months ended September 30, 2021, compared to $0.8 million for the three months ended September 30, 2020. During the three months ended September 30, 2021, the equity-based compensation increased by $12.1 million attributed to the vesting and recognition of the Profits Interests expense in connection with the IPO and Organizational Transactions, and additional compensation as a result of a modification of certain Profits Interests, professional and consulting services expense increased by $1.1 million primarily due to the costs associated with preparing to operate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ind w:right="40"/>
        <w:spacing w:after="0" w:line="293" w:lineRule="auto"/>
        <w:rPr>
          <w:sz w:val="20"/>
          <w:szCs w:val="20"/>
          <w:color w:val="auto"/>
        </w:rPr>
      </w:pPr>
      <w:r>
        <w:rPr>
          <w:rFonts w:ascii="Arial" w:cs="Arial" w:eastAsia="Arial" w:hAnsi="Arial"/>
          <w:sz w:val="18"/>
          <w:szCs w:val="18"/>
          <w:color w:val="auto"/>
        </w:rPr>
        <w:t>as a public company, salaries and related benefits increased by $1.2 million due to higher headcount, and facility costs increased $0.5 million to support the increase in headcount.</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8"/>
          <w:szCs w:val="18"/>
          <w:color w:val="auto"/>
        </w:rPr>
        <w:t>Other expense, net, was $0.9 million for the three months ended September 30, 2021, which related to $0.7 million of loss on the extinguishment of debt in July 2021, $0.1 million of interest expense on the debt, and $0.1 million due to the increase in the estimated fair value of the Series E preferred unit warrants prior to their conversion. Other expense, net, for the three months ended September 30, 2020 was primarily comprised of interest expense on the debt which was entered into in the third quarter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58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22"/>
                <w:szCs w:val="22"/>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w:t>
            </w:r>
          </w:p>
        </w:tc>
        <w:tc>
          <w:tcPr>
            <w:tcW w:w="100" w:type="dxa"/>
            <w:vAlign w:val="bottom"/>
            <w:shd w:val="clear" w:color="auto" w:fill="CFF0FC"/>
          </w:tcPr>
          <w:p>
            <w:pPr>
              <w:spacing w:after="0"/>
              <w:rPr>
                <w:sz w:val="22"/>
                <w:szCs w:val="22"/>
                <w:color w:val="auto"/>
              </w:rPr>
            </w:pPr>
          </w:p>
        </w:tc>
      </w:tr>
      <w:tr>
        <w:trPr>
          <w:trHeight w:val="250"/>
        </w:trPr>
        <w:tc>
          <w:tcPr>
            <w:tcW w:w="58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r>
      <w:tr>
        <w:trPr>
          <w:trHeight w:val="250"/>
        </w:trPr>
        <w:tc>
          <w:tcPr>
            <w:tcW w:w="58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88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(38,237 )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(11,600 )</w:t>
            </w:r>
          </w:p>
        </w:tc>
      </w:tr>
      <w:tr>
        <w:trPr>
          <w:trHeight w:val="26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r>
      <w:tr>
        <w:trPr>
          <w:trHeight w:val="263"/>
        </w:trPr>
        <w:tc>
          <w:tcPr>
            <w:tcW w:w="5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(700 )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880" w:type="dxa"/>
            <w:vAlign w:val="bottom"/>
          </w:tcPr>
          <w:p>
            <w:pPr>
              <w:ind w:left="180"/>
              <w:spacing w:after="0"/>
              <w:rPr>
                <w:sz w:val="20"/>
                <w:szCs w:val="20"/>
                <w:color w:val="auto"/>
              </w:rPr>
            </w:pPr>
            <w:r>
              <w:rPr>
                <w:rFonts w:ascii="Arial" w:cs="Arial" w:eastAsia="Arial" w:hAnsi="Arial"/>
                <w:sz w:val="18"/>
                <w:szCs w:val="18"/>
                <w:color w:val="auto"/>
              </w:rPr>
              <w:t>Interest expense and other, net</w:t>
            </w:r>
          </w:p>
        </w:tc>
        <w:tc>
          <w:tcPr>
            <w:tcW w:w="2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(467 )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(66 )</w:t>
            </w:r>
          </w:p>
        </w:tc>
      </w:tr>
      <w:tr>
        <w:trPr>
          <w:trHeight w:val="256"/>
        </w:trPr>
        <w:tc>
          <w:tcPr>
            <w:tcW w:w="5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estimated fair value of preferred unit warrant</w:t>
            </w: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(371 )</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22"/>
                <w:szCs w:val="22"/>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80" w:type="dxa"/>
            <w:vAlign w:val="bottom"/>
          </w:tcPr>
          <w:p>
            <w:pPr>
              <w:ind w:left="5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(39,702 )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(10,924 )</w:t>
            </w:r>
          </w:p>
        </w:tc>
      </w:tr>
      <w:tr>
        <w:trPr>
          <w:trHeight w:val="257"/>
        </w:trPr>
        <w:tc>
          <w:tcPr>
            <w:tcW w:w="5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(23 )</w:t>
            </w: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(39,783 )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(10,947 )</w:t>
            </w:r>
          </w:p>
        </w:tc>
      </w:tr>
      <w:tr>
        <w:trPr>
          <w:trHeight w:val="256"/>
        </w:trPr>
        <w:tc>
          <w:tcPr>
            <w:tcW w:w="58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(36,641 )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(10,947 )</w:t>
            </w: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(3,142 )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-1847850</wp:posOffset>
            </wp:positionV>
            <wp:extent cx="1543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-1847850</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-862330</wp:posOffset>
            </wp:positionV>
            <wp:extent cx="15430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-862330</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-527685</wp:posOffset>
            </wp:positionV>
            <wp:extent cx="15430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-527685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-193675</wp:posOffset>
            </wp:positionV>
            <wp:extent cx="15430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39" w:lineRule="exact"/>
        <w:rPr>
          <w:sz w:val="20"/>
          <w:szCs w:val="20"/>
          <w:color w:val="auto"/>
        </w:rPr>
      </w:pPr>
    </w:p>
    <w:p>
      <w:pPr>
        <w:ind w:right="300" w:firstLine="1018"/>
        <w:spacing w:after="0" w:line="272" w:lineRule="auto"/>
        <w:rPr>
          <w:sz w:val="20"/>
          <w:szCs w:val="20"/>
          <w:color w:val="auto"/>
        </w:rPr>
      </w:pPr>
      <w:r>
        <w:rPr>
          <w:rFonts w:ascii="Arial" w:cs="Arial" w:eastAsia="Arial" w:hAnsi="Arial"/>
          <w:sz w:val="18"/>
          <w:szCs w:val="18"/>
          <w:color w:val="auto"/>
        </w:rPr>
        <w:t>Contract revenue was $2.7 million and $0.3 million for the nine months ended September 30, 2021 and 2020, respectively, which was attributable to the evaluation agreement with Takeda. In 2021, $0.7 million of revenue related to the timing of work performed under the agreement. In May 2021, we received notice from Takeda as to their intent to terminate the contract for convenience. The termination of the contract was considered a modification of the arrangement, and the deferred revenue remaining of $2.0 million under this agreement was fully recognized in the second quarter of 2021.</w:t>
      </w:r>
    </w:p>
    <w:p>
      <w:pPr>
        <w:spacing w:after="0" w:line="200" w:lineRule="exact"/>
        <w:rPr>
          <w:sz w:val="20"/>
          <w:szCs w:val="20"/>
          <w:color w:val="auto"/>
        </w:rPr>
      </w:pP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6"/>
                <w:szCs w:val="16"/>
                <w:color w:val="auto"/>
              </w:rPr>
            </w:pPr>
          </w:p>
        </w:tc>
      </w:tr>
      <w:tr>
        <w:trPr>
          <w:trHeight w:val="196"/>
        </w:trPr>
        <w:tc>
          <w:tcPr>
            <w:tcW w:w="58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15,139</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4,652</w:t>
            </w: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21"/>
                <w:szCs w:val="21"/>
                <w:color w:val="auto"/>
              </w:rPr>
            </w:pPr>
          </w:p>
        </w:tc>
      </w:tr>
      <w:tr>
        <w:trPr>
          <w:trHeight w:val="26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8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1"/>
                <w:szCs w:val="21"/>
                <w:color w:val="auto"/>
              </w:rPr>
            </w:pPr>
          </w:p>
        </w:tc>
      </w:tr>
      <w:tr>
        <w:trPr>
          <w:trHeight w:val="290"/>
        </w:trPr>
        <w:tc>
          <w:tcPr>
            <w:tcW w:w="5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19,065</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-25400</wp:posOffset>
            </wp:positionV>
            <wp:extent cx="1543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1543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5" w:lineRule="exact"/>
        <w:rPr>
          <w:sz w:val="20"/>
          <w:szCs w:val="20"/>
          <w:color w:val="auto"/>
        </w:rPr>
      </w:pPr>
    </w:p>
    <w:p>
      <w:pPr>
        <w:ind w:right="140" w:firstLine="1018"/>
        <w:spacing w:after="0" w:line="266" w:lineRule="auto"/>
        <w:rPr>
          <w:sz w:val="20"/>
          <w:szCs w:val="20"/>
          <w:color w:val="auto"/>
        </w:rPr>
      </w:pPr>
      <w:r>
        <w:rPr>
          <w:rFonts w:ascii="Arial" w:cs="Arial" w:eastAsia="Arial" w:hAnsi="Arial"/>
          <w:sz w:val="18"/>
          <w:szCs w:val="18"/>
          <w:color w:val="auto"/>
        </w:rPr>
        <w:t>Research and development expenses were $19.1 million for the nine months ended September 30, 2021, compared to $8.7 million for the nine months ended September 30, 2020. The change in research and development expense was attributed to an increase of $3.4 million in salaries and related benefit costs due to higher headcount, equity-based compensation of $6.9 million attributed to the vesting and recognition of the Profits Interests expense in connection with the IPO and Organizational Transactions, and additional compensation as a result of a modification of certain Profits Interests, and an increase in laboratory supplies of $0.7 million, partially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131" w:gutter="0" w:footer="0" w:header="0"/>
        </w:sectPr>
      </w:pPr>
    </w:p>
    <w:bookmarkStart w:id="34" w:name="page35"/>
    <w:bookmarkEnd w:id="34"/>
    <w:p>
      <w:pPr>
        <w:ind w:right="180"/>
        <w:spacing w:after="0" w:line="293" w:lineRule="auto"/>
        <w:rPr>
          <w:sz w:val="20"/>
          <w:szCs w:val="20"/>
          <w:color w:val="auto"/>
        </w:rPr>
      </w:pPr>
      <w:r>
        <w:rPr>
          <w:rFonts w:ascii="Arial" w:cs="Arial" w:eastAsia="Arial" w:hAnsi="Arial"/>
          <w:sz w:val="18"/>
          <w:szCs w:val="18"/>
          <w:color w:val="auto"/>
        </w:rPr>
        <w:t>offset by a reduction in third-party services of $1.1 million for the development of our manufacturing processes that occurred in 2020 and did not recur in 2021.</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60" w:firstLine="1018"/>
        <w:spacing w:after="0" w:line="311" w:lineRule="auto"/>
        <w:rPr>
          <w:sz w:val="20"/>
          <w:szCs w:val="20"/>
          <w:color w:val="auto"/>
        </w:rPr>
      </w:pPr>
      <w:r>
        <w:rPr>
          <w:rFonts w:ascii="Arial" w:cs="Arial" w:eastAsia="Arial" w:hAnsi="Arial"/>
          <w:sz w:val="16"/>
          <w:szCs w:val="16"/>
          <w:color w:val="auto"/>
        </w:rPr>
        <w:t>General and administrative expenses were $21.9 million for the nine months ended September 30, 2021, compared to $3.1 million for the nine months ended September 30, 2020. During the nine months ended September 30, 2021, our equity-based compensation expense increased by $12.5 million attributed to the vesting and recognition of the Profits Interests expense in connection with the IPO and Organizational Transactions, and additional compensation as a result of a modification of certain Profits Interests, professional and consulting services expense increased by $3.1 million primarily due to the costs associated with preparing to operate as a public company, and our payroll and related benefits increased by $2.0 million due to higher headcount, facility costs increased $0.8 million to support the higher headcount, and travel costs increased $1.0 million.</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300" w:firstLine="1018"/>
        <w:spacing w:after="0" w:line="275" w:lineRule="auto"/>
        <w:rPr>
          <w:sz w:val="20"/>
          <w:szCs w:val="20"/>
          <w:color w:val="auto"/>
        </w:rPr>
      </w:pPr>
      <w:r>
        <w:rPr>
          <w:rFonts w:ascii="Arial" w:cs="Arial" w:eastAsia="Arial" w:hAnsi="Arial"/>
          <w:sz w:val="18"/>
          <w:szCs w:val="18"/>
          <w:color w:val="auto"/>
        </w:rPr>
        <w:t>Other expense, net was $1.5 million for the nine months ended September 30, 2021, which primarily related to $0.7 million of loss on the extinguishment of debt in July 2021, $0.5 million of interest expense on the debt, and $0.4 million due to the increase in the estimated fair value of the Series E preferred unit warrants prior to their conversion. Other income, net, for the nine months ended September 30, 2020 was primarily due to the change in estimated fair value of the Series B preferred unit warrants.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39"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our preferred units and the issuance of convertible promissory notes, with aggregate gross proceeds of $282.4 million, as well as revenue generated from evaluation agreements. As of September 30, 2021, we had cash and cash equivalents of $129.7 million. In August 2021, we raised net proceeds of $73.6 million from the IPO.</w:t>
      </w:r>
    </w:p>
    <w:p>
      <w:pPr>
        <w:spacing w:after="0" w:line="178" w:lineRule="exact"/>
        <w:rPr>
          <w:sz w:val="20"/>
          <w:szCs w:val="20"/>
          <w:color w:val="auto"/>
        </w:rPr>
      </w:pPr>
    </w:p>
    <w:p>
      <w:pPr>
        <w:ind w:right="20" w:firstLine="1018"/>
        <w:spacing w:after="0" w:line="275" w:lineRule="auto"/>
        <w:rPr>
          <w:sz w:val="20"/>
          <w:szCs w:val="20"/>
          <w:color w:val="auto"/>
        </w:rPr>
      </w:pPr>
      <w:r>
        <w:rPr>
          <w:rFonts w:ascii="Arial" w:cs="Arial" w:eastAsia="Arial" w:hAnsi="Arial"/>
          <w:sz w:val="18"/>
          <w:szCs w:val="18"/>
          <w:color w:val="auto"/>
        </w:rPr>
        <w:t>In April 2020, we received loan proceeds in the amount of approximately $1.3 million under the Paycheck Protection Program, established pursuant to the CARES Act, with Comerica Bank as the lender (the “PPP Loan”). We have used this loan for eligible purposes, including payroll, benefits, rent and utilities. The loan bore interest at 1.0% per annum. In September 2021, the Company repaid in full the $1.3 million of principal and interest related to the PPP Loan.</w:t>
      </w:r>
    </w:p>
    <w:p>
      <w:pPr>
        <w:spacing w:after="0" w:line="185"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In September 2020, we entered into a secured convertible loan agreement (the “Avenue Loan Agreement”) with Avenue Venture Opportunities Fund, L.P., for loan proceeds of up to $10.0 million. As of September 30, 2021, we had drawn down $3.0 million under the Avenue Loan Agreement. The Loan bore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were secured by a first priority security interest in substantially all of our assets. In connection with the Avenue Loan Agreement, we issued warrants of 118,929 units of Series E preferred units (the "Series E Warrants"). The Series E Warrants were exercisable for a period of seven years from the date of grant at an exercise price of $7.1471 per unit. The loan was convertible at the option of the holder into our Series E convertible preferred units. In July 2021, we repaid in full the $3.0 million of principal and approximately $0.5 million of final payment and fees under the Avenue Loan Agreement.</w:t>
      </w:r>
    </w:p>
    <w:p>
      <w:pPr>
        <w:spacing w:after="0" w:line="170"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In October 2020, we entered into the Fourth Amended and Restated Operating Agreement, which authorized the sale and issuance of up to 10,493,767 Series E Preferred Units. As of September 30, 2021, we had issued the total authorized amount at a price of $7.1471 for gross proceeds of $75.0 million. In conjunction with the IPO and Organizational Transactions the Series E warrants were settled with 62,877 shares of the Company's Class A common stock.</w:t>
      </w:r>
    </w:p>
    <w:p>
      <w:pPr>
        <w:spacing w:after="0" w:line="185" w:lineRule="exact"/>
        <w:rPr>
          <w:sz w:val="20"/>
          <w:szCs w:val="20"/>
          <w:color w:val="auto"/>
        </w:rPr>
      </w:pPr>
    </w:p>
    <w:p>
      <w:pPr>
        <w:jc w:val="both"/>
        <w:ind w:right="140" w:firstLine="1018"/>
        <w:spacing w:after="0" w:line="266" w:lineRule="auto"/>
        <w:rPr>
          <w:sz w:val="20"/>
          <w:szCs w:val="20"/>
          <w:color w:val="auto"/>
        </w:rPr>
      </w:pPr>
      <w:r>
        <w:rPr>
          <w:rFonts w:ascii="Arial" w:cs="Arial" w:eastAsia="Arial" w:hAnsi="Arial"/>
          <w:sz w:val="18"/>
          <w:szCs w:val="18"/>
          <w:color w:val="auto"/>
        </w:rPr>
        <w:t>After completion of the IPO, the Company became a holding company and has no material assets other than its ownership of LLC Interests. The Company has no independent means of generating revenue. The limited liability company agreement of Rani LLC that went into effect at the closing the IPO provides that certain distributions will be made to cover the taxes of the owners of</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LLC Interests and the Company's obligations under the Tax Receivable Agreement which was entered into with certain of the Continuing LLC Owners.</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the Company as transferee pursuant to subsequent redemptions (or exchanges) of the transferred LLC Interests). We expect to benefit from the remaining 15% of tax benefits, if any, that we may realize.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w:t>
      </w:r>
    </w:p>
    <w:p>
      <w:pPr>
        <w:spacing w:after="0" w:line="178" w:lineRule="exact"/>
        <w:rPr>
          <w:sz w:val="20"/>
          <w:szCs w:val="20"/>
          <w:color w:val="auto"/>
        </w:rPr>
      </w:pPr>
    </w:p>
    <w:p>
      <w:pPr>
        <w:ind w:right="280" w:firstLine="1018"/>
        <w:spacing w:after="0" w:line="293" w:lineRule="auto"/>
        <w:rPr>
          <w:sz w:val="20"/>
          <w:szCs w:val="20"/>
          <w:color w:val="auto"/>
        </w:rPr>
      </w:pPr>
      <w:r>
        <w:rPr>
          <w:rFonts w:ascii="Arial" w:cs="Arial" w:eastAsia="Arial" w:hAnsi="Arial"/>
          <w:sz w:val="18"/>
          <w:szCs w:val="18"/>
          <w:color w:val="auto"/>
        </w:rPr>
        <w:t>As there have been no transactions which have occurred which would trigger a liability under this agreement, we have not recognized any deferred tax assets or liabilities related to this agreement as of September 30, 2021.</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39"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176"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operating as a public company.</w:t>
      </w:r>
    </w:p>
    <w:p>
      <w:pPr>
        <w:spacing w:after="0" w:line="163" w:lineRule="exact"/>
        <w:rPr>
          <w:sz w:val="20"/>
          <w:szCs w:val="20"/>
          <w:color w:val="auto"/>
        </w:rPr>
      </w:pPr>
    </w:p>
    <w:p>
      <w:pPr>
        <w:ind w:right="100" w:firstLine="1018"/>
        <w:spacing w:after="0" w:line="296" w:lineRule="auto"/>
        <w:rPr>
          <w:sz w:val="20"/>
          <w:szCs w:val="20"/>
          <w:color w:val="auto"/>
        </w:rPr>
      </w:pPr>
      <w:r>
        <w:rPr>
          <w:rFonts w:ascii="Arial" w:cs="Arial" w:eastAsia="Arial" w:hAnsi="Arial"/>
          <w:sz w:val="17"/>
          <w:szCs w:val="17"/>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62" w:lineRule="exact"/>
        <w:rPr>
          <w:sz w:val="20"/>
          <w:szCs w:val="20"/>
          <w:color w:val="auto"/>
        </w:rPr>
      </w:pPr>
    </w:p>
    <w:p>
      <w:pPr>
        <w:ind w:left="1460" w:right="2820"/>
        <w:spacing w:after="0" w:line="391" w:lineRule="auto"/>
        <w:rPr>
          <w:sz w:val="20"/>
          <w:szCs w:val="20"/>
          <w:color w:val="auto"/>
        </w:rPr>
      </w:pPr>
      <w:r>
        <w:rPr>
          <w:rFonts w:ascii="Arial" w:cs="Arial" w:eastAsia="Arial" w:hAnsi="Arial"/>
          <w:sz w:val="18"/>
          <w:szCs w:val="18"/>
          <w:color w:val="auto"/>
        </w:rPr>
        <w:t>the progress, costs, trial design, results of and timing of our preclinical studies and clinical trials; the progress, costs, and results of our research pipeline;</w:t>
      </w:r>
    </w:p>
    <w:p>
      <w:pPr>
        <w:spacing w:after="0" w:line="1" w:lineRule="exact"/>
        <w:rPr>
          <w:sz w:val="20"/>
          <w:szCs w:val="20"/>
          <w:color w:val="auto"/>
        </w:rPr>
      </w:pPr>
    </w:p>
    <w:p>
      <w:pPr>
        <w:ind w:left="1460" w:right="120"/>
        <w:spacing w:after="0" w:line="279" w:lineRule="auto"/>
        <w:rPr>
          <w:sz w:val="20"/>
          <w:szCs w:val="20"/>
          <w:color w:val="auto"/>
        </w:rPr>
      </w:pPr>
      <w:r>
        <w:rPr>
          <w:rFonts w:ascii="Arial" w:cs="Arial" w:eastAsia="Arial" w:hAnsi="Arial"/>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75" w:lineRule="exact"/>
        <w:rPr>
          <w:sz w:val="20"/>
          <w:szCs w:val="20"/>
          <w:color w:val="auto"/>
        </w:rPr>
      </w:pPr>
    </w:p>
    <w:p>
      <w:pPr>
        <w:ind w:left="1460" w:right="2700"/>
        <w:spacing w:after="0" w:line="391" w:lineRule="auto"/>
        <w:rPr>
          <w:sz w:val="20"/>
          <w:szCs w:val="20"/>
          <w:color w:val="auto"/>
        </w:rPr>
      </w:pPr>
      <w:r>
        <w:rPr>
          <w:rFonts w:ascii="Arial" w:cs="Arial" w:eastAsia="Arial" w:hAnsi="Arial"/>
          <w:sz w:val="18"/>
          <w:szCs w:val="18"/>
          <w:color w:val="auto"/>
        </w:rPr>
        <w:t>the outcome, costs, and timing of seeking and obtaining FDA, and any other regulatory approvals; the number and characteristics of product candidates that we pursue; our ability to manufacture sufficient quantities of the RaniPill capsules; our need to expand our research and development activities;</w:t>
      </w:r>
    </w:p>
    <w:p>
      <w:pPr>
        <w:spacing w:after="0" w:line="1" w:lineRule="exact"/>
        <w:rPr>
          <w:sz w:val="20"/>
          <w:szCs w:val="20"/>
          <w:color w:val="auto"/>
        </w:rPr>
      </w:pPr>
    </w:p>
    <w:p>
      <w:pPr>
        <w:ind w:left="1460" w:right="140"/>
        <w:spacing w:after="0" w:line="266" w:lineRule="auto"/>
        <w:rPr>
          <w:sz w:val="20"/>
          <w:szCs w:val="20"/>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left="1460"/>
        <w:spacing w:after="0"/>
        <w:rPr>
          <w:sz w:val="20"/>
          <w:szCs w:val="20"/>
          <w:color w:val="auto"/>
        </w:rPr>
      </w:pPr>
      <w:r>
        <w:rPr>
          <w:rFonts w:ascii="Arial" w:cs="Arial" w:eastAsia="Arial" w:hAnsi="Arial"/>
          <w:sz w:val="18"/>
          <w:szCs w:val="18"/>
          <w:color w:val="auto"/>
        </w:rPr>
        <w:t>the costs associated with securing and establishing commercial infrastructure;</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costs of acquiring, licensing, or investing in businesses, product candidates, and technologies;</w:t>
      </w:r>
    </w:p>
    <w:p>
      <w:pPr>
        <w:spacing w:after="0" w:line="131" w:lineRule="exact"/>
        <w:rPr>
          <w:sz w:val="20"/>
          <w:szCs w:val="20"/>
          <w:color w:val="auto"/>
        </w:rPr>
      </w:pPr>
    </w:p>
    <w:p>
      <w:pPr>
        <w:ind w:left="1460" w:right="360"/>
        <w:spacing w:after="0" w:line="279"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effect of competing drugs and product candidates and other market developments;</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timing, receipt, and amount of sales from our potential products, if approved;</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our ability to establish strategic collaborations;</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security breaches, data losses or other disruptions affecting our information systems;</w:t>
      </w:r>
    </w:p>
    <w:p>
      <w:pPr>
        <w:spacing w:after="0" w:line="131" w:lineRule="exact"/>
        <w:rPr>
          <w:sz w:val="20"/>
          <w:szCs w:val="20"/>
          <w:color w:val="auto"/>
        </w:rPr>
      </w:pPr>
    </w:p>
    <w:p>
      <w:pPr>
        <w:ind w:left="1460" w:right="140"/>
        <w:spacing w:after="0" w:line="293" w:lineRule="auto"/>
        <w:rPr>
          <w:sz w:val="20"/>
          <w:szCs w:val="20"/>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sz w:val="20"/>
          <w:szCs w:val="20"/>
          <w:color w:val="auto"/>
        </w:rPr>
      </w:pPr>
    </w:p>
    <w:p>
      <w:pPr>
        <w:ind w:left="1460" w:right="220"/>
        <w:spacing w:after="0" w:line="293" w:lineRule="auto"/>
        <w:rPr>
          <w:sz w:val="20"/>
          <w:szCs w:val="20"/>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right="80" w:firstLine="1018"/>
        <w:spacing w:after="0" w:line="269"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98"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96"/>
        </w:trPr>
        <w:tc>
          <w:tcPr>
            <w:tcW w:w="57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(20,796 )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(8,260 )</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(235 )</w:t>
            </w:r>
          </w:p>
        </w:tc>
        <w:tc>
          <w:tcPr>
            <w:tcW w:w="2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(944 )</w:t>
            </w:r>
          </w:p>
        </w:tc>
      </w:tr>
      <w:tr>
        <w:trPr>
          <w:trHeight w:val="257"/>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56,685</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(5,169 )</w:t>
            </w: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-193675</wp:posOffset>
            </wp:positionV>
            <wp:extent cx="15430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857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9"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Net cash used in operating activities for the nine months ended September 30, 2021 was $20.8 million, which was primarily attributable to a net loss and comprehensive loss of $39.8 million, partially offset by the equity-based compensation expense of $19.4 million, loss on the extinguishment of the debt of $0.7 million, non-cash depreciation and amortization of $0.4 million, and change in the estimated fair value of our preferred unit warrant liability of $0.4 million.</w:t>
      </w:r>
    </w:p>
    <w:p>
      <w:pPr>
        <w:spacing w:after="0" w:line="185" w:lineRule="exact"/>
        <w:rPr>
          <w:sz w:val="20"/>
          <w:szCs w:val="20"/>
          <w:color w:val="auto"/>
        </w:rPr>
      </w:pPr>
    </w:p>
    <w:p>
      <w:pPr>
        <w:ind w:right="40" w:firstLine="1018"/>
        <w:spacing w:after="0" w:line="293" w:lineRule="auto"/>
        <w:rPr>
          <w:sz w:val="20"/>
          <w:szCs w:val="20"/>
          <w:color w:val="auto"/>
        </w:rPr>
      </w:pPr>
      <w:r>
        <w:rPr>
          <w:rFonts w:ascii="Arial" w:cs="Arial" w:eastAsia="Arial" w:hAnsi="Arial"/>
          <w:sz w:val="18"/>
          <w:szCs w:val="18"/>
          <w:color w:val="auto"/>
        </w:rPr>
        <w:t>Additionally there was an increase of $2.5 million in prepaid expenses and other assets, a decrease in accrued expenses of $2.3 million, and a decrease in deferred revenue of $2.7 million.</w:t>
      </w:r>
    </w:p>
    <w:p>
      <w:pPr>
        <w:spacing w:after="0" w:line="170" w:lineRule="exact"/>
        <w:rPr>
          <w:sz w:val="20"/>
          <w:szCs w:val="20"/>
          <w:color w:val="auto"/>
        </w:rPr>
      </w:pPr>
    </w:p>
    <w:p>
      <w:pPr>
        <w:ind w:right="200" w:firstLine="1018"/>
        <w:spacing w:after="0" w:line="266" w:lineRule="auto"/>
        <w:rPr>
          <w:sz w:val="20"/>
          <w:szCs w:val="20"/>
          <w:color w:val="auto"/>
        </w:rPr>
      </w:pPr>
      <w:r>
        <w:rPr>
          <w:rFonts w:ascii="Arial" w:cs="Arial" w:eastAsia="Arial" w:hAnsi="Arial"/>
          <w:sz w:val="18"/>
          <w:szCs w:val="18"/>
          <w:color w:val="auto"/>
        </w:rPr>
        <w:t>Net cash used in operating activities for the nine months ended September 30, 2020 was $8.3 million, which was primarily attributable to a net loss of $10.9 million, partially offset by the change in the estimated fair value of our preferred unit warrant liability of $0.7 million, non-cash depreciation and amortization of $0.4 million, a decrease in accounts payable of $1.9 million, the payment of the related party payable balance of $1.6 million, and an increase in deferred revenue of $2.7 million.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9" w:lineRule="exact"/>
        <w:rPr>
          <w:sz w:val="20"/>
          <w:szCs w:val="20"/>
          <w:color w:val="auto"/>
        </w:rPr>
      </w:pPr>
    </w:p>
    <w:p>
      <w:pPr>
        <w:ind w:right="480" w:firstLine="1018"/>
        <w:spacing w:after="0" w:line="293" w:lineRule="auto"/>
        <w:rPr>
          <w:sz w:val="20"/>
          <w:szCs w:val="20"/>
          <w:color w:val="auto"/>
        </w:rPr>
      </w:pPr>
      <w:r>
        <w:rPr>
          <w:rFonts w:ascii="Arial" w:cs="Arial" w:eastAsia="Arial" w:hAnsi="Arial"/>
          <w:sz w:val="18"/>
          <w:szCs w:val="18"/>
          <w:color w:val="auto"/>
        </w:rPr>
        <w:t>For the nine months ended September 30, 2021, net cash used in investing activities was $0.2 million, consisting solely of purchases of property and equipment.</w:t>
      </w:r>
    </w:p>
    <w:p>
      <w:pPr>
        <w:spacing w:after="0" w:line="399" w:lineRule="exact"/>
        <w:rPr>
          <w:sz w:val="20"/>
          <w:szCs w:val="20"/>
          <w:color w:val="auto"/>
        </w:rPr>
      </w:pPr>
    </w:p>
    <w:p>
      <w:pPr>
        <w:ind w:right="480" w:firstLine="1018"/>
        <w:spacing w:after="0" w:line="293" w:lineRule="auto"/>
        <w:rPr>
          <w:sz w:val="20"/>
          <w:szCs w:val="20"/>
          <w:color w:val="auto"/>
        </w:rPr>
      </w:pPr>
      <w:r>
        <w:rPr>
          <w:rFonts w:ascii="Arial" w:cs="Arial" w:eastAsia="Arial" w:hAnsi="Arial"/>
          <w:sz w:val="18"/>
          <w:szCs w:val="18"/>
          <w:color w:val="auto"/>
        </w:rPr>
        <w:t>For the nine months ended September 30, 2020, net cash used in investing activities was $0.9 million, consisting solely of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9" w:lineRule="exact"/>
        <w:rPr>
          <w:sz w:val="20"/>
          <w:szCs w:val="20"/>
          <w:color w:val="auto"/>
        </w:rPr>
      </w:pPr>
    </w:p>
    <w:p>
      <w:pPr>
        <w:ind w:right="60" w:firstLine="1018"/>
        <w:spacing w:after="0" w:line="296" w:lineRule="auto"/>
        <w:rPr>
          <w:sz w:val="20"/>
          <w:szCs w:val="20"/>
          <w:color w:val="auto"/>
        </w:rPr>
      </w:pPr>
      <w:r>
        <w:rPr>
          <w:rFonts w:ascii="Arial" w:cs="Arial" w:eastAsia="Arial" w:hAnsi="Arial"/>
          <w:sz w:val="17"/>
          <w:szCs w:val="17"/>
          <w:color w:val="auto"/>
        </w:rPr>
        <w:t>For the nine months ended September 30, 2021, cash provided by financing activities was approximately $77.7 million, consisting of the proceeds from the issuance of Class A common stock sold in the IPO for net proceeds of $74.2 million, the sale and issuance of 884,276 units of our Series E Preferred Units for net proceeds of $6.3 million, and $1.7 million of principal payments received from our related party notes receivable, partially offset by repayment of the PPP Loan of $1.3 million and repayment of the convertible loan of $3.3 million.</w:t>
      </w:r>
    </w:p>
    <w:p>
      <w:pPr>
        <w:spacing w:after="0" w:line="170" w:lineRule="exact"/>
        <w:rPr>
          <w:sz w:val="20"/>
          <w:szCs w:val="20"/>
          <w:color w:val="auto"/>
        </w:rPr>
      </w:pPr>
    </w:p>
    <w:p>
      <w:pPr>
        <w:ind w:right="40" w:firstLine="1018"/>
        <w:spacing w:after="0" w:line="324" w:lineRule="auto"/>
        <w:rPr>
          <w:sz w:val="20"/>
          <w:szCs w:val="20"/>
          <w:color w:val="auto"/>
        </w:rPr>
      </w:pPr>
      <w:r>
        <w:rPr>
          <w:rFonts w:ascii="Arial" w:cs="Arial" w:eastAsia="Arial" w:hAnsi="Arial"/>
          <w:sz w:val="17"/>
          <w:szCs w:val="17"/>
          <w:color w:val="auto"/>
        </w:rPr>
        <w:t>For the nine months ended September 30, 2020, cash provided by financing activities was approximately $4.0 million, consisting of proceeds from the PPP Loan of $1.3 million and proceeds from the issuance of the convertible loan for net proceeds of $2.7 million.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43" w:lineRule="exact"/>
        <w:rPr>
          <w:sz w:val="20"/>
          <w:szCs w:val="20"/>
          <w:color w:val="auto"/>
        </w:rPr>
      </w:pPr>
    </w:p>
    <w:p>
      <w:pPr>
        <w:ind w:right="300" w:firstLine="1018"/>
        <w:spacing w:after="0" w:line="272" w:lineRule="auto"/>
        <w:rPr>
          <w:sz w:val="20"/>
          <w:szCs w:val="20"/>
          <w:color w:val="auto"/>
        </w:rPr>
      </w:pPr>
      <w:r>
        <w:rPr>
          <w:rFonts w:ascii="Arial" w:cs="Arial" w:eastAsia="Arial" w:hAnsi="Arial"/>
          <w:sz w:val="18"/>
          <w:szCs w:val="18"/>
          <w:color w:val="auto"/>
        </w:rPr>
        <w:t>This discussion and analysis of financial condition and results of operation is based on our unaudited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w:t>
      </w:r>
    </w:p>
    <w:p>
      <w:pPr>
        <w:spacing w:after="0" w:line="191" w:lineRule="exact"/>
        <w:rPr>
          <w:sz w:val="20"/>
          <w:szCs w:val="20"/>
          <w:color w:val="auto"/>
        </w:rPr>
      </w:pPr>
    </w:p>
    <w:p>
      <w:pPr>
        <w:ind w:right="40" w:firstLine="1018"/>
        <w:spacing w:after="0" w:line="293" w:lineRule="auto"/>
        <w:rPr>
          <w:sz w:val="20"/>
          <w:szCs w:val="20"/>
          <w:color w:val="auto"/>
        </w:rPr>
      </w:pPr>
      <w:r>
        <w:rPr>
          <w:rFonts w:ascii="Arial" w:cs="Arial" w:eastAsia="Arial" w:hAnsi="Arial"/>
          <w:sz w:val="18"/>
          <w:szCs w:val="18"/>
          <w:color w:val="auto"/>
        </w:rPr>
        <w:t>Our critical accounting policies and estimates are discussed in the Prospectus. There have been no material changes in the Company’s critical accounting policies or estimates from those set forth in the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the rules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43" w:lineRule="exact"/>
        <w:rPr>
          <w:sz w:val="20"/>
          <w:szCs w:val="20"/>
          <w:color w:val="auto"/>
        </w:rPr>
      </w:pPr>
    </w:p>
    <w:p>
      <w:pPr>
        <w:ind w:right="60" w:firstLine="1018"/>
        <w:spacing w:after="0" w:line="324" w:lineRule="auto"/>
        <w:rPr>
          <w:sz w:val="20"/>
          <w:szCs w:val="20"/>
          <w:color w:val="auto"/>
        </w:rPr>
      </w:pPr>
      <w:r>
        <w:rPr>
          <w:rFonts w:ascii="Arial" w:cs="Arial" w:eastAsia="Arial" w:hAnsi="Arial"/>
          <w:sz w:val="17"/>
          <w:szCs w:val="17"/>
          <w:color w:val="auto"/>
        </w:rPr>
        <w:t>For a description of the expected impact of recent accounting pronouncements, see “Note 2. Summary of Significant Accounting Policies” in the “Notes to Condensed Consolidated Financial Statements” contained in Part I, Item 1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Accounting Election</w:t>
      </w:r>
    </w:p>
    <w:p>
      <w:pPr>
        <w:spacing w:after="0" w:line="239"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81" w:lineRule="exact"/>
        <w:rPr>
          <w:sz w:val="20"/>
          <w:szCs w:val="20"/>
          <w:color w:val="auto"/>
        </w:rPr>
      </w:pPr>
    </w:p>
    <w:p>
      <w:pPr>
        <w:ind w:right="220" w:firstLine="1018"/>
        <w:spacing w:after="0" w:line="266" w:lineRule="auto"/>
        <w:rPr>
          <w:sz w:val="20"/>
          <w:szCs w:val="20"/>
          <w:color w:val="auto"/>
        </w:rPr>
      </w:pPr>
      <w:r>
        <w:rPr>
          <w:rFonts w:ascii="Arial" w:cs="Arial" w:eastAsia="Arial" w:hAnsi="Arial"/>
          <w:sz w:val="18"/>
          <w:szCs w:val="18"/>
          <w:color w:val="auto"/>
        </w:rPr>
        <w:t>We will remain an emerging growth company until the earliest of (1) December 31, 2026 (the last day of the fiscal year following the fifth anniversary of the closing of our initial public offering), (2) the last day of the fiscal year in which we have total annual gross revenue of at least $1.07 billion, (3) the last day of the fiscal year in which we are deemed to be a “large accelerated filer” as defined in Rule 12b-2 under the Securities Exchange Act of 1934, as amended (the “Exchange Act”), which would occur if</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340"/>
        <w:spacing w:after="0" w:line="359" w:lineRule="auto"/>
        <w:rPr>
          <w:sz w:val="20"/>
          <w:szCs w:val="20"/>
          <w:color w:val="auto"/>
        </w:rPr>
      </w:pPr>
      <w:r>
        <w:rPr>
          <w:rFonts w:ascii="Arial" w:cs="Arial" w:eastAsia="Arial" w:hAnsi="Arial"/>
          <w:sz w:val="16"/>
          <w:szCs w:val="16"/>
          <w:color w:val="auto"/>
        </w:rPr>
        <w:t>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ind w:right="80" w:firstLine="1018"/>
        <w:spacing w:after="0" w:line="306"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ind w:right="220" w:firstLine="1018"/>
        <w:spacing w:after="0" w:line="279"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months ended September 30, 2021 that have materially affected, or are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43" w:lineRule="exact"/>
        <w:rPr>
          <w:sz w:val="20"/>
          <w:szCs w:val="20"/>
          <w:color w:val="auto"/>
        </w:rPr>
      </w:pPr>
    </w:p>
    <w:p>
      <w:pPr>
        <w:ind w:right="20" w:firstLine="1018"/>
        <w:spacing w:after="0" w:line="299"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60" w:firstLine="1018"/>
        <w:spacing w:after="0" w:line="303"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43" w:lineRule="exact"/>
        <w:rPr>
          <w:sz w:val="20"/>
          <w:szCs w:val="20"/>
          <w:color w:val="auto"/>
        </w:rPr>
      </w:pPr>
    </w:p>
    <w:p>
      <w:pPr>
        <w:ind w:right="20" w:firstLine="1018"/>
        <w:spacing w:after="0" w:line="270"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investment decisions regarding our Class A common stock. See “Special Note Regarding Forward-Looking Statements.” Unless we state otherwise or the context otherwise requires, the terms “we,” “us,” and “our,” and similar references in this Section “Risk Factors” and in Part II – Other Information refers to Rani Therapeutics Holdings, Inc. and its consolidated subsidiaries, Rani Therapeutics, LLC and Rani Management Systems, Inc.</w:t>
      </w:r>
    </w:p>
    <w:p>
      <w:pPr>
        <w:spacing w:after="0" w:line="84" w:lineRule="exact"/>
        <w:rPr>
          <w:sz w:val="20"/>
          <w:szCs w:val="20"/>
          <w:color w:val="auto"/>
        </w:rPr>
      </w:pPr>
    </w:p>
    <w:p>
      <w:pPr>
        <w:ind w:left="960" w:right="200"/>
        <w:spacing w:after="0" w:line="359" w:lineRule="auto"/>
        <w:rPr>
          <w:sz w:val="20"/>
          <w:szCs w:val="20"/>
          <w:color w:val="auto"/>
        </w:rPr>
      </w:pPr>
      <w:r>
        <w:rPr>
          <w:rFonts w:ascii="Arial" w:cs="Arial" w:eastAsia="Arial" w:hAnsi="Arial"/>
          <w:sz w:val="16"/>
          <w:szCs w:val="16"/>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7"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62"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If we are unable to raise additional capital when needed on acceptable terms, we may be forced to delay, limit, reduce or terminate our product development programs, commercialization efforts or other operations.</w:t>
      </w:r>
    </w:p>
    <w:p>
      <w:pPr>
        <w:spacing w:after="0" w:line="62" w:lineRule="exact"/>
        <w:rPr>
          <w:sz w:val="20"/>
          <w:szCs w:val="20"/>
          <w:color w:val="auto"/>
        </w:rPr>
      </w:pPr>
    </w:p>
    <w:p>
      <w:pPr>
        <w:ind w:left="960" w:right="380"/>
        <w:spacing w:after="0" w:line="275" w:lineRule="auto"/>
        <w:rPr>
          <w:sz w:val="20"/>
          <w:szCs w:val="20"/>
          <w:color w:val="auto"/>
        </w:rPr>
      </w:pPr>
      <w:r>
        <w:rPr>
          <w:rFonts w:ascii="Arial" w:cs="Arial" w:eastAsia="Arial" w:hAnsi="Arial"/>
          <w:sz w:val="18"/>
          <w:szCs w:val="18"/>
          <w:color w:val="auto"/>
        </w:rPr>
        <w:t>We are early in our development efforts and have only one product candidate, RT-101, the RaniPill capsule containing octreotide,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7" w:lineRule="exact"/>
        <w:rPr>
          <w:sz w:val="20"/>
          <w:szCs w:val="20"/>
          <w:color w:val="auto"/>
        </w:rPr>
      </w:pPr>
    </w:p>
    <w:p>
      <w:pPr>
        <w:ind w:left="960" w:right="40"/>
        <w:spacing w:after="0" w:line="279" w:lineRule="auto"/>
        <w:rPr>
          <w:sz w:val="20"/>
          <w:szCs w:val="20"/>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75" w:lineRule="exact"/>
        <w:rPr>
          <w:sz w:val="20"/>
          <w:szCs w:val="20"/>
          <w:color w:val="auto"/>
        </w:rPr>
      </w:pPr>
    </w:p>
    <w:p>
      <w:pPr>
        <w:jc w:val="both"/>
        <w:ind w:left="960" w:right="100"/>
        <w:spacing w:after="0" w:line="279" w:lineRule="auto"/>
        <w:rPr>
          <w:sz w:val="20"/>
          <w:szCs w:val="20"/>
          <w:color w:val="auto"/>
        </w:rPr>
      </w:pPr>
      <w:r>
        <w:rPr>
          <w:rFonts w:ascii="Arial" w:cs="Arial" w:eastAsia="Arial" w:hAnsi="Arial"/>
          <w:sz w:val="18"/>
          <w:szCs w:val="18"/>
          <w:color w:val="auto"/>
        </w:rPr>
        <w:t>As an organization, we recently completed our first Phase 1 clinical trial, have not submitted an investigational new drug application (“IND”) to the FDA and we have never conducted later-stage clinical trials or submitted a Biologics License Application ("BLA"), and may be unable to do so for any of our product candidates.</w:t>
      </w:r>
    </w:p>
    <w:p>
      <w:pPr>
        <w:spacing w:after="0" w:line="75" w:lineRule="exact"/>
        <w:rPr>
          <w:sz w:val="20"/>
          <w:szCs w:val="20"/>
          <w:color w:val="auto"/>
        </w:rPr>
      </w:pPr>
    </w:p>
    <w:p>
      <w:pPr>
        <w:ind w:left="960" w:right="220"/>
        <w:spacing w:after="0" w:line="279" w:lineRule="auto"/>
        <w:rPr>
          <w:sz w:val="20"/>
          <w:szCs w:val="20"/>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75"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have limited clinical data on our product candidates to indicate whether they are safe or effective for long-term use in humans.</w:t>
      </w:r>
    </w:p>
    <w:p>
      <w:pPr>
        <w:spacing w:after="0" w:line="14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COVID-19 pandemic could adversely impact our business including our ongoing and planned preclinical studies and clinical trials.</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960" w:right="240"/>
        <w:spacing w:after="0" w:line="293" w:lineRule="auto"/>
        <w:rPr>
          <w:sz w:val="20"/>
          <w:szCs w:val="20"/>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62" w:lineRule="exact"/>
        <w:rPr>
          <w:sz w:val="20"/>
          <w:szCs w:val="20"/>
          <w:color w:val="auto"/>
        </w:rPr>
      </w:pPr>
    </w:p>
    <w:p>
      <w:pPr>
        <w:jc w:val="both"/>
        <w:ind w:left="960" w:right="180"/>
        <w:spacing w:after="0" w:line="359" w:lineRule="auto"/>
        <w:rPr>
          <w:sz w:val="20"/>
          <w:szCs w:val="20"/>
          <w:color w:val="auto"/>
        </w:rPr>
      </w:pPr>
      <w:r>
        <w:rPr>
          <w:rFonts w:ascii="Arial" w:cs="Arial" w:eastAsia="Arial" w:hAnsi="Arial"/>
          <w:sz w:val="16"/>
          <w:szCs w:val="16"/>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131" w:lineRule="exact"/>
        <w:rPr>
          <w:sz w:val="20"/>
          <w:szCs w:val="20"/>
          <w:color w:val="auto"/>
        </w:rPr>
      </w:pPr>
    </w:p>
    <w:p>
      <w:pPr>
        <w:jc w:val="both"/>
        <w:ind w:left="960" w:right="200"/>
        <w:spacing w:after="0" w:line="279" w:lineRule="auto"/>
        <w:rPr>
          <w:sz w:val="20"/>
          <w:szCs w:val="20"/>
          <w:color w:val="auto"/>
        </w:rPr>
      </w:pPr>
      <w:r>
        <w:rPr>
          <w:rFonts w:ascii="Arial" w:cs="Arial" w:eastAsia="Arial" w:hAnsi="Arial"/>
          <w:sz w:val="18"/>
          <w:szCs w:val="18"/>
          <w:color w:val="auto"/>
        </w:rPr>
        <w:t>We are a holding company and our principal asset is our interest in Rani. Accordingly, we will depend on distributions from Rani to pay our taxes, expenses (including payments under the Tax Receivable Agreement) and dividends. Rani’s ability to make such distributions may be subject to various limitations and restrictions.</w:t>
      </w:r>
    </w:p>
    <w:p>
      <w:pPr>
        <w:spacing w:after="0" w:line="75" w:lineRule="exact"/>
        <w:rPr>
          <w:sz w:val="20"/>
          <w:szCs w:val="20"/>
          <w:color w:val="auto"/>
        </w:rPr>
      </w:pPr>
    </w:p>
    <w:p>
      <w:pPr>
        <w:ind w:left="960" w:right="60"/>
        <w:spacing w:after="0" w:line="296" w:lineRule="auto"/>
        <w:rPr>
          <w:sz w:val="20"/>
          <w:szCs w:val="20"/>
          <w:color w:val="auto"/>
        </w:rPr>
      </w:pPr>
      <w:r>
        <w:rPr>
          <w:rFonts w:ascii="Arial" w:cs="Arial" w:eastAsia="Arial" w:hAnsi="Arial"/>
          <w:sz w:val="17"/>
          <w:szCs w:val="17"/>
          <w:color w:val="auto"/>
        </w:rPr>
        <w:t>Rani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6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62" w:lineRule="exact"/>
        <w:rPr>
          <w:sz w:val="20"/>
          <w:szCs w:val="20"/>
          <w:color w:val="auto"/>
        </w:rPr>
      </w:pPr>
    </w:p>
    <w:p>
      <w:pPr>
        <w:ind w:left="960" w:right="280"/>
        <w:spacing w:after="0" w:line="324" w:lineRule="auto"/>
        <w:rPr>
          <w:sz w:val="20"/>
          <w:szCs w:val="20"/>
          <w:color w:val="auto"/>
        </w:rPr>
      </w:pPr>
      <w:r>
        <w:rPr>
          <w:rFonts w:ascii="Arial" w:cs="Arial" w:eastAsia="Arial" w:hAnsi="Arial"/>
          <w:sz w:val="17"/>
          <w:szCs w:val="17"/>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ind w:right="100" w:firstLine="1018"/>
        <w:spacing w:after="0" w:line="271"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43"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5" w:lineRule="exact"/>
        <w:rPr>
          <w:sz w:val="20"/>
          <w:szCs w:val="20"/>
          <w:color w:val="auto"/>
        </w:rPr>
      </w:pPr>
    </w:p>
    <w:p>
      <w:pPr>
        <w:ind w:right="40" w:firstLine="1018"/>
        <w:spacing w:after="0" w:line="287"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2" w:lineRule="exact"/>
        <w:rPr>
          <w:sz w:val="20"/>
          <w:szCs w:val="20"/>
          <w:color w:val="auto"/>
        </w:rPr>
      </w:pPr>
    </w:p>
    <w:p>
      <w:pPr>
        <w:ind w:right="40" w:firstLine="1018"/>
        <w:spacing w:after="0" w:line="281" w:lineRule="auto"/>
        <w:rPr>
          <w:sz w:val="20"/>
          <w:szCs w:val="20"/>
          <w:color w:val="auto"/>
        </w:rPr>
      </w:pPr>
      <w:r>
        <w:rPr>
          <w:rFonts w:ascii="Arial" w:cs="Arial" w:eastAsia="Arial" w:hAnsi="Arial"/>
          <w:sz w:val="17"/>
          <w:szCs w:val="17"/>
          <w:color w:val="auto"/>
        </w:rPr>
        <w:t>We have incurred significant operating losses since our formation in 2012. Our net loss and comprehensive loss for the year ended December 31, 2020 and the nine months ended September 30, 2021 was approximately $16.7 million and $39.8 million, respectively, of which $3.1 million was attributable to Rani Therapeutics Holdings, Inc. for the nine months ended September 30, 2021. As of September 30, 2021, we had an accumulated deficit of $3.1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right="60" w:firstLine="1018"/>
        <w:spacing w:after="0" w:line="272"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91"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35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right="40" w:firstLine="1018"/>
        <w:spacing w:after="0" w:line="306"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other product candidates. We plan to initiate Phase 1 clinical trials of certain of these product candidates in 2022 and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70"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clinical outcomes from the continued development of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39"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70" w:lineRule="exact"/>
        <w:rPr>
          <w:sz w:val="20"/>
          <w:szCs w:val="20"/>
          <w:color w:val="auto"/>
        </w:rPr>
      </w:pPr>
    </w:p>
    <w:p>
      <w:pPr>
        <w:ind w:left="1360" w:right="1100"/>
        <w:spacing w:after="0" w:line="293" w:lineRule="auto"/>
        <w:rPr>
          <w:sz w:val="20"/>
          <w:szCs w:val="20"/>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70" w:lineRule="exact"/>
        <w:rPr>
          <w:sz w:val="20"/>
          <w:szCs w:val="20"/>
          <w:color w:val="auto"/>
        </w:rPr>
      </w:pPr>
    </w:p>
    <w:p>
      <w:pPr>
        <w:ind w:left="1360" w:right="420"/>
        <w:spacing w:after="0" w:line="293" w:lineRule="auto"/>
        <w:rPr>
          <w:sz w:val="20"/>
          <w:szCs w:val="20"/>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70" w:lineRule="exact"/>
        <w:rPr>
          <w:sz w:val="20"/>
          <w:szCs w:val="20"/>
          <w:color w:val="auto"/>
        </w:rPr>
      </w:pPr>
    </w:p>
    <w:p>
      <w:pPr>
        <w:ind w:left="1360" w:right="540"/>
        <w:spacing w:after="0" w:line="293" w:lineRule="auto"/>
        <w:rPr>
          <w:sz w:val="20"/>
          <w:szCs w:val="20"/>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70" w:lineRule="exact"/>
        <w:rPr>
          <w:sz w:val="20"/>
          <w:szCs w:val="20"/>
          <w:color w:val="auto"/>
        </w:rPr>
      </w:pPr>
    </w:p>
    <w:p>
      <w:pPr>
        <w:ind w:left="1360" w:right="100"/>
        <w:spacing w:after="0" w:line="293" w:lineRule="auto"/>
        <w:rPr>
          <w:sz w:val="20"/>
          <w:szCs w:val="20"/>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timing of regulatory review and approval of our product candidates;</w:t>
      </w:r>
    </w:p>
    <w:p>
      <w:pPr>
        <w:spacing w:after="0" w:line="239"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left="1360"/>
        <w:spacing w:after="0"/>
        <w:rPr>
          <w:sz w:val="20"/>
          <w:szCs w:val="20"/>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39"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our ability to manufacture our product candidates in accordance with current Good Manufacturing Practices ("cGMP"), for the conduct of preclinical studies and clinical trials and, if approved, for successful commercialization;</w:t>
      </w:r>
    </w:p>
    <w:p>
      <w:pPr>
        <w:spacing w:after="0" w:line="170" w:lineRule="exact"/>
        <w:rPr>
          <w:sz w:val="20"/>
          <w:szCs w:val="20"/>
          <w:color w:val="auto"/>
        </w:rPr>
      </w:pPr>
    </w:p>
    <w:p>
      <w:pPr>
        <w:ind w:left="1360" w:right="120"/>
        <w:spacing w:after="0" w:line="279" w:lineRule="auto"/>
        <w:rPr>
          <w:sz w:val="20"/>
          <w:szCs w:val="20"/>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add infrastructure and adequately manage our future growth;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attract and retain key personnel with appropriate expertise and experience to manage our business effectively.</w:t>
      </w:r>
    </w:p>
    <w:p>
      <w:pPr>
        <w:spacing w:after="0" w:line="239"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96"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b w:val="1"/>
          <w:bCs w:val="1"/>
          <w:i w:val="1"/>
          <w:iCs w:val="1"/>
          <w:color w:val="auto"/>
        </w:rPr>
        <w:t>If we are unable to raise additional capital when needed on acceptable terms, we may be forced to delay, limit, reduce or terminate our product development programs, commercialization efforts or other operations.</w:t>
      </w:r>
    </w:p>
    <w:p>
      <w:pPr>
        <w:spacing w:after="0" w:line="170" w:lineRule="exact"/>
        <w:rPr>
          <w:sz w:val="20"/>
          <w:szCs w:val="20"/>
          <w:color w:val="auto"/>
        </w:rPr>
      </w:pPr>
    </w:p>
    <w:p>
      <w:pPr>
        <w:ind w:right="40" w:firstLine="1018"/>
        <w:spacing w:after="0" w:line="306" w:lineRule="auto"/>
        <w:rPr>
          <w:sz w:val="20"/>
          <w:szCs w:val="20"/>
          <w:color w:val="auto"/>
        </w:rPr>
      </w:pPr>
      <w:r>
        <w:rPr>
          <w:rFonts w:ascii="Arial" w:cs="Arial" w:eastAsia="Arial" w:hAnsi="Arial"/>
          <w:sz w:val="16"/>
          <w:szCs w:val="16"/>
          <w:color w:val="auto"/>
        </w:rPr>
        <w:t>Our operations have consumed substantial amounts of cash since our inception. We conducted a Phase 1 clinical trial of RT-101 in healthy volunteers, conducted or are in the process of conducting preclinical studies of other product candidates, and are preparing to conduct Phase 1 clinical trials of certain of these product candidates,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65" w:lineRule="exact"/>
        <w:rPr>
          <w:sz w:val="20"/>
          <w:szCs w:val="20"/>
          <w:color w:val="auto"/>
        </w:rPr>
      </w:pPr>
    </w:p>
    <w:p>
      <w:pPr>
        <w:ind w:right="20" w:firstLine="1018"/>
        <w:spacing w:after="0" w:line="270" w:lineRule="auto"/>
        <w:rPr>
          <w:sz w:val="20"/>
          <w:szCs w:val="20"/>
          <w:color w:val="auto"/>
        </w:rPr>
      </w:pPr>
      <w:r>
        <w:rPr>
          <w:rFonts w:ascii="Arial" w:cs="Arial" w:eastAsia="Arial" w:hAnsi="Arial"/>
          <w:sz w:val="18"/>
          <w:szCs w:val="18"/>
          <w:color w:val="auto"/>
        </w:rPr>
        <w:t>Based on our current operating plan,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our IPO,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200" w:lineRule="exact"/>
        <w:rPr>
          <w:sz w:val="20"/>
          <w:szCs w:val="20"/>
          <w:color w:val="auto"/>
        </w:rPr>
      </w:pPr>
    </w:p>
    <w:p>
      <w:pPr>
        <w:spacing w:after="0" w:line="22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progress, costs, trial design, results of and timing of our preclinical studies and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progress, costs, and results of our research pipeline;</w:t>
      </w:r>
    </w:p>
    <w:p>
      <w:pPr>
        <w:spacing w:after="0" w:line="239" w:lineRule="exact"/>
        <w:rPr>
          <w:sz w:val="20"/>
          <w:szCs w:val="20"/>
          <w:color w:val="auto"/>
        </w:rPr>
      </w:pPr>
    </w:p>
    <w:p>
      <w:pPr>
        <w:ind w:left="1360" w:right="140"/>
        <w:spacing w:after="0" w:line="279" w:lineRule="auto"/>
        <w:rPr>
          <w:sz w:val="20"/>
          <w:szCs w:val="20"/>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outcome, costs, and timing of seeking and obtaining FDA, and any other regulatory approvals;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number and characteristics of product candidates that we pursue;</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manufacture sufficient quantities of the RaniPill capsules;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left="1360"/>
        <w:spacing w:after="0"/>
        <w:rPr>
          <w:sz w:val="20"/>
          <w:szCs w:val="20"/>
          <w:color w:val="auto"/>
        </w:rPr>
      </w:pPr>
      <w:r>
        <w:rPr>
          <w:rFonts w:ascii="Arial" w:cs="Arial" w:eastAsia="Arial" w:hAnsi="Arial"/>
          <w:sz w:val="18"/>
          <w:szCs w:val="18"/>
          <w:color w:val="auto"/>
        </w:rPr>
        <w:t>our need to expand our research and development activities;</w:t>
      </w:r>
    </w:p>
    <w:p>
      <w:pPr>
        <w:spacing w:after="0" w:line="239" w:lineRule="exact"/>
        <w:rPr>
          <w:sz w:val="20"/>
          <w:szCs w:val="20"/>
          <w:color w:val="auto"/>
        </w:rPr>
      </w:pPr>
    </w:p>
    <w:p>
      <w:pPr>
        <w:ind w:left="1360" w:right="260"/>
        <w:spacing w:after="0" w:line="293" w:lineRule="auto"/>
        <w:rPr>
          <w:sz w:val="20"/>
          <w:szCs w:val="20"/>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costs associated with securing and establishing commercial infrastructure;</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costs of acquiring, licensing, or investing in businesses, product candidates, and technologies;</w:t>
      </w:r>
    </w:p>
    <w:p>
      <w:pPr>
        <w:spacing w:after="0" w:line="239" w:lineRule="exact"/>
        <w:rPr>
          <w:sz w:val="20"/>
          <w:szCs w:val="20"/>
          <w:color w:val="auto"/>
        </w:rPr>
      </w:pPr>
    </w:p>
    <w:p>
      <w:pPr>
        <w:ind w:left="1360" w:right="480"/>
        <w:spacing w:after="0" w:line="279"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effect of competing drugs and product candidates and other market developments;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timing, receipt, and amount of sales from our potential products, if approved;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establish strategic collaborations;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security breaches, data losses or other disruptions affecting our information systems;</w:t>
      </w:r>
    </w:p>
    <w:p>
      <w:pPr>
        <w:spacing w:after="0" w:line="239" w:lineRule="exact"/>
        <w:rPr>
          <w:sz w:val="20"/>
          <w:szCs w:val="20"/>
          <w:color w:val="auto"/>
        </w:rPr>
      </w:pPr>
    </w:p>
    <w:p>
      <w:pPr>
        <w:ind w:left="1360" w:right="260"/>
        <w:spacing w:after="0" w:line="293" w:lineRule="auto"/>
        <w:rPr>
          <w:sz w:val="20"/>
          <w:szCs w:val="20"/>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70" w:lineRule="exact"/>
        <w:rPr>
          <w:sz w:val="20"/>
          <w:szCs w:val="20"/>
          <w:color w:val="auto"/>
        </w:rPr>
      </w:pPr>
    </w:p>
    <w:p>
      <w:pPr>
        <w:ind w:left="1360" w:right="340"/>
        <w:spacing w:after="0" w:line="293" w:lineRule="auto"/>
        <w:rPr>
          <w:sz w:val="20"/>
          <w:szCs w:val="20"/>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right="20" w:firstLine="1018"/>
        <w:spacing w:after="0" w:line="319" w:lineRule="auto"/>
        <w:rPr>
          <w:sz w:val="20"/>
          <w:szCs w:val="20"/>
          <w:color w:val="auto"/>
        </w:rPr>
      </w:pPr>
      <w:r>
        <w:rPr>
          <w:rFonts w:ascii="Arial" w:cs="Arial" w:eastAsia="Arial" w:hAnsi="Arial"/>
          <w:sz w:val="16"/>
          <w:szCs w:val="16"/>
          <w:color w:val="auto"/>
        </w:rPr>
        <w:t>Additional funding may not be available to us on acceptable terms, or at all. 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156" w:lineRule="exact"/>
        <w:rPr>
          <w:sz w:val="20"/>
          <w:szCs w:val="20"/>
          <w:color w:val="auto"/>
        </w:rPr>
      </w:pPr>
    </w:p>
    <w:p>
      <w:pPr>
        <w:ind w:left="1360" w:right="280"/>
        <w:spacing w:after="0" w:line="293" w:lineRule="auto"/>
        <w:rPr>
          <w:sz w:val="20"/>
          <w:szCs w:val="20"/>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7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39"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5" w:lineRule="exact"/>
        <w:rPr>
          <w:sz w:val="20"/>
          <w:szCs w:val="20"/>
          <w:color w:val="auto"/>
        </w:rPr>
      </w:pPr>
    </w:p>
    <w:p>
      <w:pPr>
        <w:ind w:right="120" w:firstLine="1018"/>
        <w:spacing w:after="0" w:line="266"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right="480"/>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43" w:lineRule="exact"/>
        <w:rPr>
          <w:sz w:val="20"/>
          <w:szCs w:val="20"/>
          <w:color w:val="auto"/>
        </w:rPr>
      </w:pPr>
    </w:p>
    <w:p>
      <w:pPr>
        <w:ind w:right="300"/>
        <w:spacing w:after="0" w:line="359"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0" w:lineRule="exact"/>
        <w:rPr>
          <w:sz w:val="20"/>
          <w:szCs w:val="20"/>
          <w:color w:val="auto"/>
        </w:rPr>
      </w:pPr>
    </w:p>
    <w:p>
      <w:pPr>
        <w:ind w:firstLine="1018"/>
        <w:spacing w:after="0" w:line="309" w:lineRule="auto"/>
        <w:rPr>
          <w:sz w:val="20"/>
          <w:szCs w:val="20"/>
          <w:color w:val="auto"/>
        </w:rPr>
      </w:pPr>
      <w:r>
        <w:rPr>
          <w:rFonts w:ascii="Arial" w:cs="Arial" w:eastAsia="Arial" w:hAnsi="Arial"/>
          <w:sz w:val="16"/>
          <w:szCs w:val="16"/>
          <w:color w:val="auto"/>
        </w:rPr>
        <w:t>We are in the early stages of our development efforts and have only one product candidate, RT-101, in early clinical development. Our initial goal is to evaluate the safety of the RaniPill capsule, independent of any biologic, through a clinical trial conducted under an IDE. Any delays or setback in the clinical testing of the RaniPill capsule independent of any biologic,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are still in the formulation and preclinical stages. We intend to initiate Phase 1 clinical trials for certain of these product candidates in 2022 and in 2023. We will need to progress these product candidates through IND-enabling studies and submit INDs to the FDA prior to initiating their clinical development. None of our product candidates have advanced into a pivotal study.</w:t>
      </w:r>
    </w:p>
    <w:p>
      <w:pPr>
        <w:spacing w:after="0" w:line="164"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39" w:lineRule="exact"/>
        <w:rPr>
          <w:sz w:val="20"/>
          <w:szCs w:val="20"/>
          <w:color w:val="auto"/>
        </w:rPr>
      </w:pPr>
    </w:p>
    <w:p>
      <w:pPr>
        <w:ind w:left="1360" w:right="380"/>
        <w:spacing w:after="0" w:line="293" w:lineRule="auto"/>
        <w:rPr>
          <w:sz w:val="20"/>
          <w:szCs w:val="20"/>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demonstrating safety and efficacy to the satisfaction of applicable regulatory authorities;</w:t>
      </w:r>
    </w:p>
    <w:p>
      <w:pPr>
        <w:spacing w:after="0" w:line="239"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receipt of marketing approvals from applicable regulatory authorities, including New Drug Applications ("NDAs"), from the FDA, and maintaining such approvals;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establishing clinical and commercial manufacturing capabilities;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expanding automation of our manufacturing machinery and procedures;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establishing and maintaining multiple suppliers for our critical manufacturing materials;</w:t>
      </w:r>
    </w:p>
    <w:p>
      <w:pPr>
        <w:spacing w:after="0" w:line="239" w:lineRule="exact"/>
        <w:rPr>
          <w:sz w:val="20"/>
          <w:szCs w:val="20"/>
          <w:color w:val="auto"/>
        </w:rPr>
      </w:pPr>
    </w:p>
    <w:p>
      <w:pPr>
        <w:ind w:left="1360" w:right="580"/>
        <w:spacing w:after="0" w:line="293" w:lineRule="auto"/>
        <w:rPr>
          <w:sz w:val="20"/>
          <w:szCs w:val="20"/>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maintaining an acceptable safety profile and shelf life of our products following approval;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left="1360" w:right="20"/>
        <w:spacing w:after="0" w:line="293" w:lineRule="auto"/>
        <w:rPr>
          <w:sz w:val="20"/>
          <w:szCs w:val="20"/>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maintaining and growing an organization of people who can develop our products and technology.</w:t>
      </w:r>
    </w:p>
    <w:p>
      <w:pPr>
        <w:spacing w:after="0" w:line="239" w:lineRule="exact"/>
        <w:rPr>
          <w:sz w:val="20"/>
          <w:szCs w:val="20"/>
          <w:color w:val="auto"/>
        </w:rPr>
      </w:pPr>
    </w:p>
    <w:p>
      <w:pPr>
        <w:ind w:right="20" w:firstLine="1018"/>
        <w:spacing w:after="0" w:line="269"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9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5"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9" w:lineRule="exact"/>
        <w:rPr>
          <w:sz w:val="20"/>
          <w:szCs w:val="20"/>
          <w:color w:val="auto"/>
        </w:rPr>
      </w:pPr>
    </w:p>
    <w:p>
      <w:pPr>
        <w:ind w:left="1360" w:right="140"/>
        <w:spacing w:after="0" w:line="293"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sz w:val="20"/>
          <w:szCs w:val="20"/>
          <w:color w:val="auto"/>
        </w:rPr>
      </w:pPr>
    </w:p>
    <w:p>
      <w:pPr>
        <w:ind w:left="1360" w:right="100"/>
        <w:spacing w:after="0" w:line="293" w:lineRule="auto"/>
        <w:rPr>
          <w:sz w:val="20"/>
          <w:szCs w:val="20"/>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9" w:lineRule="exact"/>
        <w:rPr>
          <w:sz w:val="20"/>
          <w:szCs w:val="20"/>
          <w:color w:val="auto"/>
        </w:rPr>
      </w:pPr>
    </w:p>
    <w:p>
      <w:pPr>
        <w:ind w:left="1360" w:right="320"/>
        <w:spacing w:after="0" w:line="293" w:lineRule="auto"/>
        <w:rPr>
          <w:sz w:val="20"/>
          <w:szCs w:val="20"/>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70" w:lineRule="exact"/>
        <w:rPr>
          <w:sz w:val="20"/>
          <w:szCs w:val="20"/>
          <w:color w:val="auto"/>
        </w:rPr>
      </w:pPr>
    </w:p>
    <w:p>
      <w:pPr>
        <w:ind w:left="1360" w:right="80"/>
        <w:spacing w:after="0" w:line="324" w:lineRule="auto"/>
        <w:rPr>
          <w:sz w:val="20"/>
          <w:szCs w:val="20"/>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47" w:lineRule="exact"/>
        <w:rPr>
          <w:sz w:val="20"/>
          <w:szCs w:val="20"/>
          <w:color w:val="auto"/>
        </w:rPr>
      </w:pPr>
    </w:p>
    <w:p>
      <w:pPr>
        <w:ind w:left="1360" w:right="300"/>
        <w:spacing w:after="0" w:line="293" w:lineRule="auto"/>
        <w:rPr>
          <w:sz w:val="20"/>
          <w:szCs w:val="20"/>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70" w:lineRule="exact"/>
        <w:rPr>
          <w:sz w:val="20"/>
          <w:szCs w:val="20"/>
          <w:color w:val="auto"/>
        </w:rPr>
      </w:pPr>
    </w:p>
    <w:p>
      <w:pPr>
        <w:ind w:left="1360" w:right="460"/>
        <w:spacing w:after="0" w:line="266" w:lineRule="auto"/>
        <w:rPr>
          <w:sz w:val="20"/>
          <w:szCs w:val="20"/>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220" w:firstLine="1018"/>
        <w:spacing w:after="0" w:line="279"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3" w:lineRule="exact"/>
        <w:rPr>
          <w:sz w:val="20"/>
          <w:szCs w:val="20"/>
          <w:color w:val="auto"/>
        </w:rPr>
      </w:pPr>
    </w:p>
    <w:p>
      <w:pPr>
        <w:ind w:firstLine="1018"/>
        <w:spacing w:after="0" w:line="271" w:lineRule="auto"/>
        <w:rPr>
          <w:sz w:val="20"/>
          <w:szCs w:val="20"/>
          <w:color w:val="auto"/>
        </w:rPr>
      </w:pPr>
      <w:r>
        <w:rPr>
          <w:rFonts w:ascii="Arial" w:cs="Arial" w:eastAsia="Arial" w:hAnsi="Arial"/>
          <w:sz w:val="18"/>
          <w:szCs w:val="18"/>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91"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3" w:lineRule="exact"/>
        <w:rPr>
          <w:sz w:val="20"/>
          <w:szCs w:val="20"/>
          <w:color w:val="auto"/>
        </w:rPr>
      </w:pPr>
    </w:p>
    <w:p>
      <w:pPr>
        <w:ind w:right="120" w:firstLine="1018"/>
        <w:spacing w:after="0" w:line="303"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69"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366" w:lineRule="exact"/>
        <w:rPr>
          <w:sz w:val="20"/>
          <w:szCs w:val="20"/>
          <w:color w:val="auto"/>
        </w:rPr>
      </w:pPr>
    </w:p>
    <w:p>
      <w:pPr>
        <w:ind w:right="120" w:firstLine="1018"/>
        <w:spacing w:after="0" w:line="359" w:lineRule="auto"/>
        <w:rPr>
          <w:sz w:val="20"/>
          <w:szCs w:val="20"/>
          <w:color w:val="auto"/>
        </w:rPr>
      </w:pPr>
      <w:r>
        <w:rPr>
          <w:rFonts w:ascii="Arial" w:cs="Arial" w:eastAsia="Arial" w:hAnsi="Arial"/>
          <w:sz w:val="16"/>
          <w:szCs w:val="16"/>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obtaining regulatory approvals to commence a clinical trial;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fraud or negligence on the part of consultants or contractors;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obtaining Institutional Review Board ("IRB"), or Ethics Committee ("EC") approval at each site;</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recruiting suitable patients to participate in a clinical trial;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left="1360"/>
        <w:spacing w:after="0"/>
        <w:rPr>
          <w:sz w:val="20"/>
          <w:szCs w:val="20"/>
          <w:color w:val="auto"/>
        </w:rPr>
      </w:pPr>
      <w:r>
        <w:rPr>
          <w:rFonts w:ascii="Arial" w:cs="Arial" w:eastAsia="Arial" w:hAnsi="Arial"/>
          <w:sz w:val="18"/>
          <w:szCs w:val="18"/>
          <w:color w:val="auto"/>
        </w:rPr>
        <w:t>having patients complete a clinical trial or return for post-treatment follow-up;</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clinical sites deviating from the clinical trial’s protocol or dropping out of a clinical trial;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adding new clinical trial sites; or</w:t>
      </w:r>
    </w:p>
    <w:p>
      <w:pPr>
        <w:spacing w:after="0" w:line="239" w:lineRule="exact"/>
        <w:rPr>
          <w:sz w:val="20"/>
          <w:szCs w:val="20"/>
          <w:color w:val="auto"/>
        </w:rPr>
      </w:pPr>
    </w:p>
    <w:p>
      <w:pPr>
        <w:ind w:left="1360" w:right="40"/>
        <w:spacing w:after="0" w:line="293" w:lineRule="auto"/>
        <w:rPr>
          <w:sz w:val="20"/>
          <w:szCs w:val="20"/>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0" w:lineRule="exact"/>
        <w:rPr>
          <w:sz w:val="20"/>
          <w:szCs w:val="20"/>
          <w:color w:val="auto"/>
        </w:rPr>
      </w:pPr>
    </w:p>
    <w:p>
      <w:pPr>
        <w:ind w:right="260" w:firstLine="1018"/>
        <w:spacing w:after="0" w:line="272"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comparable foreign regulatory authorities, which would represent a significant setback for the applicable program.</w:t>
      </w:r>
    </w:p>
    <w:p>
      <w:pPr>
        <w:spacing w:after="0" w:line="191" w:lineRule="exact"/>
        <w:rPr>
          <w:sz w:val="20"/>
          <w:szCs w:val="20"/>
          <w:color w:val="auto"/>
        </w:rPr>
      </w:pPr>
    </w:p>
    <w:p>
      <w:pPr>
        <w:ind w:right="540" w:firstLine="1018"/>
        <w:spacing w:after="0" w:line="329"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323" w:lineRule="exact"/>
        <w:rPr>
          <w:sz w:val="20"/>
          <w:szCs w:val="20"/>
          <w:color w:val="auto"/>
        </w:rPr>
      </w:pPr>
    </w:p>
    <w:p>
      <w:pPr>
        <w:ind w:right="280"/>
        <w:spacing w:after="0" w:line="324"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7" w:lineRule="exact"/>
        <w:rPr>
          <w:sz w:val="20"/>
          <w:szCs w:val="20"/>
          <w:color w:val="auto"/>
        </w:rPr>
      </w:pPr>
    </w:p>
    <w:p>
      <w:pPr>
        <w:ind w:right="100" w:firstLine="1018"/>
        <w:spacing w:after="0" w:line="270"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are still in the formulation or preclinical stages. We intend to initiate Phase 1 clinical trials for certain of these product candidates in 2022 and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93" w:lineRule="exact"/>
        <w:rPr>
          <w:sz w:val="20"/>
          <w:szCs w:val="20"/>
          <w:color w:val="auto"/>
        </w:rPr>
      </w:pPr>
    </w:p>
    <w:p>
      <w:pPr>
        <w:ind w:right="600" w:firstLine="1018"/>
        <w:spacing w:after="0" w:line="293"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1360"/>
        <w:spacing w:after="0"/>
        <w:rPr>
          <w:sz w:val="20"/>
          <w:szCs w:val="20"/>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239" w:lineRule="exact"/>
        <w:rPr>
          <w:sz w:val="20"/>
          <w:szCs w:val="20"/>
          <w:color w:val="auto"/>
        </w:rPr>
      </w:pPr>
    </w:p>
    <w:p>
      <w:pPr>
        <w:ind w:left="1360" w:right="800"/>
        <w:spacing w:after="0" w:line="293" w:lineRule="auto"/>
        <w:rPr>
          <w:sz w:val="20"/>
          <w:szCs w:val="20"/>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obtaining approval from one or more IRBs;</w:t>
      </w:r>
    </w:p>
    <w:p>
      <w:pPr>
        <w:spacing w:after="0" w:line="239" w:lineRule="exact"/>
        <w:rPr>
          <w:sz w:val="20"/>
          <w:szCs w:val="20"/>
          <w:color w:val="auto"/>
        </w:rPr>
      </w:pPr>
    </w:p>
    <w:p>
      <w:pPr>
        <w:ind w:left="1360" w:right="80"/>
        <w:spacing w:after="0" w:line="293" w:lineRule="auto"/>
        <w:rPr>
          <w:sz w:val="20"/>
          <w:szCs w:val="20"/>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to clinical trial protocol;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clinical sites deviating from trial protocol or dropping out of a trial;</w:t>
      </w:r>
    </w:p>
    <w:p>
      <w:pPr>
        <w:spacing w:after="0" w:line="239" w:lineRule="exact"/>
        <w:rPr>
          <w:sz w:val="20"/>
          <w:szCs w:val="20"/>
          <w:color w:val="auto"/>
        </w:rPr>
      </w:pPr>
    </w:p>
    <w:p>
      <w:pPr>
        <w:ind w:left="1360" w:right="140"/>
        <w:spacing w:after="0" w:line="293" w:lineRule="auto"/>
        <w:rPr>
          <w:sz w:val="20"/>
          <w:szCs w:val="20"/>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39" w:lineRule="exact"/>
        <w:rPr>
          <w:sz w:val="20"/>
          <w:szCs w:val="20"/>
          <w:color w:val="auto"/>
        </w:rPr>
      </w:pPr>
    </w:p>
    <w:p>
      <w:pPr>
        <w:ind w:left="1360" w:right="260"/>
        <w:spacing w:after="0" w:line="293" w:lineRule="auto"/>
        <w:rPr>
          <w:sz w:val="20"/>
          <w:szCs w:val="20"/>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volunteers experiencing severe or unexpected drug-related adverse effects;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39" w:lineRule="exact"/>
        <w:rPr>
          <w:sz w:val="20"/>
          <w:szCs w:val="20"/>
          <w:color w:val="auto"/>
        </w:rPr>
      </w:pPr>
    </w:p>
    <w:p>
      <w:pPr>
        <w:ind w:left="1360" w:right="140"/>
        <w:spacing w:after="0" w:line="279" w:lineRule="auto"/>
        <w:rPr>
          <w:sz w:val="20"/>
          <w:szCs w:val="20"/>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any changes to our manufacturing process or product formulation that may be necessary or desired;</w:t>
      </w:r>
    </w:p>
    <w:p>
      <w:pPr>
        <w:spacing w:after="0" w:line="239" w:lineRule="exact"/>
        <w:rPr>
          <w:sz w:val="20"/>
          <w:szCs w:val="20"/>
          <w:color w:val="auto"/>
        </w:rPr>
      </w:pPr>
    </w:p>
    <w:p>
      <w:pPr>
        <w:ind w:left="1360" w:right="320"/>
        <w:spacing w:after="0" w:line="293" w:lineRule="auto"/>
        <w:rPr>
          <w:sz w:val="20"/>
          <w:szCs w:val="20"/>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7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1360" w:right="140"/>
        <w:spacing w:after="0" w:line="303" w:lineRule="auto"/>
        <w:rPr>
          <w:sz w:val="20"/>
          <w:szCs w:val="20"/>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4" w:lineRule="exact"/>
        <w:rPr>
          <w:sz w:val="20"/>
          <w:szCs w:val="20"/>
          <w:color w:val="auto"/>
        </w:rPr>
      </w:pPr>
    </w:p>
    <w:p>
      <w:pPr>
        <w:ind w:right="380" w:firstLine="1018"/>
        <w:spacing w:after="0" w:line="266"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180"/>
        <w:spacing w:after="0" w:line="275" w:lineRule="auto"/>
        <w:rPr>
          <w:sz w:val="20"/>
          <w:szCs w:val="20"/>
          <w:color w:val="auto"/>
        </w:rPr>
      </w:pPr>
      <w:r>
        <w:rPr>
          <w:rFonts w:ascii="Arial" w:cs="Arial" w:eastAsia="Arial" w:hAnsi="Arial"/>
          <w:sz w:val="18"/>
          <w:szCs w:val="18"/>
          <w:color w:val="auto"/>
        </w:rPr>
        <w:t>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85" w:lineRule="exact"/>
        <w:rPr>
          <w:sz w:val="20"/>
          <w:szCs w:val="20"/>
          <w:color w:val="auto"/>
        </w:rPr>
      </w:pPr>
    </w:p>
    <w:p>
      <w:pPr>
        <w:ind w:right="220" w:firstLine="1018"/>
        <w:spacing w:after="0" w:line="275"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5"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356" w:lineRule="exact"/>
        <w:rPr>
          <w:sz w:val="20"/>
          <w:szCs w:val="20"/>
          <w:color w:val="auto"/>
        </w:rPr>
      </w:pPr>
    </w:p>
    <w:p>
      <w:pPr>
        <w:ind w:right="80" w:firstLine="1018"/>
        <w:spacing w:after="0" w:line="290"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6" w:lineRule="exact"/>
        <w:rPr>
          <w:sz w:val="20"/>
          <w:szCs w:val="20"/>
          <w:color w:val="auto"/>
        </w:rPr>
      </w:pPr>
    </w:p>
    <w:p>
      <w:pPr>
        <w:ind w:right="160" w:firstLine="1018"/>
        <w:spacing w:after="0" w:line="27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5" w:lineRule="exact"/>
        <w:rPr>
          <w:sz w:val="20"/>
          <w:szCs w:val="20"/>
          <w:color w:val="auto"/>
        </w:rPr>
      </w:pPr>
    </w:p>
    <w:p>
      <w:pPr>
        <w:ind w:right="140" w:firstLine="1018"/>
        <w:spacing w:after="0" w:line="311"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63"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91" w:lineRule="exact"/>
        <w:rPr>
          <w:sz w:val="20"/>
          <w:szCs w:val="20"/>
          <w:color w:val="auto"/>
        </w:rPr>
      </w:pPr>
    </w:p>
    <w:p>
      <w:pPr>
        <w:ind w:firstLine="1018"/>
        <w:spacing w:after="0" w:line="281" w:lineRule="auto"/>
        <w:rPr>
          <w:sz w:val="20"/>
          <w:szCs w:val="20"/>
          <w:color w:val="auto"/>
        </w:rPr>
      </w:pPr>
      <w:r>
        <w:rPr>
          <w:rFonts w:ascii="Arial" w:cs="Arial" w:eastAsia="Arial" w:hAnsi="Arial"/>
          <w:sz w:val="17"/>
          <w:szCs w:val="17"/>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60" w:firstLine="1018"/>
        <w:spacing w:after="0" w:line="272"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91" w:lineRule="exact"/>
        <w:rPr>
          <w:sz w:val="20"/>
          <w:szCs w:val="20"/>
          <w:color w:val="auto"/>
        </w:rPr>
      </w:pPr>
    </w:p>
    <w:p>
      <w:pPr>
        <w:ind w:right="60" w:firstLine="1018"/>
        <w:spacing w:after="0" w:line="309" w:lineRule="auto"/>
        <w:rPr>
          <w:sz w:val="20"/>
          <w:szCs w:val="20"/>
          <w:color w:val="auto"/>
        </w:rPr>
      </w:pPr>
      <w:r>
        <w:rPr>
          <w:rFonts w:ascii="Arial" w:cs="Arial" w:eastAsia="Arial" w:hAnsi="Arial"/>
          <w:sz w:val="16"/>
          <w:szCs w:val="16"/>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3"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1" w:lineRule="exact"/>
        <w:rPr>
          <w:sz w:val="20"/>
          <w:szCs w:val="20"/>
          <w:color w:val="auto"/>
        </w:rPr>
      </w:pPr>
    </w:p>
    <w:p>
      <w:pPr>
        <w:ind w:right="160" w:firstLine="1018"/>
        <w:spacing w:after="0" w:line="329" w:lineRule="auto"/>
        <w:rPr>
          <w:sz w:val="20"/>
          <w:szCs w:val="20"/>
          <w:color w:val="auto"/>
        </w:rPr>
      </w:pPr>
      <w:r>
        <w:rPr>
          <w:rFonts w:ascii="Arial" w:cs="Arial" w:eastAsia="Arial" w:hAnsi="Arial"/>
          <w:sz w:val="16"/>
          <w:szCs w:val="16"/>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48" w:lineRule="exact"/>
        <w:rPr>
          <w:sz w:val="20"/>
          <w:szCs w:val="20"/>
          <w:color w:val="auto"/>
        </w:rPr>
      </w:pPr>
    </w:p>
    <w:p>
      <w:pPr>
        <w:jc w:val="both"/>
        <w:ind w:right="260" w:firstLine="1018"/>
        <w:spacing w:after="0" w:line="279"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3" w:lineRule="exact"/>
        <w:rPr>
          <w:sz w:val="20"/>
          <w:szCs w:val="20"/>
          <w:color w:val="auto"/>
        </w:rPr>
      </w:pPr>
    </w:p>
    <w:p>
      <w:pPr>
        <w:ind w:right="140" w:firstLine="1018"/>
        <w:spacing w:after="0" w:line="329"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8" w:lineRule="exact"/>
        <w:rPr>
          <w:sz w:val="20"/>
          <w:szCs w:val="20"/>
          <w:color w:val="auto"/>
        </w:rPr>
      </w:pPr>
    </w:p>
    <w:p>
      <w:pPr>
        <w:ind w:right="120" w:firstLine="1018"/>
        <w:spacing w:after="0" w:line="296" w:lineRule="auto"/>
        <w:rPr>
          <w:sz w:val="20"/>
          <w:szCs w:val="20"/>
          <w:color w:val="auto"/>
        </w:rPr>
      </w:pPr>
      <w:r>
        <w:rPr>
          <w:rFonts w:ascii="Arial" w:cs="Arial" w:eastAsia="Arial" w:hAnsi="Arial"/>
          <w:sz w:val="17"/>
          <w:szCs w:val="17"/>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170" w:lineRule="exact"/>
        <w:rPr>
          <w:sz w:val="20"/>
          <w:szCs w:val="20"/>
          <w:color w:val="auto"/>
        </w:rPr>
      </w:pPr>
    </w:p>
    <w:p>
      <w:pPr>
        <w:ind w:right="300" w:firstLine="1018"/>
        <w:spacing w:after="0" w:line="29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regulatory authorities may withdraw approvals of such product;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regulatory authorities may require additional warnings on the label;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1" w:name="page52"/>
    <w:bookmarkEnd w:id="51"/>
    <w:p>
      <w:pPr>
        <w:ind w:left="1360"/>
        <w:spacing w:after="0"/>
        <w:rPr>
          <w:sz w:val="20"/>
          <w:szCs w:val="20"/>
          <w:color w:val="auto"/>
        </w:rPr>
      </w:pPr>
      <w:r>
        <w:rPr>
          <w:rFonts w:ascii="Arial" w:cs="Arial" w:eastAsia="Arial" w:hAnsi="Arial"/>
          <w:sz w:val="18"/>
          <w:szCs w:val="18"/>
          <w:color w:val="auto"/>
        </w:rPr>
        <w:t>we could be sued and held liable for harm caused to patients;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ind w:right="480" w:firstLine="1018"/>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right="20" w:firstLine="1018"/>
        <w:spacing w:after="0" w:line="284" w:lineRule="auto"/>
        <w:rPr>
          <w:sz w:val="20"/>
          <w:szCs w:val="20"/>
          <w:color w:val="auto"/>
        </w:rPr>
      </w:pPr>
      <w:r>
        <w:rPr>
          <w:rFonts w:ascii="Arial" w:cs="Arial" w:eastAsia="Arial" w:hAnsi="Arial"/>
          <w:sz w:val="17"/>
          <w:szCs w:val="17"/>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200" w:lineRule="exact"/>
        <w:rPr>
          <w:sz w:val="20"/>
          <w:szCs w:val="20"/>
          <w:color w:val="auto"/>
        </w:rPr>
      </w:pPr>
    </w:p>
    <w:p>
      <w:pPr>
        <w:spacing w:after="0" w:line="213" w:lineRule="exact"/>
        <w:rPr>
          <w:sz w:val="20"/>
          <w:szCs w:val="20"/>
          <w:color w:val="auto"/>
        </w:rPr>
      </w:pPr>
    </w:p>
    <w:p>
      <w:pPr>
        <w:ind w:right="560"/>
        <w:spacing w:after="0" w:line="359"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5"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78"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102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such authorities may disagree with the design or implementation of our clinical trials;</w:t>
      </w:r>
    </w:p>
    <w:p>
      <w:pPr>
        <w:spacing w:after="0" w:line="239"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70" w:lineRule="exact"/>
        <w:rPr>
          <w:sz w:val="20"/>
          <w:szCs w:val="20"/>
          <w:color w:val="auto"/>
        </w:rPr>
      </w:pPr>
    </w:p>
    <w:p>
      <w:pPr>
        <w:ind w:left="1360" w:right="240"/>
        <w:spacing w:after="0" w:line="293" w:lineRule="auto"/>
        <w:rPr>
          <w:sz w:val="20"/>
          <w:szCs w:val="20"/>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70" w:lineRule="exact"/>
        <w:rPr>
          <w:sz w:val="20"/>
          <w:szCs w:val="20"/>
          <w:color w:val="auto"/>
        </w:rPr>
      </w:pPr>
    </w:p>
    <w:p>
      <w:pPr>
        <w:ind w:left="1360" w:right="60"/>
        <w:spacing w:after="0" w:line="293" w:lineRule="auto"/>
        <w:rPr>
          <w:sz w:val="20"/>
          <w:szCs w:val="20"/>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70" w:lineRule="exact"/>
        <w:rPr>
          <w:sz w:val="20"/>
          <w:szCs w:val="20"/>
          <w:color w:val="auto"/>
        </w:rPr>
      </w:pPr>
    </w:p>
    <w:p>
      <w:pPr>
        <w:ind w:left="1360" w:right="280"/>
        <w:spacing w:after="0" w:line="293" w:lineRule="auto"/>
        <w:rPr>
          <w:sz w:val="20"/>
          <w:szCs w:val="20"/>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39" w:lineRule="exact"/>
        <w:rPr>
          <w:sz w:val="20"/>
          <w:szCs w:val="20"/>
          <w:color w:val="auto"/>
        </w:rPr>
      </w:pPr>
    </w:p>
    <w:p>
      <w:pPr>
        <w:ind w:left="1360" w:right="60"/>
        <w:spacing w:after="0" w:line="279" w:lineRule="auto"/>
        <w:rPr>
          <w:sz w:val="20"/>
          <w:szCs w:val="20"/>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39" w:lineRule="exact"/>
        <w:rPr>
          <w:sz w:val="20"/>
          <w:szCs w:val="20"/>
          <w:color w:val="auto"/>
        </w:rPr>
      </w:pPr>
    </w:p>
    <w:p>
      <w:pPr>
        <w:ind w:left="1360" w:right="360"/>
        <w:spacing w:after="0" w:line="293" w:lineRule="auto"/>
        <w:rPr>
          <w:sz w:val="20"/>
          <w:szCs w:val="20"/>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70" w:lineRule="exact"/>
        <w:rPr>
          <w:sz w:val="20"/>
          <w:szCs w:val="20"/>
          <w:color w:val="auto"/>
        </w:rPr>
      </w:pPr>
    </w:p>
    <w:p>
      <w:pPr>
        <w:ind w:left="1360" w:right="560"/>
        <w:spacing w:after="0" w:line="293" w:lineRule="auto"/>
        <w:rPr>
          <w:sz w:val="20"/>
          <w:szCs w:val="20"/>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70" w:lineRule="exact"/>
        <w:rPr>
          <w:sz w:val="20"/>
          <w:szCs w:val="20"/>
          <w:color w:val="auto"/>
        </w:rPr>
      </w:pPr>
    </w:p>
    <w:p>
      <w:pPr>
        <w:ind w:left="1360" w:right="200"/>
        <w:spacing w:after="0" w:line="293" w:lineRule="auto"/>
        <w:rPr>
          <w:sz w:val="20"/>
          <w:szCs w:val="20"/>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39" w:lineRule="exact"/>
        <w:rPr>
          <w:sz w:val="20"/>
          <w:szCs w:val="20"/>
          <w:color w:val="auto"/>
        </w:rPr>
      </w:pPr>
    </w:p>
    <w:p>
      <w:pPr>
        <w:ind w:firstLine="1018"/>
        <w:spacing w:after="0" w:line="292"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4"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3" w:lineRule="exact"/>
        <w:rPr>
          <w:sz w:val="20"/>
          <w:szCs w:val="20"/>
          <w:color w:val="auto"/>
        </w:rPr>
      </w:pPr>
    </w:p>
    <w:p>
      <w:pPr>
        <w:ind w:firstLine="1018"/>
        <w:spacing w:after="0" w:line="299"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40"/>
        <w:spacing w:after="0" w:line="292" w:lineRule="auto"/>
        <w:rPr>
          <w:sz w:val="20"/>
          <w:szCs w:val="20"/>
          <w:color w:val="auto"/>
        </w:rPr>
      </w:pPr>
      <w:r>
        <w:rPr>
          <w:rFonts w:ascii="Arial" w:cs="Arial" w:eastAsia="Arial" w:hAnsi="Arial"/>
          <w:sz w:val="17"/>
          <w:szCs w:val="17"/>
          <w:color w:val="auto"/>
        </w:rPr>
        <w:t>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91"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right="80" w:firstLine="1018"/>
        <w:spacing w:after="0" w:line="288" w:lineRule="auto"/>
        <w:rPr>
          <w:sz w:val="20"/>
          <w:szCs w:val="20"/>
          <w:color w:val="auto"/>
        </w:rPr>
      </w:pPr>
      <w:r>
        <w:rPr>
          <w:rFonts w:ascii="Arial" w:cs="Arial" w:eastAsia="Arial" w:hAnsi="Arial"/>
          <w:sz w:val="17"/>
          <w:szCs w:val="17"/>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81" w:lineRule="exact"/>
        <w:rPr>
          <w:sz w:val="20"/>
          <w:szCs w:val="20"/>
          <w:color w:val="auto"/>
        </w:rPr>
      </w:pPr>
    </w:p>
    <w:p>
      <w:pPr>
        <w:ind w:right="120" w:firstLine="1018"/>
        <w:spacing w:after="0" w:line="290"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76"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0"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7" w:lineRule="exact"/>
        <w:rPr>
          <w:sz w:val="20"/>
          <w:szCs w:val="20"/>
          <w:color w:val="auto"/>
        </w:rPr>
      </w:pPr>
    </w:p>
    <w:p>
      <w:pPr>
        <w:ind w:firstLine="1018"/>
        <w:spacing w:after="0" w:line="281"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20"/>
        <w:spacing w:after="0" w:line="287" w:lineRule="auto"/>
        <w:rPr>
          <w:sz w:val="20"/>
          <w:szCs w:val="20"/>
          <w:color w:val="auto"/>
        </w:rPr>
      </w:pPr>
      <w:r>
        <w:rPr>
          <w:rFonts w:ascii="Arial" w:cs="Arial" w:eastAsia="Arial" w:hAnsi="Arial"/>
          <w:sz w:val="17"/>
          <w:szCs w:val="17"/>
          <w:color w:val="auto"/>
        </w:rPr>
        <w:t>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85"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2" w:lineRule="exact"/>
        <w:rPr>
          <w:sz w:val="20"/>
          <w:szCs w:val="20"/>
          <w:color w:val="auto"/>
        </w:rPr>
      </w:pPr>
    </w:p>
    <w:p>
      <w:pPr>
        <w:ind w:right="100" w:firstLine="1018"/>
        <w:spacing w:after="0" w:line="314"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clinical data on our product candidates to indicate whether they are safe or effective for long-term use in humans.</w:t>
      </w:r>
    </w:p>
    <w:p>
      <w:pPr>
        <w:spacing w:after="0" w:line="239"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74" w:lineRule="exact"/>
        <w:rPr>
          <w:sz w:val="20"/>
          <w:szCs w:val="20"/>
          <w:color w:val="auto"/>
        </w:rPr>
      </w:pPr>
    </w:p>
    <w:p>
      <w:pPr>
        <w:jc w:val="both"/>
        <w:ind w:right="280" w:firstLine="1018"/>
        <w:spacing w:after="0" w:line="279"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3"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right="80" w:firstLine="1018"/>
        <w:spacing w:after="0" w:line="299"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("GCP"); and (iii) the data may be considered valid without the need for an on-site inspection by the FDA, or if the FDA considers such inspection to be necessary, the FDA is able to validate the data</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right="120"/>
        <w:spacing w:after="0" w:line="287" w:lineRule="auto"/>
        <w:rPr>
          <w:sz w:val="20"/>
          <w:szCs w:val="20"/>
          <w:color w:val="auto"/>
        </w:rPr>
      </w:pPr>
      <w:r>
        <w:rPr>
          <w:rFonts w:ascii="Arial" w:cs="Arial" w:eastAsia="Arial" w:hAnsi="Arial"/>
          <w:sz w:val="17"/>
          <w:szCs w:val="17"/>
          <w:color w:val="auto"/>
        </w:rPr>
        <w:t>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4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0" w:lineRule="exact"/>
        <w:rPr>
          <w:sz w:val="20"/>
          <w:szCs w:val="20"/>
          <w:color w:val="auto"/>
        </w:rPr>
      </w:pPr>
    </w:p>
    <w:p>
      <w:pPr>
        <w:ind w:firstLine="1018"/>
        <w:spacing w:after="0" w:line="329"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48"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91" w:lineRule="exact"/>
        <w:rPr>
          <w:sz w:val="20"/>
          <w:szCs w:val="20"/>
          <w:color w:val="auto"/>
        </w:rPr>
      </w:pPr>
    </w:p>
    <w:p>
      <w:pPr>
        <w:ind w:right="20" w:firstLine="1018"/>
        <w:spacing w:after="0" w:line="305"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69" w:lineRule="exact"/>
        <w:rPr>
          <w:sz w:val="20"/>
          <w:szCs w:val="20"/>
          <w:color w:val="auto"/>
        </w:rPr>
      </w:pPr>
    </w:p>
    <w:p>
      <w:pPr>
        <w:ind w:right="280" w:firstLine="1018"/>
        <w:spacing w:after="0" w:line="296"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issue warning letters that would result in adverse publicity;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impose civil or criminal penalties;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suspend or withdraw regulatory approvals;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suspend any of our ongoing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refuse to approve pending applications or supplements to approved applications submitted by 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left="1360"/>
        <w:spacing w:after="0"/>
        <w:rPr>
          <w:sz w:val="20"/>
          <w:szCs w:val="20"/>
          <w:color w:val="auto"/>
        </w:rPr>
      </w:pPr>
      <w:r>
        <w:rPr>
          <w:rFonts w:ascii="Arial" w:cs="Arial" w:eastAsia="Arial" w:hAnsi="Arial"/>
          <w:sz w:val="18"/>
          <w:szCs w:val="18"/>
          <w:color w:val="auto"/>
        </w:rPr>
        <w:t>impose restrictions on our operations, including closing our contract manufacturers’ facilities;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seize or detain products; or</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require a product recall.</w:t>
      </w:r>
    </w:p>
    <w:p>
      <w:pPr>
        <w:spacing w:after="0" w:line="239"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31"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3" w:lineRule="exact"/>
        <w:rPr>
          <w:sz w:val="20"/>
          <w:szCs w:val="20"/>
          <w:color w:val="auto"/>
        </w:rPr>
      </w:pPr>
    </w:p>
    <w:p>
      <w:pPr>
        <w:ind w:right="120" w:firstLine="1018"/>
        <w:spacing w:after="0" w:line="27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185"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efficacy of our product candidates compared to alternative treatments;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shelf-life of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effectiveness of sales and marketing efforts;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 of treatment in relation to alternative treatments;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offer our product candidates for sale at competitive prices;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willingness of the target patient population to try the RaniPill capsule;</w:t>
      </w:r>
    </w:p>
    <w:p>
      <w:pPr>
        <w:spacing w:after="0" w:line="239" w:lineRule="exact"/>
        <w:rPr>
          <w:sz w:val="20"/>
          <w:szCs w:val="20"/>
          <w:color w:val="auto"/>
        </w:rPr>
      </w:pPr>
    </w:p>
    <w:p>
      <w:pPr>
        <w:ind w:left="1360" w:right="20"/>
        <w:spacing w:after="0" w:line="293" w:lineRule="auto"/>
        <w:rPr>
          <w:sz w:val="20"/>
          <w:szCs w:val="20"/>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50"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strength of marketing and distribution support;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availability of government and third-party coverage and adequate reimbursement;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manufacture sufficient supply to meet patients’ demand;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prevalence and severity of any side effects;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any restrictions on the use of our product candidates together with other medications or treatments.</w:t>
      </w:r>
    </w:p>
    <w:p>
      <w:pPr>
        <w:spacing w:after="0" w:line="239"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right="20"/>
        <w:spacing w:after="0" w:line="293" w:lineRule="auto"/>
        <w:rPr>
          <w:sz w:val="20"/>
          <w:szCs w:val="20"/>
          <w:color w:val="auto"/>
        </w:rPr>
      </w:pPr>
      <w:r>
        <w:rPr>
          <w:rFonts w:ascii="Arial" w:cs="Arial" w:eastAsia="Arial" w:hAnsi="Arial"/>
          <w:sz w:val="18"/>
          <w:szCs w:val="18"/>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70" w:lineRule="exact"/>
        <w:rPr>
          <w:sz w:val="20"/>
          <w:szCs w:val="20"/>
          <w:color w:val="auto"/>
        </w:rPr>
      </w:pPr>
    </w:p>
    <w:p>
      <w:pPr>
        <w:ind w:right="40" w:firstLine="1018"/>
        <w:spacing w:after="0" w:line="285" w:lineRule="auto"/>
        <w:rPr>
          <w:sz w:val="20"/>
          <w:szCs w:val="20"/>
          <w:color w:val="auto"/>
        </w:rPr>
      </w:pPr>
      <w:r>
        <w:rPr>
          <w:rFonts w:ascii="Arial" w:cs="Arial" w:eastAsia="Arial" w:hAnsi="Arial"/>
          <w:sz w:val="17"/>
          <w:szCs w:val="17"/>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85"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firstLine="1018"/>
        <w:spacing w:after="0" w:line="288"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covered benefit under its health plan;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safe, effective and medically necessary;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appropriate for the specific patient;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cost-effective;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neither experimental nor investigational.</w:t>
      </w:r>
    </w:p>
    <w:p>
      <w:pPr>
        <w:spacing w:after="0" w:line="239" w:lineRule="exact"/>
        <w:rPr>
          <w:sz w:val="20"/>
          <w:szCs w:val="20"/>
          <w:color w:val="auto"/>
        </w:rPr>
      </w:pPr>
    </w:p>
    <w:p>
      <w:pPr>
        <w:ind w:right="100" w:firstLine="1018"/>
        <w:spacing w:after="0" w:line="314"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335"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ind w:right="160"/>
        <w:spacing w:after="0" w:line="293" w:lineRule="auto"/>
        <w:rPr>
          <w:sz w:val="20"/>
          <w:szCs w:val="20"/>
          <w:color w:val="auto"/>
        </w:rPr>
      </w:pPr>
      <w:r>
        <w:rPr>
          <w:rFonts w:ascii="Arial" w:cs="Arial" w:eastAsia="Arial" w:hAnsi="Arial"/>
          <w:sz w:val="18"/>
          <w:szCs w:val="18"/>
          <w:color w:val="auto"/>
        </w:rPr>
        <w:t>States, the reimbursement for our products may be reduced compared with the United States and may be insufficient to generate commercially reasonable revenues and profits.</w:t>
      </w:r>
    </w:p>
    <w:p>
      <w:pPr>
        <w:spacing w:after="0" w:line="170" w:lineRule="exact"/>
        <w:rPr>
          <w:sz w:val="20"/>
          <w:szCs w:val="20"/>
          <w:color w:val="auto"/>
        </w:rPr>
      </w:pPr>
    </w:p>
    <w:p>
      <w:pPr>
        <w:ind w:right="280" w:firstLine="1018"/>
        <w:spacing w:after="0" w:line="311"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3" w:lineRule="exact"/>
        <w:rPr>
          <w:sz w:val="20"/>
          <w:szCs w:val="20"/>
          <w:color w:val="auto"/>
        </w:rPr>
      </w:pPr>
    </w:p>
    <w:p>
      <w:pPr>
        <w:jc w:val="both"/>
        <w:ind w:right="220"/>
        <w:spacing w:after="0" w:line="293"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jc w:val="both"/>
        <w:ind w:right="240" w:firstLine="1018"/>
        <w:spacing w:after="0" w:line="279"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3" w:lineRule="exact"/>
        <w:rPr>
          <w:sz w:val="20"/>
          <w:szCs w:val="20"/>
          <w:color w:val="auto"/>
        </w:rPr>
      </w:pPr>
    </w:p>
    <w:p>
      <w:pPr>
        <w:ind w:right="180" w:firstLine="1018"/>
        <w:spacing w:after="0" w:line="272"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91" w:lineRule="exact"/>
        <w:rPr>
          <w:sz w:val="20"/>
          <w:szCs w:val="20"/>
          <w:color w:val="auto"/>
        </w:rPr>
      </w:pPr>
    </w:p>
    <w:p>
      <w:pPr>
        <w:ind w:right="160" w:firstLine="1018"/>
        <w:spacing w:after="0" w:line="314"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0" w:lineRule="exact"/>
        <w:rPr>
          <w:sz w:val="20"/>
          <w:szCs w:val="20"/>
          <w:color w:val="auto"/>
        </w:rPr>
      </w:pPr>
    </w:p>
    <w:p>
      <w:pPr>
        <w:ind w:right="240" w:firstLine="1018"/>
        <w:spacing w:after="0" w:line="292"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174"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price of our products, including in comparison to branded or generic competitors;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left="1360" w:right="140"/>
        <w:spacing w:after="0" w:line="293" w:lineRule="auto"/>
        <w:rPr>
          <w:sz w:val="20"/>
          <w:szCs w:val="20"/>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ability to protect our intellectual property rights related to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ability to avoid infringing on the intellectual property rights of others;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5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5"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8" w:lineRule="exact"/>
        <w:rPr>
          <w:sz w:val="20"/>
          <w:szCs w:val="20"/>
          <w:color w:val="auto"/>
        </w:rPr>
      </w:pPr>
    </w:p>
    <w:p>
      <w:pPr>
        <w:ind w:firstLine="1018"/>
        <w:spacing w:after="0" w:line="305" w:lineRule="auto"/>
        <w:rPr>
          <w:sz w:val="20"/>
          <w:szCs w:val="20"/>
          <w:color w:val="auto"/>
        </w:rPr>
      </w:pPr>
      <w:r>
        <w:rPr>
          <w:rFonts w:ascii="Arial" w:cs="Arial" w:eastAsia="Arial" w:hAnsi="Arial"/>
          <w:sz w:val="16"/>
          <w:szCs w:val="16"/>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6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right="60" w:firstLine="1018"/>
        <w:spacing w:after="0" w:line="299"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an oral administration of parathyroid hormone (PTH) for the treatment of osteoporosis, for which we estimate the patient population is approximately 10.0 million in the United States as of 2018, and RT-105, an oral administration of TNF-alfa antibody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they are combination products.</w:t>
      </w:r>
    </w:p>
    <w:p>
      <w:pPr>
        <w:spacing w:after="0" w:line="239" w:lineRule="exact"/>
        <w:rPr>
          <w:sz w:val="20"/>
          <w:szCs w:val="20"/>
          <w:color w:val="auto"/>
        </w:rPr>
      </w:pPr>
    </w:p>
    <w:p>
      <w:pPr>
        <w:ind w:firstLine="1018"/>
        <w:spacing w:after="0" w:line="296" w:lineRule="auto"/>
        <w:rPr>
          <w:sz w:val="20"/>
          <w:szCs w:val="20"/>
          <w:color w:val="auto"/>
        </w:rPr>
      </w:pPr>
      <w:r>
        <w:rPr>
          <w:rFonts w:ascii="Arial" w:cs="Arial" w:eastAsia="Arial" w:hAnsi="Arial"/>
          <w:sz w:val="17"/>
          <w:szCs w:val="17"/>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116"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right="100" w:firstLine="1018"/>
        <w:spacing w:after="0" w:line="302"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43" w:lineRule="exact"/>
        <w:rPr>
          <w:sz w:val="20"/>
          <w:szCs w:val="20"/>
          <w:color w:val="auto"/>
        </w:rPr>
      </w:pPr>
    </w:p>
    <w:p>
      <w:pPr>
        <w:ind w:right="80"/>
        <w:spacing w:after="0" w:line="359" w:lineRule="auto"/>
        <w:rPr>
          <w:sz w:val="20"/>
          <w:szCs w:val="20"/>
          <w:color w:val="auto"/>
        </w:rPr>
      </w:pPr>
      <w:r>
        <w:rPr>
          <w:rFonts w:ascii="Arial" w:cs="Arial" w:eastAsia="Arial" w:hAnsi="Arial"/>
          <w:sz w:val="15"/>
          <w:szCs w:val="15"/>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30"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In the past, we have entered into evaluation agreements with Takeda and certain other pharmaceutical companies concerning the formulation and manufacture of oral versions of Factor VIII and other molecules. We currently have no active evaluation agreements. Future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346"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right="60"/>
        <w:spacing w:after="0" w:line="279" w:lineRule="auto"/>
        <w:rPr>
          <w:sz w:val="20"/>
          <w:szCs w:val="20"/>
          <w:color w:val="auto"/>
        </w:rPr>
      </w:pPr>
      <w:r>
        <w:rPr>
          <w:rFonts w:ascii="Arial" w:cs="Arial" w:eastAsia="Arial" w:hAnsi="Arial"/>
          <w:sz w:val="18"/>
          <w:szCs w:val="18"/>
          <w:color w:val="auto"/>
        </w:rPr>
        <w:t>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83"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1" w:lineRule="exact"/>
        <w:rPr>
          <w:sz w:val="20"/>
          <w:szCs w:val="20"/>
          <w:color w:val="auto"/>
        </w:rPr>
      </w:pPr>
    </w:p>
    <w:p>
      <w:pPr>
        <w:ind w:firstLine="1018"/>
        <w:spacing w:after="0" w:line="270" w:lineRule="auto"/>
        <w:rPr>
          <w:sz w:val="20"/>
          <w:szCs w:val="20"/>
          <w:color w:val="auto"/>
        </w:rPr>
      </w:pPr>
      <w:r>
        <w:rPr>
          <w:rFonts w:ascii="Arial" w:cs="Arial" w:eastAsia="Arial" w:hAnsi="Arial"/>
          <w:sz w:val="18"/>
          <w:szCs w:val="18"/>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reductions in the payment of royalties or other payments we believe are due pursuant to the applicable collaboration arrangement;</w:t>
      </w:r>
    </w:p>
    <w:p>
      <w:pPr>
        <w:spacing w:after="0" w:line="250" w:lineRule="exact"/>
        <w:rPr>
          <w:sz w:val="20"/>
          <w:szCs w:val="20"/>
          <w:color w:val="auto"/>
        </w:rPr>
      </w:pPr>
    </w:p>
    <w:p>
      <w:pPr>
        <w:ind w:left="1360" w:right="980"/>
        <w:spacing w:after="0" w:line="293" w:lineRule="auto"/>
        <w:rPr>
          <w:sz w:val="20"/>
          <w:szCs w:val="20"/>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70" w:lineRule="exact"/>
        <w:rPr>
          <w:sz w:val="20"/>
          <w:szCs w:val="20"/>
          <w:color w:val="auto"/>
        </w:rPr>
      </w:pPr>
    </w:p>
    <w:p>
      <w:pPr>
        <w:ind w:left="1360" w:right="100"/>
        <w:spacing w:after="0" w:line="293" w:lineRule="auto"/>
        <w:rPr>
          <w:sz w:val="20"/>
          <w:szCs w:val="20"/>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jc w:val="both"/>
        <w:ind w:right="160" w:firstLine="1018"/>
        <w:spacing w:after="0" w:line="279"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3"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0"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3"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ind w:right="40"/>
        <w:spacing w:after="0" w:line="292" w:lineRule="auto"/>
        <w:rPr>
          <w:sz w:val="20"/>
          <w:szCs w:val="20"/>
          <w:color w:val="auto"/>
        </w:rPr>
      </w:pPr>
      <w:r>
        <w:rPr>
          <w:rFonts w:ascii="Arial" w:cs="Arial" w:eastAsia="Arial" w:hAnsi="Arial"/>
          <w:sz w:val="17"/>
          <w:szCs w:val="17"/>
          <w:color w:val="auto"/>
        </w:rPr>
        <w:t>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4" w:lineRule="exact"/>
        <w:rPr>
          <w:sz w:val="20"/>
          <w:szCs w:val="20"/>
          <w:color w:val="auto"/>
        </w:rPr>
      </w:pPr>
    </w:p>
    <w:p>
      <w:pPr>
        <w:ind w:right="160" w:firstLine="1018"/>
        <w:spacing w:after="0" w:line="319"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6"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47" w:lineRule="exact"/>
        <w:rPr>
          <w:sz w:val="20"/>
          <w:szCs w:val="20"/>
          <w:color w:val="auto"/>
        </w:rPr>
      </w:pPr>
    </w:p>
    <w:p>
      <w:pPr>
        <w:jc w:val="both"/>
        <w:ind w:right="220" w:firstLine="1018"/>
        <w:spacing w:after="0" w:line="303"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4" w:lineRule="exact"/>
        <w:rPr>
          <w:sz w:val="20"/>
          <w:szCs w:val="20"/>
          <w:color w:val="auto"/>
        </w:rPr>
      </w:pPr>
    </w:p>
    <w:p>
      <w:pPr>
        <w:ind w:right="120" w:firstLine="1018"/>
        <w:spacing w:after="0" w:line="287" w:lineRule="auto"/>
        <w:rPr>
          <w:sz w:val="20"/>
          <w:szCs w:val="20"/>
          <w:color w:val="auto"/>
        </w:rPr>
      </w:pPr>
      <w:r>
        <w:rPr>
          <w:rFonts w:ascii="Arial" w:cs="Arial" w:eastAsia="Arial" w:hAnsi="Arial"/>
          <w:sz w:val="17"/>
          <w:szCs w:val="17"/>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7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82"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3"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43"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the timing, degree of success and cost of, and level of investment in, research, development, regulatory approval and commercialization activities relating to our product candidates, which may change from time to time;</w:t>
      </w:r>
    </w:p>
    <w:p>
      <w:pPr>
        <w:spacing w:after="0" w:line="17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level of demand for any approved products, which may vary significantly;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future accounting pronouncements or changes in our accounting policies; and</w:t>
      </w:r>
    </w:p>
    <w:p>
      <w:pPr>
        <w:spacing w:after="0" w:line="239" w:lineRule="exact"/>
        <w:rPr>
          <w:sz w:val="20"/>
          <w:szCs w:val="20"/>
          <w:color w:val="auto"/>
        </w:rPr>
      </w:pPr>
    </w:p>
    <w:p>
      <w:pPr>
        <w:ind w:left="1360" w:right="260"/>
        <w:spacing w:after="0" w:line="359" w:lineRule="auto"/>
        <w:rPr>
          <w:sz w:val="20"/>
          <w:szCs w:val="20"/>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5" w:lineRule="exact"/>
        <w:rPr>
          <w:sz w:val="20"/>
          <w:szCs w:val="20"/>
          <w:color w:val="auto"/>
        </w:rPr>
      </w:pPr>
    </w:p>
    <w:p>
      <w:pPr>
        <w:ind w:right="40" w:firstLine="1018"/>
        <w:spacing w:after="0" w:line="311"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3" w:lineRule="exact"/>
        <w:rPr>
          <w:sz w:val="20"/>
          <w:szCs w:val="20"/>
          <w:color w:val="auto"/>
        </w:rPr>
      </w:pPr>
    </w:p>
    <w:p>
      <w:pPr>
        <w:ind w:right="260"/>
        <w:spacing w:after="0" w:line="324"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7"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other product candidates. We plan to initiate Phase 1 clinical trials of certain product candidates in 2022 and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342" w:lineRule="exact"/>
        <w:rPr>
          <w:sz w:val="20"/>
          <w:szCs w:val="20"/>
          <w:color w:val="auto"/>
        </w:rPr>
      </w:pPr>
    </w:p>
    <w:p>
      <w:pPr>
        <w:jc w:val="both"/>
        <w:ind w:right="100" w:firstLine="1018"/>
        <w:spacing w:after="0" w:line="266"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and inherently uncertain process, and the regulatory authorities may delay, limit or deny approval of our product candidates for many reasons, including:</w:t>
      </w:r>
    </w:p>
    <w:p>
      <w:pPr>
        <w:spacing w:after="0" w:line="262"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70" w:lineRule="exact"/>
        <w:rPr>
          <w:sz w:val="20"/>
          <w:szCs w:val="20"/>
          <w:color w:val="auto"/>
        </w:rPr>
      </w:pPr>
    </w:p>
    <w:p>
      <w:pPr>
        <w:ind w:left="1360" w:right="620"/>
        <w:spacing w:after="0" w:line="293" w:lineRule="auto"/>
        <w:rPr>
          <w:sz w:val="20"/>
          <w:szCs w:val="20"/>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7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7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70" w:lineRule="exact"/>
        <w:rPr>
          <w:sz w:val="20"/>
          <w:szCs w:val="20"/>
          <w:color w:val="auto"/>
        </w:rPr>
      </w:pPr>
    </w:p>
    <w:p>
      <w:pPr>
        <w:ind w:left="1360" w:right="2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70" w:lineRule="exact"/>
        <w:rPr>
          <w:sz w:val="20"/>
          <w:szCs w:val="20"/>
          <w:color w:val="auto"/>
        </w:rPr>
      </w:pPr>
    </w:p>
    <w:p>
      <w:pPr>
        <w:ind w:left="1360" w:right="40"/>
        <w:spacing w:after="0" w:line="293" w:lineRule="auto"/>
        <w:rPr>
          <w:sz w:val="20"/>
          <w:szCs w:val="20"/>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70" w:lineRule="exact"/>
        <w:rPr>
          <w:sz w:val="20"/>
          <w:szCs w:val="20"/>
          <w:color w:val="auto"/>
        </w:rPr>
      </w:pPr>
    </w:p>
    <w:p>
      <w:pPr>
        <w:ind w:left="1360" w:right="300"/>
        <w:spacing w:after="0" w:line="279" w:lineRule="auto"/>
        <w:rPr>
          <w:sz w:val="20"/>
          <w:szCs w:val="20"/>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39"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50"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3" w:lineRule="exact"/>
        <w:rPr>
          <w:sz w:val="20"/>
          <w:szCs w:val="20"/>
          <w:color w:val="auto"/>
        </w:rPr>
      </w:pPr>
    </w:p>
    <w:p>
      <w:pPr>
        <w:ind w:right="180" w:firstLine="1018"/>
        <w:spacing w:after="0" w:line="266"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w:t>
      </w:r>
    </w:p>
    <w:p>
      <w:pPr>
        <w:spacing w:after="0" w:line="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ind w:right="280"/>
        <w:spacing w:after="0" w:line="293" w:lineRule="auto"/>
        <w:rPr>
          <w:sz w:val="20"/>
          <w:szCs w:val="20"/>
          <w:color w:val="auto"/>
        </w:rPr>
      </w:pPr>
      <w:r>
        <w:rPr>
          <w:rFonts w:ascii="Arial" w:cs="Arial" w:eastAsia="Arial" w:hAnsi="Arial"/>
          <w:sz w:val="18"/>
          <w:szCs w:val="18"/>
          <w:color w:val="auto"/>
        </w:rPr>
        <w:t>approval that we may have obtained, and we may not achieve or sustain profitability, which would harm our business, prospects, financial condition and results of operations.</w:t>
      </w:r>
    </w:p>
    <w:p>
      <w:pPr>
        <w:spacing w:after="0" w:line="170" w:lineRule="exact"/>
        <w:rPr>
          <w:sz w:val="20"/>
          <w:szCs w:val="20"/>
          <w:color w:val="auto"/>
        </w:rPr>
      </w:pPr>
    </w:p>
    <w:p>
      <w:pPr>
        <w:ind w:right="20" w:firstLine="1018"/>
        <w:spacing w:after="0" w:line="270" w:lineRule="auto"/>
        <w:rPr>
          <w:sz w:val="20"/>
          <w:szCs w:val="20"/>
          <w:color w:val="auto"/>
        </w:rPr>
      </w:pPr>
      <w:r>
        <w:rPr>
          <w:rFonts w:ascii="Arial" w:cs="Arial" w:eastAsia="Arial" w:hAnsi="Arial"/>
          <w:sz w:val="18"/>
          <w:szCs w:val="18"/>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92"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70" w:lineRule="exact"/>
        <w:rPr>
          <w:sz w:val="20"/>
          <w:szCs w:val="20"/>
          <w:color w:val="auto"/>
        </w:rPr>
      </w:pPr>
    </w:p>
    <w:p>
      <w:pPr>
        <w:ind w:right="220" w:firstLine="1018"/>
        <w:spacing w:after="0" w:line="319"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5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financial and internal resources are insufficient;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research methodology used may not be successful in identifying potential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competitors may develop alternatives that render our product candidates uncompetitive;</w:t>
      </w:r>
    </w:p>
    <w:p>
      <w:pPr>
        <w:spacing w:after="0" w:line="239" w:lineRule="exact"/>
        <w:rPr>
          <w:sz w:val="20"/>
          <w:szCs w:val="20"/>
          <w:color w:val="auto"/>
        </w:rPr>
      </w:pPr>
    </w:p>
    <w:p>
      <w:pPr>
        <w:ind w:left="1360" w:right="20"/>
        <w:spacing w:after="0" w:line="293" w:lineRule="auto"/>
        <w:rPr>
          <w:sz w:val="20"/>
          <w:szCs w:val="20"/>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product candidates may not be accepted by patients, the medical community, healthcare providers or third-party payors.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39" w:lineRule="exact"/>
        <w:rPr>
          <w:sz w:val="20"/>
          <w:szCs w:val="20"/>
          <w:color w:val="auto"/>
        </w:rPr>
      </w:pPr>
    </w:p>
    <w:p>
      <w:pPr>
        <w:ind w:right="100" w:firstLine="1018"/>
        <w:spacing w:after="0" w:line="293"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39" w:lineRule="exact"/>
        <w:rPr>
          <w:sz w:val="20"/>
          <w:szCs w:val="20"/>
          <w:color w:val="auto"/>
        </w:rPr>
      </w:pPr>
    </w:p>
    <w:p>
      <w:pPr>
        <w:ind w:left="1360" w:right="20"/>
        <w:spacing w:after="0" w:line="293" w:lineRule="auto"/>
        <w:rPr>
          <w:sz w:val="20"/>
          <w:szCs w:val="20"/>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5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62" w:lineRule="exact"/>
        <w:rPr>
          <w:sz w:val="20"/>
          <w:szCs w:val="20"/>
          <w:color w:val="auto"/>
        </w:rPr>
      </w:pPr>
    </w:p>
    <w:p>
      <w:pPr>
        <w:jc w:val="both"/>
        <w:ind w:right="140" w:firstLine="1018"/>
        <w:spacing w:after="0" w:line="266" w:lineRule="auto"/>
        <w:rPr>
          <w:sz w:val="20"/>
          <w:szCs w:val="20"/>
          <w:color w:val="auto"/>
        </w:rPr>
      </w:pPr>
      <w:r>
        <w:rPr>
          <w:rFonts w:ascii="Arial" w:cs="Arial" w:eastAsia="Arial" w:hAnsi="Arial"/>
          <w:sz w:val="18"/>
          <w:szCs w:val="18"/>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ind w:right="180"/>
        <w:spacing w:after="0" w:line="293" w:lineRule="auto"/>
        <w:rPr>
          <w:sz w:val="20"/>
          <w:szCs w:val="20"/>
          <w:color w:val="auto"/>
        </w:rPr>
      </w:pPr>
      <w:r>
        <w:rPr>
          <w:rFonts w:ascii="Arial" w:cs="Arial" w:eastAsia="Arial" w:hAnsi="Arial"/>
          <w:sz w:val="18"/>
          <w:szCs w:val="18"/>
          <w:color w:val="auto"/>
        </w:rPr>
        <w:t>the RaniPill capsule, whether as a result of payload capacity, mechanism of action, or otherwise, the result of which would significantly harm our product candidates’ commercial potential.</w:t>
      </w:r>
    </w:p>
    <w:p>
      <w:pPr>
        <w:spacing w:after="0" w:line="170"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3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delay or termination of clinical studies;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injury to our reputation;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withdrawal of clinical trial participants;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initiation of investigations by regulators;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costs to defend the related litigation;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diversion of management’s time and our resources;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decreased demand for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loss of revenue from product sales;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inability to commercialize any our product candidates, if approved.</w:t>
      </w:r>
    </w:p>
    <w:p>
      <w:pPr>
        <w:spacing w:after="0" w:line="239"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460"/>
        <w:spacing w:after="0" w:line="359"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5"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("API"), for the biologics of our product candidates.</w:t>
      </w:r>
    </w:p>
    <w:p>
      <w:pPr>
        <w:spacing w:after="0" w:line="194" w:lineRule="exact"/>
        <w:rPr>
          <w:sz w:val="20"/>
          <w:szCs w:val="20"/>
          <w:color w:val="auto"/>
        </w:rPr>
      </w:pPr>
    </w:p>
    <w:p>
      <w:pPr>
        <w:ind w:right="240" w:firstLine="1063"/>
        <w:spacing w:after="0" w:line="308"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3" w:lineRule="exact"/>
        <w:rPr>
          <w:sz w:val="20"/>
          <w:szCs w:val="20"/>
          <w:color w:val="auto"/>
        </w:rPr>
      </w:pPr>
    </w:p>
    <w:p>
      <w:pPr>
        <w:ind w:right="100" w:firstLine="1018"/>
        <w:spacing w:after="0" w:line="30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64" w:lineRule="exact"/>
        <w:rPr>
          <w:sz w:val="20"/>
          <w:szCs w:val="20"/>
          <w:color w:val="auto"/>
        </w:rPr>
      </w:pPr>
    </w:p>
    <w:p>
      <w:pPr>
        <w:ind w:right="140" w:firstLine="1018"/>
        <w:spacing w:after="0" w:line="269" w:lineRule="auto"/>
        <w:rPr>
          <w:sz w:val="20"/>
          <w:szCs w:val="20"/>
          <w:color w:val="auto"/>
        </w:rPr>
      </w:pPr>
      <w:r>
        <w:rPr>
          <w:rFonts w:ascii="Arial" w:cs="Arial" w:eastAsia="Arial" w:hAnsi="Arial"/>
          <w:sz w:val="18"/>
          <w:szCs w:val="18"/>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96" w:lineRule="exact"/>
        <w:rPr>
          <w:sz w:val="20"/>
          <w:szCs w:val="20"/>
          <w:color w:val="auto"/>
        </w:rPr>
      </w:pPr>
    </w:p>
    <w:p>
      <w:pPr>
        <w:ind w:right="420" w:firstLine="1018"/>
        <w:spacing w:after="0" w:line="279"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3"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182" w:lineRule="exact"/>
        <w:rPr>
          <w:sz w:val="20"/>
          <w:szCs w:val="20"/>
          <w:color w:val="auto"/>
        </w:rPr>
      </w:pPr>
    </w:p>
    <w:p>
      <w:pPr>
        <w:ind w:left="1360" w:right="320"/>
        <w:spacing w:after="0" w:line="266" w:lineRule="auto"/>
        <w:rPr>
          <w:sz w:val="20"/>
          <w:szCs w:val="20"/>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ind w:left="240" w:right="100"/>
        <w:spacing w:after="0" w:line="311" w:lineRule="auto"/>
        <w:rPr>
          <w:sz w:val="20"/>
          <w:szCs w:val="20"/>
          <w:color w:val="auto"/>
        </w:rPr>
      </w:pPr>
      <w:r>
        <w:rPr>
          <w:rFonts w:ascii="Arial" w:cs="Arial" w:eastAsia="Arial" w:hAnsi="Arial"/>
          <w:sz w:val="16"/>
          <w:szCs w:val="16"/>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163" w:lineRule="exact"/>
        <w:rPr>
          <w:sz w:val="20"/>
          <w:szCs w:val="20"/>
          <w:color w:val="auto"/>
        </w:rPr>
      </w:pPr>
    </w:p>
    <w:p>
      <w:pPr>
        <w:ind w:left="240" w:right="20"/>
        <w:spacing w:after="0" w:line="287" w:lineRule="auto"/>
        <w:rPr>
          <w:sz w:val="20"/>
          <w:szCs w:val="20"/>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178" w:lineRule="exact"/>
        <w:rPr>
          <w:sz w:val="20"/>
          <w:szCs w:val="20"/>
          <w:color w:val="auto"/>
        </w:rPr>
      </w:pPr>
    </w:p>
    <w:p>
      <w:pPr>
        <w:ind w:left="240" w:right="40"/>
        <w:spacing w:after="0" w:line="269" w:lineRule="auto"/>
        <w:rPr>
          <w:sz w:val="20"/>
          <w:szCs w:val="20"/>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96" w:lineRule="exact"/>
        <w:rPr>
          <w:sz w:val="20"/>
          <w:szCs w:val="20"/>
          <w:color w:val="auto"/>
        </w:rPr>
      </w:pPr>
    </w:p>
    <w:p>
      <w:pPr>
        <w:ind w:left="240" w:right="100"/>
        <w:spacing w:after="0" w:line="269" w:lineRule="auto"/>
        <w:rPr>
          <w:sz w:val="20"/>
          <w:szCs w:val="20"/>
          <w:color w:val="auto"/>
        </w:rPr>
      </w:pPr>
      <w:r>
        <w:rPr>
          <w:rFonts w:ascii="Arial" w:cs="Arial" w:eastAsia="Arial" w:hAnsi="Arial"/>
          <w:sz w:val="18"/>
          <w:szCs w:val="18"/>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6" w:lineRule="exact"/>
        <w:rPr>
          <w:sz w:val="20"/>
          <w:szCs w:val="20"/>
          <w:color w:val="auto"/>
        </w:rPr>
      </w:pPr>
    </w:p>
    <w:p>
      <w:pPr>
        <w:ind w:left="240" w:right="80"/>
        <w:spacing w:after="0" w:line="279" w:lineRule="auto"/>
        <w:rPr>
          <w:sz w:val="20"/>
          <w:szCs w:val="20"/>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83" w:lineRule="exact"/>
        <w:rPr>
          <w:sz w:val="20"/>
          <w:szCs w:val="20"/>
          <w:color w:val="auto"/>
        </w:rPr>
      </w:pPr>
    </w:p>
    <w:p>
      <w:pPr>
        <w:ind w:left="240" w:right="100"/>
        <w:spacing w:after="0" w:line="293" w:lineRule="auto"/>
        <w:rPr>
          <w:sz w:val="20"/>
          <w:szCs w:val="20"/>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70" w:lineRule="exact"/>
        <w:rPr>
          <w:sz w:val="20"/>
          <w:szCs w:val="20"/>
          <w:color w:val="auto"/>
        </w:rPr>
      </w:pPr>
    </w:p>
    <w:p>
      <w:pPr>
        <w:ind w:left="240" w:right="40"/>
        <w:spacing w:after="0" w:line="309"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64" w:lineRule="exact"/>
        <w:rPr>
          <w:sz w:val="20"/>
          <w:szCs w:val="20"/>
          <w:color w:val="auto"/>
        </w:rPr>
      </w:pPr>
    </w:p>
    <w:p>
      <w:pPr>
        <w:ind w:left="240" w:right="240"/>
        <w:spacing w:after="0" w:line="266" w:lineRule="auto"/>
        <w:rPr>
          <w:sz w:val="20"/>
          <w:szCs w:val="20"/>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69" w:name="page70"/>
    <w:bookmarkEnd w:id="69"/>
    <w:p>
      <w:pPr>
        <w:ind w:left="1360" w:right="100"/>
        <w:spacing w:after="0" w:line="271" w:lineRule="auto"/>
        <w:rPr>
          <w:sz w:val="20"/>
          <w:szCs w:val="20"/>
          <w:color w:val="auto"/>
        </w:rPr>
      </w:pPr>
      <w:r>
        <w:rPr>
          <w:rFonts w:ascii="Arial" w:cs="Arial" w:eastAsia="Arial" w:hAnsi="Arial"/>
          <w:sz w:val="18"/>
          <w:szCs w:val="18"/>
          <w:color w:val="auto"/>
        </w:rPr>
        <w:t>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91" w:lineRule="exact"/>
        <w:rPr>
          <w:sz w:val="20"/>
          <w:szCs w:val="20"/>
          <w:color w:val="auto"/>
        </w:rPr>
      </w:pPr>
    </w:p>
    <w:p>
      <w:pPr>
        <w:ind w:right="20" w:firstLine="1018"/>
        <w:spacing w:after="0" w:line="269"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4"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3"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351"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380" w:firstLine="1018"/>
        <w:spacing w:after="0" w:line="275"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5" w:lineRule="exact"/>
        <w:rPr>
          <w:sz w:val="20"/>
          <w:szCs w:val="20"/>
          <w:color w:val="auto"/>
        </w:rPr>
      </w:pPr>
    </w:p>
    <w:p>
      <w:pPr>
        <w:ind w:right="40" w:firstLine="1018"/>
        <w:spacing w:after="0" w:line="292"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174" w:lineRule="exact"/>
        <w:rPr>
          <w:sz w:val="20"/>
          <w:szCs w:val="20"/>
          <w:color w:val="auto"/>
        </w:rPr>
      </w:pPr>
    </w:p>
    <w:p>
      <w:pPr>
        <w:jc w:val="both"/>
        <w:ind w:left="1360" w:right="180"/>
        <w:spacing w:after="0" w:line="279" w:lineRule="auto"/>
        <w:rPr>
          <w:sz w:val="20"/>
          <w:szCs w:val="20"/>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9" w:lineRule="exact"/>
        <w:rPr>
          <w:sz w:val="20"/>
          <w:szCs w:val="20"/>
          <w:color w:val="auto"/>
        </w:rPr>
      </w:pPr>
    </w:p>
    <w:p>
      <w:pPr>
        <w:ind w:left="1360" w:right="80"/>
        <w:spacing w:after="0" w:line="293" w:lineRule="auto"/>
        <w:rPr>
          <w:sz w:val="20"/>
          <w:szCs w:val="20"/>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ind w:left="1360"/>
        <w:spacing w:after="0"/>
        <w:rPr>
          <w:sz w:val="20"/>
          <w:szCs w:val="20"/>
          <w:color w:val="auto"/>
        </w:rPr>
      </w:pPr>
      <w:r>
        <w:rPr>
          <w:rFonts w:ascii="Arial" w:cs="Arial" w:eastAsia="Arial" w:hAnsi="Arial"/>
          <w:sz w:val="18"/>
          <w:szCs w:val="18"/>
          <w:color w:val="auto"/>
        </w:rPr>
        <w:t>expansion of eligibility criteria for Medicaid programs in certain states;</w:t>
      </w:r>
    </w:p>
    <w:p>
      <w:pPr>
        <w:spacing w:after="0" w:line="239" w:lineRule="exact"/>
        <w:rPr>
          <w:sz w:val="20"/>
          <w:szCs w:val="20"/>
          <w:color w:val="auto"/>
        </w:rPr>
      </w:pPr>
    </w:p>
    <w:p>
      <w:pPr>
        <w:ind w:left="1360"/>
        <w:spacing w:after="0" w:line="275" w:lineRule="auto"/>
        <w:rPr>
          <w:sz w:val="20"/>
          <w:szCs w:val="20"/>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39" w:lineRule="exact"/>
        <w:rPr>
          <w:sz w:val="20"/>
          <w:szCs w:val="20"/>
          <w:color w:val="auto"/>
        </w:rPr>
      </w:pPr>
    </w:p>
    <w:p>
      <w:pPr>
        <w:ind w:left="1360" w:right="340"/>
        <w:spacing w:after="0" w:line="293" w:lineRule="auto"/>
        <w:rPr>
          <w:sz w:val="20"/>
          <w:szCs w:val="20"/>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60" w:firstLine="1018"/>
        <w:spacing w:after="0" w:line="304"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("Tax Act"), included a provision that decreased the tax-based shared responsibility payment imposed by the ACA on certain 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On June 17, 2021, the United States Supreme Court dismissed such constitutional challenge to the ACA on grounds that the plaintiffs’ were not able to prove that they were harmed by the law.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6" w:lineRule="exact"/>
        <w:rPr>
          <w:sz w:val="20"/>
          <w:szCs w:val="20"/>
          <w:color w:val="auto"/>
        </w:rPr>
      </w:pPr>
    </w:p>
    <w:p>
      <w:pPr>
        <w:ind w:right="60" w:firstLine="1018"/>
        <w:spacing w:after="0" w:line="30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0"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3"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39" w:lineRule="exact"/>
        <w:rPr>
          <w:sz w:val="20"/>
          <w:szCs w:val="20"/>
          <w:color w:val="auto"/>
        </w:rPr>
      </w:pPr>
    </w:p>
    <w:p>
      <w:pPr>
        <w:ind w:right="20" w:firstLine="1018"/>
        <w:spacing w:after="0" w:line="308" w:lineRule="auto"/>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63"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5"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78" w:lineRule="exact"/>
        <w:rPr>
          <w:sz w:val="20"/>
          <w:szCs w:val="20"/>
          <w:color w:val="auto"/>
        </w:rPr>
      </w:pPr>
    </w:p>
    <w:p>
      <w:pPr>
        <w:ind w:right="240" w:firstLine="1018"/>
        <w:spacing w:after="0" w:line="311" w:lineRule="auto"/>
        <w:rPr>
          <w:sz w:val="20"/>
          <w:szCs w:val="20"/>
          <w:color w:val="auto"/>
        </w:rPr>
      </w:pPr>
      <w:r>
        <w:rPr>
          <w:rFonts w:ascii="Arial" w:cs="Arial" w:eastAsia="Arial" w:hAnsi="Arial"/>
          <w:sz w:val="16"/>
          <w:szCs w:val="16"/>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39" w:lineRule="exact"/>
        <w:rPr>
          <w:sz w:val="20"/>
          <w:szCs w:val="20"/>
          <w:color w:val="auto"/>
        </w:rPr>
      </w:pPr>
    </w:p>
    <w:p>
      <w:pPr>
        <w:ind w:right="140" w:firstLine="1018"/>
        <w:spacing w:after="0" w:line="329" w:lineRule="auto"/>
        <w:rPr>
          <w:sz w:val="20"/>
          <w:szCs w:val="20"/>
          <w:color w:val="auto"/>
        </w:rPr>
      </w:pPr>
      <w:r>
        <w:rPr>
          <w:rFonts w:ascii="Arial" w:cs="Arial" w:eastAsia="Arial" w:hAnsi="Arial"/>
          <w:sz w:val="16"/>
          <w:szCs w:val="16"/>
          <w:color w:val="auto"/>
        </w:rPr>
        <w:t>As of September 30, 2021, we had 91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designing and managing our clinical trials effectively;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identifying, recruiting, maintaining, motivating and integrating additional employees;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managing our manufacturing and development efforts effectively;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improving our managerial, development, operational and financial systems and controls;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expanding our facilities.</w:t>
      </w:r>
    </w:p>
    <w:p>
      <w:pPr>
        <w:spacing w:after="0" w:line="239" w:lineRule="exact"/>
        <w:rPr>
          <w:sz w:val="20"/>
          <w:szCs w:val="20"/>
          <w:color w:val="auto"/>
        </w:rPr>
      </w:pPr>
    </w:p>
    <w:p>
      <w:pPr>
        <w:ind w:right="180" w:firstLine="1018"/>
        <w:spacing w:after="0" w:line="266"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ind w:right="120"/>
        <w:spacing w:after="0" w:line="293"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available capital resources or capital constraints we experience;</w:t>
      </w:r>
    </w:p>
    <w:p>
      <w:pPr>
        <w:spacing w:after="0" w:line="239" w:lineRule="exact"/>
        <w:rPr>
          <w:sz w:val="20"/>
          <w:szCs w:val="20"/>
          <w:color w:val="auto"/>
        </w:rPr>
      </w:pPr>
    </w:p>
    <w:p>
      <w:pPr>
        <w:ind w:left="1360" w:right="220"/>
        <w:spacing w:after="0" w:line="279" w:lineRule="auto"/>
        <w:rPr>
          <w:sz w:val="20"/>
          <w:szCs w:val="20"/>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other actions, decisions or rules issued by regulators;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efforts of our collaborators and the success of our own efforts with respect to the commercialization of our products; and</w:t>
      </w:r>
    </w:p>
    <w:p>
      <w:pPr>
        <w:spacing w:after="0" w:line="239"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345" w:lineRule="exact"/>
        <w:rPr>
          <w:sz w:val="20"/>
          <w:szCs w:val="20"/>
          <w:color w:val="auto"/>
        </w:rPr>
      </w:pPr>
    </w:p>
    <w:p>
      <w:pPr>
        <w:ind w:right="100" w:firstLine="1018"/>
        <w:spacing w:after="0" w:line="293"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73" w:lineRule="exact"/>
        <w:rPr>
          <w:sz w:val="20"/>
          <w:szCs w:val="20"/>
          <w:color w:val="auto"/>
        </w:rPr>
      </w:pPr>
    </w:p>
    <w:p>
      <w:pPr>
        <w:ind w:right="40" w:firstLine="1018"/>
        <w:spacing w:after="0" w:line="281"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will leave us exposed to significant uninsured liabilities.</w:t>
      </w:r>
    </w:p>
    <w:p>
      <w:pPr>
        <w:spacing w:after="0" w:line="262" w:lineRule="exact"/>
        <w:rPr>
          <w:sz w:val="20"/>
          <w:szCs w:val="20"/>
          <w:color w:val="auto"/>
        </w:rPr>
      </w:pPr>
    </w:p>
    <w:p>
      <w:pPr>
        <w:ind w:right="80" w:firstLine="1018"/>
        <w:spacing w:after="0" w:line="275"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6"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66" w:lineRule="exact"/>
        <w:rPr>
          <w:sz w:val="20"/>
          <w:szCs w:val="20"/>
          <w:color w:val="auto"/>
        </w:rPr>
      </w:pPr>
    </w:p>
    <w:p>
      <w:pPr>
        <w:ind w:right="480"/>
        <w:spacing w:after="0" w:line="359" w:lineRule="auto"/>
        <w:rPr>
          <w:sz w:val="20"/>
          <w:szCs w:val="20"/>
          <w:color w:val="auto"/>
        </w:rPr>
      </w:pPr>
      <w:r>
        <w:rPr>
          <w:rFonts w:ascii="Arial" w:cs="Arial" w:eastAsia="Arial" w:hAnsi="Arial"/>
          <w:sz w:val="16"/>
          <w:szCs w:val="16"/>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25"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3" w:lineRule="exact"/>
        <w:rPr>
          <w:sz w:val="20"/>
          <w:szCs w:val="20"/>
          <w:color w:val="auto"/>
        </w:rPr>
      </w:pPr>
    </w:p>
    <w:p>
      <w:pPr>
        <w:ind w:right="220" w:firstLine="1018"/>
        <w:spacing w:after="0" w:line="279"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3" w:lineRule="exact"/>
        <w:rPr>
          <w:sz w:val="20"/>
          <w:szCs w:val="20"/>
          <w:color w:val="auto"/>
        </w:rPr>
      </w:pPr>
    </w:p>
    <w:p>
      <w:pPr>
        <w:ind w:right="500" w:firstLine="1018"/>
        <w:spacing w:after="0" w:line="293"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jc w:val="both"/>
        <w:ind w:right="460" w:firstLine="1018"/>
        <w:spacing w:after="0" w:line="266"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ind w:right="60"/>
        <w:spacing w:after="0" w:line="272" w:lineRule="auto"/>
        <w:rPr>
          <w:sz w:val="20"/>
          <w:szCs w:val="20"/>
          <w:color w:val="auto"/>
        </w:rPr>
      </w:pPr>
      <w:r>
        <w:rPr>
          <w:rFonts w:ascii="Arial" w:cs="Arial" w:eastAsia="Arial" w:hAnsi="Arial"/>
          <w:sz w:val="18"/>
          <w:szCs w:val="18"/>
          <w:color w:val="auto"/>
        </w:rPr>
        <w:t>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366" w:lineRule="exact"/>
        <w:rPr>
          <w:sz w:val="20"/>
          <w:szCs w:val="20"/>
          <w:color w:val="auto"/>
        </w:rPr>
      </w:pPr>
    </w:p>
    <w:p>
      <w:pPr>
        <w:ind w:right="100"/>
        <w:spacing w:after="0" w:line="399"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1" w:lineRule="exact"/>
        <w:rPr>
          <w:sz w:val="20"/>
          <w:szCs w:val="20"/>
          <w:color w:val="auto"/>
        </w:rPr>
      </w:pPr>
    </w:p>
    <w:p>
      <w:pPr>
        <w:ind w:right="40" w:firstLine="1018"/>
        <w:spacing w:after="0" w:line="29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0" w:lineRule="exact"/>
        <w:rPr>
          <w:sz w:val="20"/>
          <w:szCs w:val="20"/>
          <w:color w:val="auto"/>
        </w:rPr>
      </w:pPr>
    </w:p>
    <w:p>
      <w:pPr>
        <w:ind w:right="20" w:firstLine="1018"/>
        <w:spacing w:after="0" w:line="292"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4"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5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inability of our management to travel in connection with establishing partnerships and collaborations;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ind w:left="1360"/>
        <w:spacing w:after="0"/>
        <w:rPr>
          <w:sz w:val="20"/>
          <w:szCs w:val="20"/>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disruption of our access to capital in the global financial markets;</w:t>
      </w:r>
    </w:p>
    <w:p>
      <w:pPr>
        <w:spacing w:after="0" w:line="239" w:lineRule="exact"/>
        <w:rPr>
          <w:sz w:val="20"/>
          <w:szCs w:val="20"/>
          <w:color w:val="auto"/>
        </w:rPr>
      </w:pPr>
    </w:p>
    <w:p>
      <w:pPr>
        <w:ind w:left="1360" w:right="460"/>
        <w:spacing w:after="0" w:line="324" w:lineRule="auto"/>
        <w:rPr>
          <w:sz w:val="20"/>
          <w:szCs w:val="20"/>
          <w:color w:val="auto"/>
        </w:rPr>
      </w:pPr>
      <w:r>
        <w:rPr>
          <w:rFonts w:ascii="Arial" w:cs="Arial" w:eastAsia="Arial" w:hAnsi="Arial"/>
          <w:sz w:val="17"/>
          <w:szCs w:val="17"/>
          <w:color w:val="auto"/>
        </w:rPr>
        <w:t>delays or difficulties in enrolling patients in our planned Phase 1 clinical trials of RT-102, RT-109 (an oral administration of human growth hormone ("hGH") for the treatment of growth hormone deficiency) and our other future clinical trials;</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39" w:lineRule="exact"/>
        <w:rPr>
          <w:sz w:val="20"/>
          <w:szCs w:val="20"/>
          <w:color w:val="auto"/>
        </w:rPr>
      </w:pPr>
    </w:p>
    <w:p>
      <w:pPr>
        <w:jc w:val="both"/>
        <w:ind w:left="1360" w:right="6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70" w:lineRule="exact"/>
        <w:rPr>
          <w:sz w:val="20"/>
          <w:szCs w:val="20"/>
          <w:color w:val="auto"/>
        </w:rPr>
      </w:pPr>
    </w:p>
    <w:p>
      <w:pPr>
        <w:jc w:val="both"/>
        <w:ind w:left="1360" w:right="60"/>
        <w:spacing w:after="0" w:line="279"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83" w:lineRule="exact"/>
        <w:rPr>
          <w:sz w:val="20"/>
          <w:szCs w:val="20"/>
          <w:color w:val="auto"/>
        </w:rPr>
      </w:pPr>
    </w:p>
    <w:p>
      <w:pPr>
        <w:ind w:left="1360" w:right="240"/>
        <w:spacing w:after="0" w:line="329" w:lineRule="auto"/>
        <w:rPr>
          <w:sz w:val="20"/>
          <w:szCs w:val="20"/>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48" w:lineRule="exact"/>
        <w:rPr>
          <w:sz w:val="20"/>
          <w:szCs w:val="20"/>
          <w:color w:val="auto"/>
        </w:rPr>
      </w:pPr>
    </w:p>
    <w:p>
      <w:pPr>
        <w:ind w:left="1360" w:right="680"/>
        <w:spacing w:after="0" w:line="293" w:lineRule="auto"/>
        <w:rPr>
          <w:sz w:val="20"/>
          <w:szCs w:val="20"/>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70" w:lineRule="exact"/>
        <w:rPr>
          <w:sz w:val="20"/>
          <w:szCs w:val="20"/>
          <w:color w:val="auto"/>
        </w:rPr>
      </w:pPr>
    </w:p>
    <w:p>
      <w:pPr>
        <w:ind w:left="1360" w:right="180"/>
        <w:spacing w:after="0" w:line="324" w:lineRule="auto"/>
        <w:rPr>
          <w:sz w:val="20"/>
          <w:szCs w:val="20"/>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interruptions or delays to our pipeline and research programs; and</w:t>
      </w:r>
    </w:p>
    <w:p>
      <w:pPr>
        <w:spacing w:after="0" w:line="239" w:lineRule="exact"/>
        <w:rPr>
          <w:sz w:val="20"/>
          <w:szCs w:val="20"/>
          <w:color w:val="auto"/>
        </w:rPr>
      </w:pPr>
    </w:p>
    <w:p>
      <w:pPr>
        <w:ind w:left="1360" w:right="340"/>
        <w:spacing w:after="0" w:line="293" w:lineRule="auto"/>
        <w:rPr>
          <w:sz w:val="20"/>
          <w:szCs w:val="20"/>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 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3" w:lineRule="exact"/>
        <w:rPr>
          <w:sz w:val="20"/>
          <w:szCs w:val="20"/>
          <w:color w:val="auto"/>
        </w:rPr>
      </w:pPr>
    </w:p>
    <w:p>
      <w:pPr>
        <w:ind w:right="60" w:firstLine="1018"/>
        <w:spacing w:after="0" w:line="272" w:lineRule="auto"/>
        <w:rPr>
          <w:sz w:val="20"/>
          <w:szCs w:val="20"/>
          <w:color w:val="auto"/>
        </w:rPr>
      </w:pPr>
      <w:r>
        <w:rPr>
          <w:rFonts w:ascii="Arial" w:cs="Arial" w:eastAsia="Arial" w:hAnsi="Arial"/>
          <w:sz w:val="18"/>
          <w:szCs w:val="18"/>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91" w:lineRule="exact"/>
        <w:rPr>
          <w:sz w:val="20"/>
          <w:szCs w:val="20"/>
          <w:color w:val="auto"/>
        </w:rPr>
      </w:pPr>
    </w:p>
    <w:p>
      <w:pPr>
        <w:ind w:right="220" w:firstLine="1018"/>
        <w:spacing w:after="0" w:line="266" w:lineRule="auto"/>
        <w:rPr>
          <w:sz w:val="20"/>
          <w:szCs w:val="20"/>
          <w:color w:val="auto"/>
        </w:rPr>
      </w:pPr>
      <w:r>
        <w:rPr>
          <w:rFonts w:ascii="Arial" w:cs="Arial" w:eastAsia="Arial" w:hAnsi="Arial"/>
          <w:sz w:val="18"/>
          <w:szCs w:val="18"/>
          <w:color w:val="auto"/>
        </w:rPr>
        <w:t>Additionally, three vaccines for COVID-19 were granted Emergency Use Authorization by the FDA in late 2020 and early 2021, and more may be authorized. The resultant demand for vaccines and potential for manufacturing facilities and materials to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ind w:right="840"/>
        <w:spacing w:after="0" w:line="293" w:lineRule="auto"/>
        <w:rPr>
          <w:sz w:val="20"/>
          <w:szCs w:val="20"/>
          <w:color w:val="auto"/>
        </w:rPr>
      </w:pPr>
      <w:r>
        <w:rPr>
          <w:rFonts w:ascii="Arial" w:cs="Arial" w:eastAsia="Arial" w:hAnsi="Arial"/>
          <w:sz w:val="18"/>
          <w:szCs w:val="18"/>
          <w:color w:val="auto"/>
        </w:rPr>
        <w:t>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70" w:lineRule="exact"/>
        <w:rPr>
          <w:sz w:val="20"/>
          <w:szCs w:val="20"/>
          <w:color w:val="auto"/>
        </w:rPr>
      </w:pPr>
    </w:p>
    <w:p>
      <w:pPr>
        <w:ind w:right="300" w:firstLine="1018"/>
        <w:spacing w:after="0" w:line="292"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4"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273"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 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39" w:lineRule="exact"/>
        <w:rPr>
          <w:sz w:val="20"/>
          <w:szCs w:val="20"/>
          <w:color w:val="auto"/>
        </w:rPr>
      </w:pPr>
    </w:p>
    <w:p>
      <w:pPr>
        <w:ind w:right="100" w:firstLine="1018"/>
        <w:spacing w:after="0" w:line="319"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6" w:lineRule="exact"/>
        <w:rPr>
          <w:sz w:val="20"/>
          <w:szCs w:val="20"/>
          <w:color w:val="auto"/>
        </w:rPr>
      </w:pPr>
    </w:p>
    <w:p>
      <w:pPr>
        <w:ind w:right="80" w:firstLine="1018"/>
        <w:spacing w:after="0" w:line="329" w:lineRule="auto"/>
        <w:rPr>
          <w:sz w:val="20"/>
          <w:szCs w:val="20"/>
          <w:color w:val="auto"/>
        </w:rPr>
      </w:pPr>
      <w:r>
        <w:rPr>
          <w:rFonts w:ascii="Arial" w:cs="Arial" w:eastAsia="Arial" w:hAnsi="Arial"/>
          <w:sz w:val="16"/>
          <w:szCs w:val="16"/>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48" w:lineRule="exact"/>
        <w:rPr>
          <w:sz w:val="20"/>
          <w:szCs w:val="20"/>
          <w:color w:val="auto"/>
        </w:rPr>
      </w:pPr>
    </w:p>
    <w:p>
      <w:pPr>
        <w:ind w:right="660" w:firstLine="1018"/>
        <w:spacing w:after="0" w:line="359"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5" w:lineRule="exact"/>
        <w:rPr>
          <w:sz w:val="20"/>
          <w:szCs w:val="20"/>
          <w:color w:val="auto"/>
        </w:rPr>
      </w:pPr>
    </w:p>
    <w:p>
      <w:pPr>
        <w:ind w:right="300" w:firstLine="1018"/>
        <w:spacing w:after="0" w:line="266"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39" w:lineRule="exact"/>
        <w:rPr>
          <w:sz w:val="20"/>
          <w:szCs w:val="20"/>
          <w:color w:val="auto"/>
        </w:rPr>
      </w:pPr>
    </w:p>
    <w:p>
      <w:pPr>
        <w:ind w:right="40" w:firstLine="1018"/>
        <w:spacing w:after="0" w:line="314"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160" w:lineRule="exact"/>
        <w:rPr>
          <w:sz w:val="20"/>
          <w:szCs w:val="20"/>
          <w:color w:val="auto"/>
        </w:rPr>
      </w:pPr>
    </w:p>
    <w:p>
      <w:pPr>
        <w:ind w:right="100" w:firstLine="1023"/>
        <w:spacing w:after="0" w:line="272"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91" w:lineRule="exact"/>
        <w:rPr>
          <w:sz w:val="20"/>
          <w:szCs w:val="20"/>
          <w:color w:val="auto"/>
        </w:rPr>
      </w:pPr>
    </w:p>
    <w:p>
      <w:pPr>
        <w:ind w:right="40" w:firstLine="1018"/>
        <w:spacing w:after="0" w:line="285"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85" w:lineRule="exact"/>
        <w:rPr>
          <w:sz w:val="20"/>
          <w:szCs w:val="20"/>
          <w:color w:val="auto"/>
        </w:rPr>
      </w:pPr>
    </w:p>
    <w:p>
      <w:pPr>
        <w:ind w:right="40" w:firstLine="1018"/>
        <w:spacing w:after="0" w:line="296"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0" w:lineRule="exact"/>
        <w:rPr>
          <w:sz w:val="20"/>
          <w:szCs w:val="20"/>
          <w:color w:val="auto"/>
        </w:rPr>
      </w:pPr>
    </w:p>
    <w:p>
      <w:pPr>
        <w:ind w:right="100" w:firstLine="1018"/>
        <w:spacing w:after="0" w:line="285"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2" w:lineRule="exact"/>
        <w:rPr>
          <w:sz w:val="20"/>
          <w:szCs w:val="20"/>
          <w:color w:val="auto"/>
        </w:rPr>
      </w:pPr>
    </w:p>
    <w:p>
      <w:pPr>
        <w:ind w:right="20" w:firstLine="1018"/>
        <w:spacing w:after="0" w:line="299" w:lineRule="auto"/>
        <w:rPr>
          <w:sz w:val="20"/>
          <w:szCs w:val="20"/>
          <w:color w:val="auto"/>
        </w:rPr>
      </w:pPr>
      <w:r>
        <w:rPr>
          <w:rFonts w:ascii="Arial" w:cs="Arial" w:eastAsia="Arial" w:hAnsi="Arial"/>
          <w:sz w:val="16"/>
          <w:szCs w:val="16"/>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39" w:lineRule="exact"/>
        <w:rPr>
          <w:sz w:val="20"/>
          <w:szCs w:val="20"/>
          <w:color w:val="auto"/>
        </w:rPr>
      </w:pPr>
    </w:p>
    <w:p>
      <w:pPr>
        <w:ind w:right="240" w:firstLine="1018"/>
        <w:spacing w:after="0" w:line="275"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5"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6" w:lineRule="exact"/>
        <w:rPr>
          <w:sz w:val="20"/>
          <w:szCs w:val="20"/>
          <w:color w:val="auto"/>
        </w:rPr>
      </w:pPr>
    </w:p>
    <w:p>
      <w:pPr>
        <w:ind w:right="20" w:firstLine="1018"/>
        <w:spacing w:after="0" w:line="314"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38"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6" w:lineRule="exact"/>
        <w:rPr>
          <w:sz w:val="20"/>
          <w:szCs w:val="20"/>
          <w:color w:val="auto"/>
        </w:rPr>
      </w:pPr>
    </w:p>
    <w:p>
      <w:pPr>
        <w:ind w:right="260" w:firstLine="1018"/>
        <w:spacing w:after="0" w:line="293"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39" w:lineRule="exact"/>
        <w:rPr>
          <w:sz w:val="20"/>
          <w:szCs w:val="20"/>
          <w:color w:val="auto"/>
        </w:rPr>
      </w:pPr>
    </w:p>
    <w:p>
      <w:pPr>
        <w:ind w:right="80" w:firstLine="1018"/>
        <w:spacing w:after="0" w:line="275"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361"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78" w:lineRule="exact"/>
        <w:rPr>
          <w:sz w:val="20"/>
          <w:szCs w:val="20"/>
          <w:color w:val="auto"/>
        </w:rPr>
      </w:pPr>
    </w:p>
    <w:p>
      <w:pPr>
        <w:ind w:right="100" w:firstLine="1018"/>
        <w:spacing w:after="0" w:line="266"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right="560"/>
        <w:spacing w:after="0" w:line="293" w:lineRule="auto"/>
        <w:rPr>
          <w:sz w:val="20"/>
          <w:szCs w:val="20"/>
          <w:color w:val="auto"/>
        </w:rPr>
      </w:pPr>
      <w:r>
        <w:rPr>
          <w:rFonts w:ascii="Arial" w:cs="Arial" w:eastAsia="Arial" w:hAnsi="Arial"/>
          <w:sz w:val="18"/>
          <w:szCs w:val="18"/>
          <w:color w:val="auto"/>
        </w:rPr>
        <w:t>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70" w:lineRule="exact"/>
        <w:rPr>
          <w:sz w:val="20"/>
          <w:szCs w:val="20"/>
          <w:color w:val="auto"/>
        </w:rPr>
      </w:pPr>
    </w:p>
    <w:p>
      <w:pPr>
        <w:ind w:right="220" w:firstLine="1018"/>
        <w:spacing w:after="0" w:line="324" w:lineRule="auto"/>
        <w:rPr>
          <w:sz w:val="20"/>
          <w:szCs w:val="20"/>
          <w:color w:val="auto"/>
        </w:rPr>
      </w:pPr>
      <w:r>
        <w:rPr>
          <w:rFonts w:ascii="Arial" w:cs="Arial" w:eastAsia="Arial" w:hAnsi="Arial"/>
          <w:sz w:val="17"/>
          <w:szCs w:val="17"/>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39" w:lineRule="exact"/>
        <w:rPr>
          <w:sz w:val="20"/>
          <w:szCs w:val="20"/>
          <w:color w:val="auto"/>
        </w:rPr>
      </w:pPr>
    </w:p>
    <w:p>
      <w:pPr>
        <w:ind w:right="480" w:firstLine="1018"/>
        <w:spacing w:after="0" w:line="303"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39" w:lineRule="exact"/>
        <w:rPr>
          <w:sz w:val="20"/>
          <w:szCs w:val="20"/>
          <w:color w:val="auto"/>
        </w:rPr>
      </w:pPr>
    </w:p>
    <w:p>
      <w:pPr>
        <w:ind w:right="220" w:firstLine="1018"/>
        <w:spacing w:after="0" w:line="28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39" w:lineRule="exact"/>
        <w:rPr>
          <w:sz w:val="20"/>
          <w:szCs w:val="20"/>
          <w:color w:val="auto"/>
        </w:rPr>
      </w:pPr>
    </w:p>
    <w:p>
      <w:pPr>
        <w:ind w:right="100" w:firstLine="1018"/>
        <w:spacing w:after="0" w:line="275"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5" w:lineRule="exact"/>
        <w:rPr>
          <w:sz w:val="20"/>
          <w:szCs w:val="20"/>
          <w:color w:val="auto"/>
        </w:rPr>
      </w:pPr>
    </w:p>
    <w:p>
      <w:pPr>
        <w:ind w:right="280" w:firstLine="1018"/>
        <w:spacing w:after="0" w:line="279"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3"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5"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39" w:lineRule="exact"/>
        <w:rPr>
          <w:sz w:val="20"/>
          <w:szCs w:val="20"/>
          <w:color w:val="auto"/>
        </w:rPr>
      </w:pPr>
    </w:p>
    <w:p>
      <w:pPr>
        <w:ind w:right="40" w:firstLine="1018"/>
        <w:spacing w:after="0" w:line="266" w:lineRule="auto"/>
        <w:rPr>
          <w:sz w:val="20"/>
          <w:szCs w:val="20"/>
          <w:color w:val="auto"/>
        </w:rPr>
      </w:pPr>
      <w:r>
        <w:rPr>
          <w:rFonts w:ascii="Arial" w:cs="Arial" w:eastAsia="Arial" w:hAnsi="Arial"/>
          <w:sz w:val="18"/>
          <w:szCs w:val="18"/>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right="220"/>
        <w:spacing w:after="0" w:line="293" w:lineRule="auto"/>
        <w:rPr>
          <w:sz w:val="20"/>
          <w:szCs w:val="20"/>
          <w:color w:val="auto"/>
        </w:rPr>
      </w:pPr>
      <w:r>
        <w:rPr>
          <w:rFonts w:ascii="Arial" w:cs="Arial" w:eastAsia="Arial" w:hAnsi="Arial"/>
          <w:sz w:val="18"/>
          <w:szCs w:val="18"/>
          <w:color w:val="auto"/>
        </w:rPr>
        <w:t>intellectual property rights that we may consider important to our business. Some such companies may have a competitive advantage over us due to their size, capital resources, clinical development stage, or commercialization capabilities.</w:t>
      </w:r>
    </w:p>
    <w:p>
      <w:pPr>
        <w:spacing w:after="0" w:line="170" w:lineRule="exact"/>
        <w:rPr>
          <w:sz w:val="20"/>
          <w:szCs w:val="20"/>
          <w:color w:val="auto"/>
        </w:rPr>
      </w:pPr>
    </w:p>
    <w:p>
      <w:pPr>
        <w:ind w:right="160" w:firstLine="1018"/>
        <w:spacing w:after="0" w:line="279"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3" w:lineRule="exact"/>
        <w:rPr>
          <w:sz w:val="20"/>
          <w:szCs w:val="20"/>
          <w:color w:val="auto"/>
        </w:rPr>
      </w:pPr>
    </w:p>
    <w:p>
      <w:pPr>
        <w:ind w:right="180" w:firstLine="1018"/>
        <w:spacing w:after="0" w:line="319" w:lineRule="auto"/>
        <w:rPr>
          <w:sz w:val="20"/>
          <w:szCs w:val="20"/>
          <w:color w:val="auto"/>
        </w:rPr>
      </w:pPr>
      <w:r>
        <w:rPr>
          <w:rFonts w:ascii="Arial" w:cs="Arial" w:eastAsia="Arial" w:hAnsi="Arial"/>
          <w:sz w:val="16"/>
          <w:szCs w:val="16"/>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331"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8"/>
          <w:szCs w:val="18"/>
          <w:color w:val="auto"/>
        </w:rPr>
        <w:t>Further, we are presently party to a service agreement, which is defined below, with ICL. Pursuant to the service agreement, we may engage ICL to perform development work on behalf of our company. We will wholly own intellectual property resulting from such development work only if it relates to the oral delivery of a biotherapeutic agent or sensor, 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91"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1" w:lineRule="exact"/>
        <w:rPr>
          <w:sz w:val="20"/>
          <w:szCs w:val="20"/>
          <w:color w:val="auto"/>
        </w:rPr>
      </w:pPr>
    </w:p>
    <w:p>
      <w:pPr>
        <w:ind w:right="100" w:firstLine="1018"/>
        <w:spacing w:after="0" w:line="359" w:lineRule="auto"/>
        <w:rPr>
          <w:sz w:val="20"/>
          <w:szCs w:val="20"/>
          <w:color w:val="auto"/>
        </w:rPr>
      </w:pPr>
      <w:r>
        <w:rPr>
          <w:rFonts w:ascii="Arial" w:cs="Arial" w:eastAsia="Arial" w:hAnsi="Arial"/>
          <w:sz w:val="16"/>
          <w:szCs w:val="16"/>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25" w:lineRule="exact"/>
        <w:rPr>
          <w:sz w:val="20"/>
          <w:szCs w:val="20"/>
          <w:color w:val="auto"/>
        </w:rPr>
      </w:pPr>
    </w:p>
    <w:p>
      <w:pPr>
        <w:ind w:right="300" w:firstLine="1018"/>
        <w:spacing w:after="0" w:line="279"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39" w:lineRule="exact"/>
        <w:rPr>
          <w:sz w:val="20"/>
          <w:szCs w:val="20"/>
          <w:color w:val="auto"/>
        </w:rPr>
      </w:pPr>
    </w:p>
    <w:p>
      <w:pPr>
        <w:ind w:right="200" w:firstLine="1018"/>
        <w:spacing w:after="0" w:line="272"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39" w:lineRule="exact"/>
        <w:rPr>
          <w:sz w:val="20"/>
          <w:szCs w:val="20"/>
          <w:color w:val="auto"/>
        </w:rPr>
      </w:pPr>
    </w:p>
    <w:p>
      <w:pPr>
        <w:ind w:right="340" w:firstLine="1018"/>
        <w:spacing w:after="0" w:line="293"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70" w:lineRule="exact"/>
        <w:rPr>
          <w:sz w:val="20"/>
          <w:szCs w:val="20"/>
          <w:color w:val="auto"/>
        </w:rPr>
      </w:pPr>
    </w:p>
    <w:p>
      <w:pPr>
        <w:ind w:right="240" w:firstLine="1018"/>
        <w:spacing w:after="0" w:line="266" w:lineRule="auto"/>
        <w:rPr>
          <w:sz w:val="20"/>
          <w:szCs w:val="20"/>
          <w:color w:val="auto"/>
        </w:rPr>
      </w:pPr>
      <w:r>
        <w:rPr>
          <w:rFonts w:ascii="Arial" w:cs="Arial" w:eastAsia="Arial" w:hAnsi="Arial"/>
          <w:sz w:val="18"/>
          <w:szCs w:val="18"/>
          <w:color w:val="auto"/>
        </w:rPr>
        <w:t>There is a risk that one or more of our issued European patents will be invalidated, or have its claims amended, through an opposition process. If this were to happen to one of our European patents, the corresponding national patent in each European country in which the European patent was validated would similarly be invalidated or have its claims amended. Invalidation or amendment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ind w:right="220"/>
        <w:spacing w:after="0" w:line="293" w:lineRule="auto"/>
        <w:rPr>
          <w:sz w:val="20"/>
          <w:szCs w:val="20"/>
          <w:color w:val="auto"/>
        </w:rPr>
      </w:pPr>
      <w:r>
        <w:rPr>
          <w:rFonts w:ascii="Arial" w:cs="Arial" w:eastAsia="Arial" w:hAnsi="Arial"/>
          <w:sz w:val="18"/>
          <w:szCs w:val="18"/>
          <w:color w:val="auto"/>
        </w:rPr>
        <w:t>could have a material adverse impact on our ability to commercialize in Europe and/or a material adverse impact on our ability to deter competition from potential competitors in Europe.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39" w:lineRule="exact"/>
        <w:rPr>
          <w:sz w:val="20"/>
          <w:szCs w:val="20"/>
          <w:color w:val="auto"/>
        </w:rPr>
      </w:pPr>
    </w:p>
    <w:p>
      <w:pPr>
        <w:ind w:right="60" w:firstLine="1018"/>
        <w:spacing w:after="0" w:line="311"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3" w:lineRule="exact"/>
        <w:rPr>
          <w:sz w:val="20"/>
          <w:szCs w:val="20"/>
          <w:color w:val="auto"/>
        </w:rPr>
      </w:pPr>
    </w:p>
    <w:p>
      <w:pPr>
        <w:ind w:right="60" w:firstLine="1018"/>
        <w:spacing w:after="0" w:line="304" w:lineRule="auto"/>
        <w:rPr>
          <w:sz w:val="20"/>
          <w:szCs w:val="20"/>
          <w:color w:val="auto"/>
        </w:rPr>
      </w:pPr>
      <w:r>
        <w:rPr>
          <w:rFonts w:ascii="Arial" w:cs="Arial" w:eastAsia="Arial" w:hAnsi="Arial"/>
          <w:sz w:val="16"/>
          <w:szCs w:val="16"/>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73" w:lineRule="exact"/>
        <w:rPr>
          <w:sz w:val="20"/>
          <w:szCs w:val="20"/>
          <w:color w:val="auto"/>
        </w:rPr>
      </w:pPr>
    </w:p>
    <w:p>
      <w:pPr>
        <w:ind w:right="120" w:firstLine="1018"/>
        <w:spacing w:after="0" w:line="314"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0"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right="340" w:firstLine="1018"/>
        <w:spacing w:after="0" w:line="324"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39" w:lineRule="exact"/>
        <w:rPr>
          <w:sz w:val="20"/>
          <w:szCs w:val="20"/>
          <w:color w:val="auto"/>
        </w:rPr>
      </w:pPr>
    </w:p>
    <w:p>
      <w:pPr>
        <w:ind w:right="380" w:firstLine="1018"/>
        <w:spacing w:after="0" w:line="293"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right="100" w:firstLine="1018"/>
        <w:spacing w:after="0" w:line="281" w:lineRule="auto"/>
        <w:rPr>
          <w:sz w:val="20"/>
          <w:szCs w:val="20"/>
          <w:color w:val="auto"/>
        </w:rPr>
      </w:pPr>
      <w:r>
        <w:rPr>
          <w:rFonts w:ascii="Arial" w:cs="Arial" w:eastAsia="Arial" w:hAnsi="Arial"/>
          <w:sz w:val="17"/>
          <w:szCs w:val="17"/>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ind w:right="60" w:firstLine="1018"/>
        <w:spacing w:after="0" w:line="290"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6"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91" w:lineRule="exact"/>
        <w:rPr>
          <w:sz w:val="20"/>
          <w:szCs w:val="20"/>
          <w:color w:val="auto"/>
        </w:rPr>
      </w:pPr>
    </w:p>
    <w:p>
      <w:pPr>
        <w:ind w:right="300" w:firstLine="1018"/>
        <w:spacing w:after="0" w:line="296"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0" w:lineRule="exact"/>
        <w:rPr>
          <w:sz w:val="20"/>
          <w:szCs w:val="20"/>
          <w:color w:val="auto"/>
        </w:rPr>
      </w:pPr>
    </w:p>
    <w:p>
      <w:pPr>
        <w:ind w:right="140" w:firstLine="1018"/>
        <w:spacing w:after="0" w:line="279"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39" w:lineRule="exact"/>
        <w:rPr>
          <w:sz w:val="20"/>
          <w:szCs w:val="20"/>
          <w:color w:val="auto"/>
        </w:rPr>
      </w:pPr>
    </w:p>
    <w:p>
      <w:pPr>
        <w:ind w:right="160" w:firstLine="1018"/>
        <w:spacing w:after="0" w:line="271" w:lineRule="auto"/>
        <w:rPr>
          <w:sz w:val="20"/>
          <w:szCs w:val="20"/>
          <w:color w:val="auto"/>
        </w:rPr>
      </w:pPr>
      <w:r>
        <w:rPr>
          <w:rFonts w:ascii="Arial" w:cs="Arial" w:eastAsia="Arial" w:hAnsi="Arial"/>
          <w:sz w:val="18"/>
          <w:szCs w:val="18"/>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91" w:lineRule="exact"/>
        <w:rPr>
          <w:sz w:val="20"/>
          <w:szCs w:val="20"/>
          <w:color w:val="auto"/>
        </w:rPr>
      </w:pPr>
    </w:p>
    <w:p>
      <w:pPr>
        <w:ind w:right="20" w:firstLine="1018"/>
        <w:spacing w:after="0" w:line="303"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39"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93" w:lineRule="exact"/>
        <w:rPr>
          <w:sz w:val="20"/>
          <w:szCs w:val="20"/>
          <w:color w:val="auto"/>
        </w:rPr>
      </w:pPr>
    </w:p>
    <w:p>
      <w:pPr>
        <w:ind w:right="40" w:firstLine="1018"/>
        <w:spacing w:after="0" w:line="299" w:lineRule="auto"/>
        <w:rPr>
          <w:sz w:val="20"/>
          <w:szCs w:val="20"/>
          <w:color w:val="auto"/>
        </w:rPr>
      </w:pPr>
      <w:r>
        <w:rPr>
          <w:rFonts w:ascii="Arial" w:cs="Arial" w:eastAsia="Arial" w:hAnsi="Arial"/>
          <w:sz w:val="16"/>
          <w:szCs w:val="16"/>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39" w:lineRule="exact"/>
        <w:rPr>
          <w:sz w:val="20"/>
          <w:szCs w:val="20"/>
          <w:color w:val="auto"/>
        </w:rPr>
      </w:pPr>
    </w:p>
    <w:p>
      <w:pPr>
        <w:ind w:right="100" w:firstLine="1018"/>
        <w:spacing w:after="0" w:line="279"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3"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93"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358" w:lineRule="exact"/>
        <w:rPr>
          <w:sz w:val="20"/>
          <w:szCs w:val="20"/>
          <w:color w:val="auto"/>
        </w:rPr>
      </w:pPr>
    </w:p>
    <w:p>
      <w:pPr>
        <w:ind w:right="200" w:firstLine="1018"/>
        <w:spacing w:after="0" w:line="303" w:lineRule="auto"/>
        <w:rPr>
          <w:sz w:val="20"/>
          <w:szCs w:val="20"/>
          <w:color w:val="auto"/>
        </w:rPr>
      </w:pPr>
      <w:r>
        <w:rPr>
          <w:rFonts w:ascii="Arial" w:cs="Arial" w:eastAsia="Arial" w:hAnsi="Arial"/>
          <w:sz w:val="17"/>
          <w:szCs w:val="17"/>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43"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We are a holding company and our principal asset is our interest in Rani LLC. Accordingly, we will depend on distributions from Rani LLC to pay our taxes, expenses (including payments under the Tax Receivable Agreement) and dividends. Rani’s ability to make such distributions may be subject to various limitations and restrictions.</w:t>
      </w:r>
    </w:p>
    <w:p>
      <w:pPr>
        <w:spacing w:after="0" w:line="183"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w:t>
      </w:r>
    </w:p>
    <w:p>
      <w:pPr>
        <w:spacing w:after="0" w:line="191" w:lineRule="exact"/>
        <w:rPr>
          <w:sz w:val="20"/>
          <w:szCs w:val="20"/>
          <w:color w:val="auto"/>
        </w:rPr>
      </w:pPr>
    </w:p>
    <w:p>
      <w:pPr>
        <w:ind w:right="80" w:firstLine="1018"/>
        <w:spacing w:after="0" w:line="314" w:lineRule="auto"/>
        <w:rPr>
          <w:sz w:val="20"/>
          <w:szCs w:val="20"/>
          <w:color w:val="auto"/>
        </w:rPr>
      </w:pPr>
      <w:r>
        <w:rPr>
          <w:rFonts w:ascii="Arial" w:cs="Arial" w:eastAsia="Arial" w:hAnsi="Arial"/>
          <w:sz w:val="16"/>
          <w:szCs w:val="16"/>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including payments under the Tax Receivable Agreement, which we expect could be significant. Furthermore, our allocable share of Rani LLC’s net taxable income will increase over time as the Continuing LLC Owners redeem or exchange their LLC Interests for shares of our Class A common stock.</w:t>
      </w:r>
    </w:p>
    <w:p>
      <w:pPr>
        <w:spacing w:after="0" w:line="160" w:lineRule="exact"/>
        <w:rPr>
          <w:sz w:val="20"/>
          <w:szCs w:val="20"/>
          <w:color w:val="auto"/>
        </w:rPr>
      </w:pPr>
    </w:p>
    <w:p>
      <w:pPr>
        <w:ind w:right="20" w:firstLine="1018"/>
        <w:spacing w:after="0" w:line="308"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 ’s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3" w:lineRule="exact"/>
        <w:rPr>
          <w:sz w:val="20"/>
          <w:szCs w:val="20"/>
          <w:color w:val="auto"/>
        </w:rPr>
      </w:pPr>
    </w:p>
    <w:p>
      <w:pPr>
        <w:ind w:right="40" w:firstLine="1018"/>
        <w:spacing w:after="0" w:line="266"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right="120"/>
        <w:spacing w:after="0" w:line="293" w:lineRule="auto"/>
        <w:rPr>
          <w:sz w:val="20"/>
          <w:szCs w:val="20"/>
          <w:color w:val="auto"/>
        </w:rPr>
      </w:pPr>
      <w:r>
        <w:rPr>
          <w:rFonts w:ascii="Arial" w:cs="Arial" w:eastAsia="Arial" w:hAnsi="Arial"/>
          <w:sz w:val="18"/>
          <w:szCs w:val="18"/>
          <w:color w:val="auto"/>
        </w:rPr>
        <w:t>Agreement. In addition, if Rani does not have sufficient funds to make distributions, our ability to declare and pay cash dividends will also be restricted or impaired.</w:t>
      </w:r>
    </w:p>
    <w:p>
      <w:pPr>
        <w:spacing w:after="0" w:line="345"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70"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82" w:lineRule="exact"/>
        <w:rPr>
          <w:sz w:val="20"/>
          <w:szCs w:val="20"/>
          <w:color w:val="auto"/>
        </w:rPr>
      </w:pPr>
    </w:p>
    <w:p>
      <w:pPr>
        <w:ind w:right="80" w:firstLine="1018"/>
        <w:spacing w:after="0" w:line="270"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3" w:lineRule="exact"/>
        <w:rPr>
          <w:sz w:val="20"/>
          <w:szCs w:val="20"/>
          <w:color w:val="auto"/>
        </w:rPr>
      </w:pPr>
    </w:p>
    <w:p>
      <w:pPr>
        <w:ind w:right="20" w:firstLine="1018"/>
        <w:spacing w:after="0" w:line="305" w:lineRule="auto"/>
        <w:rPr>
          <w:sz w:val="20"/>
          <w:szCs w:val="20"/>
          <w:color w:val="auto"/>
        </w:rPr>
      </w:pPr>
      <w:r>
        <w:rPr>
          <w:rFonts w:ascii="Arial" w:cs="Arial" w:eastAsia="Arial" w:hAnsi="Arial"/>
          <w:sz w:val="16"/>
          <w:szCs w:val="16"/>
          <w:color w:val="auto"/>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 certain of the Continuing LLC Owners could be significant. See the section titled “Management’s Discussion and Analysis of Financial Condition and Results of Operations—Liquidity and Capital Resources—Source of Liquidity” for further information.</w:t>
      </w:r>
    </w:p>
    <w:p>
      <w:pPr>
        <w:spacing w:after="0" w:line="169" w:lineRule="exact"/>
        <w:rPr>
          <w:sz w:val="20"/>
          <w:szCs w:val="20"/>
          <w:color w:val="auto"/>
        </w:rPr>
      </w:pPr>
    </w:p>
    <w:p>
      <w:pPr>
        <w:ind w:right="80" w:firstLine="1018"/>
        <w:spacing w:after="0" w:line="281"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(the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right="620"/>
        <w:spacing w:after="0" w:line="293" w:lineRule="auto"/>
        <w:rPr>
          <w:sz w:val="20"/>
          <w:szCs w:val="20"/>
          <w:color w:val="auto"/>
        </w:rPr>
      </w:pPr>
      <w:r>
        <w:rPr>
          <w:rFonts w:ascii="Arial" w:cs="Arial" w:eastAsia="Arial" w:hAnsi="Arial"/>
          <w:sz w:val="18"/>
          <w:szCs w:val="18"/>
          <w:color w:val="auto"/>
        </w:rPr>
        <w:t>in excess of the tax savings that we realize in respect of the tax attributes with respect to the Continuing LLC Owners that are the subject of the Tax Receivable Agreement.</w:t>
      </w:r>
    </w:p>
    <w:p>
      <w:pPr>
        <w:spacing w:after="0" w:line="170"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81" w:lineRule="exact"/>
        <w:rPr>
          <w:sz w:val="20"/>
          <w:szCs w:val="20"/>
          <w:color w:val="auto"/>
        </w:rPr>
      </w:pPr>
    </w:p>
    <w:p>
      <w:pPr>
        <w:ind w:right="340"/>
        <w:spacing w:after="0" w:line="399"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1" w:lineRule="exact"/>
        <w:rPr>
          <w:sz w:val="20"/>
          <w:szCs w:val="20"/>
          <w:color w:val="auto"/>
        </w:rPr>
      </w:pPr>
    </w:p>
    <w:p>
      <w:pPr>
        <w:ind w:firstLine="1018"/>
        <w:spacing w:after="0" w:line="314"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0"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358" w:lineRule="exact"/>
        <w:rPr>
          <w:sz w:val="20"/>
          <w:szCs w:val="20"/>
          <w:color w:val="auto"/>
        </w:rPr>
      </w:pPr>
    </w:p>
    <w:p>
      <w:pPr>
        <w:ind w:right="500" w:firstLine="1018"/>
        <w:spacing w:after="0" w:line="275" w:lineRule="auto"/>
        <w:rPr>
          <w:sz w:val="20"/>
          <w:szCs w:val="20"/>
          <w:color w:val="auto"/>
        </w:rPr>
      </w:pPr>
      <w:r>
        <w:rPr>
          <w:rFonts w:ascii="Arial" w:cs="Arial" w:eastAsia="Arial" w:hAnsi="Arial"/>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in the near future pursuant to a service agreement, and if we are unable to replicate or replace these functions if the service agreement is terminated, our operations could be adversely affected.</w:t>
      </w:r>
    </w:p>
    <w:p>
      <w:pPr>
        <w:spacing w:after="0" w:line="183"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 agreement, which is being renewed on an annual basis. Pursuant to the service agreement, ICL will provide us certain administrative and development support services. For example, we anticipate receiving from ICL certain general management, intellectual property, office and information technology services. In addition, pursuant to the service agreement, we will continue to sublease from ICL office and laboratory space encompassing approximately 23,000 square feet.</w:t>
      </w:r>
    </w:p>
    <w:p>
      <w:pPr>
        <w:spacing w:after="0" w:line="176" w:lineRule="exact"/>
        <w:rPr>
          <w:sz w:val="20"/>
          <w:szCs w:val="20"/>
          <w:color w:val="auto"/>
        </w:rPr>
      </w:pPr>
    </w:p>
    <w:p>
      <w:pPr>
        <w:jc w:val="both"/>
        <w:ind w:right="180" w:firstLine="1018"/>
        <w:spacing w:after="0" w:line="279" w:lineRule="auto"/>
        <w:rPr>
          <w:sz w:val="20"/>
          <w:szCs w:val="20"/>
          <w:color w:val="auto"/>
        </w:rPr>
      </w:pPr>
      <w:r>
        <w:rPr>
          <w:rFonts w:ascii="Arial" w:cs="Arial" w:eastAsia="Arial" w:hAnsi="Arial"/>
          <w:sz w:val="18"/>
          <w:szCs w:val="18"/>
          <w:color w:val="auto"/>
        </w:rPr>
        <w:t>Pursuant to the service agreement, we will wholly own intellectual property resulting from ICL’s development work only if it relates to the Rani Field and was developed by our team and using our resources. ICL has agreed to exclusively license certain intellectual property to us for use solely within the Rani Field, but we may not obtain a license on favorable terms.</w:t>
      </w:r>
    </w:p>
    <w:p>
      <w:pPr>
        <w:spacing w:after="0" w:line="183" w:lineRule="exact"/>
        <w:rPr>
          <w:sz w:val="20"/>
          <w:szCs w:val="20"/>
          <w:color w:val="auto"/>
        </w:rPr>
      </w:pPr>
    </w:p>
    <w:p>
      <w:pPr>
        <w:ind w:right="200" w:firstLine="1018"/>
        <w:spacing w:after="0" w:line="359" w:lineRule="auto"/>
        <w:rPr>
          <w:sz w:val="20"/>
          <w:szCs w:val="20"/>
          <w:color w:val="auto"/>
        </w:rPr>
      </w:pPr>
      <w:r>
        <w:rPr>
          <w:rFonts w:ascii="Arial" w:cs="Arial" w:eastAsia="Arial" w:hAnsi="Arial"/>
          <w:sz w:val="16"/>
          <w:szCs w:val="16"/>
          <w:color w:val="auto"/>
        </w:rPr>
        <w:t>The fees to be charged for any service rendered pursuant to the service agreement will be based upon the hours incurred by ICL employees working on behalf of Rani as well as allocations of expenses based upon Rani’s utilization of ICL’s facilities and equipment for the relevant period.</w:t>
      </w:r>
    </w:p>
    <w:p>
      <w:pPr>
        <w:spacing w:after="0" w:line="125" w:lineRule="exact"/>
        <w:rPr>
          <w:sz w:val="20"/>
          <w:szCs w:val="20"/>
          <w:color w:val="auto"/>
        </w:rPr>
      </w:pPr>
    </w:p>
    <w:p>
      <w:pPr>
        <w:ind w:right="120" w:firstLine="1018"/>
        <w:spacing w:after="0" w:line="299" w:lineRule="auto"/>
        <w:rPr>
          <w:sz w:val="20"/>
          <w:szCs w:val="20"/>
          <w:color w:val="auto"/>
        </w:rPr>
      </w:pPr>
      <w:r>
        <w:rPr>
          <w:rFonts w:ascii="Arial" w:cs="Arial" w:eastAsia="Arial" w:hAnsi="Arial"/>
          <w:sz w:val="16"/>
          <w:szCs w:val="16"/>
          <w:color w:val="auto"/>
        </w:rPr>
        <w:t>The service agreement will renew for successive one-year terms unless sooner terminated by either party. Termination of individual services requires 60 days’ notice, and termination of the service agreement requires six months’ notice. In the event the service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ind w:right="140" w:firstLine="1018"/>
        <w:spacing w:after="0" w:line="275"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is controlled by certain of the Continuing LLC Owners, whose interests may differ from those of our public stockholders.</w:t>
      </w:r>
    </w:p>
    <w:p>
      <w:pPr>
        <w:spacing w:after="0" w:line="239"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Certain of the Continuing LLC Owners control approximately 94%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39" w:lineRule="exact"/>
        <w:rPr>
          <w:sz w:val="20"/>
          <w:szCs w:val="20"/>
          <w:color w:val="auto"/>
        </w:rPr>
      </w:pPr>
    </w:p>
    <w:p>
      <w:pPr>
        <w:ind w:right="40" w:firstLine="1018"/>
        <w:spacing w:after="0" w:line="287" w:lineRule="auto"/>
        <w:rPr>
          <w:sz w:val="20"/>
          <w:szCs w:val="20"/>
          <w:color w:val="auto"/>
        </w:rPr>
      </w:pPr>
      <w:r>
        <w:rPr>
          <w:rFonts w:ascii="Arial" w:cs="Arial" w:eastAsia="Arial" w:hAnsi="Arial"/>
          <w:sz w:val="17"/>
          <w:szCs w:val="17"/>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2"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170"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Our Class B common stock has 10 votes per share, our Class A common stock has one vote per share and Class C common stock has no voting rights, except as required by law. Holders of our outstanding Class A common stock collectively hold approximately 6% of the voting power of our outstanding capital stock, holders of our outstanding Class B common stock collectively hold approximately 94% of the voting power of our outstanding capital stock. Because of the 10-to-one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at least 9.1%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357" w:lineRule="exact"/>
        <w:rPr>
          <w:sz w:val="20"/>
          <w:szCs w:val="20"/>
          <w:color w:val="auto"/>
        </w:rPr>
      </w:pPr>
    </w:p>
    <w:p>
      <w:pPr>
        <w:ind w:right="120" w:firstLine="1018"/>
        <w:spacing w:after="0" w:line="266"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w:t>
      </w:r>
    </w:p>
    <w:p>
      <w:pPr>
        <w:spacing w:after="0" w:line="239"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We only recently completed our IPO, so 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will continue to be held by our executive officers and pre-IPO investors, who will be subject to lock-up agreements expiring 180 days from July 30, 2021, subject to standard exemptions.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39" w:lineRule="exact"/>
        <w:rPr>
          <w:sz w:val="20"/>
          <w:szCs w:val="20"/>
          <w:color w:val="auto"/>
        </w:rPr>
      </w:pPr>
    </w:p>
    <w:p>
      <w:pPr>
        <w:ind w:right="260" w:firstLine="1018"/>
        <w:spacing w:after="0" w:line="279"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laws or regulations applicable to our current or any of our future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adverse developments concerning any of our third-party collaborators and suppliers;</w:t>
      </w:r>
    </w:p>
    <w:p>
      <w:pPr>
        <w:spacing w:after="0" w:line="239" w:lineRule="exact"/>
        <w:rPr>
          <w:sz w:val="20"/>
          <w:szCs w:val="20"/>
          <w:color w:val="auto"/>
        </w:rPr>
      </w:pPr>
    </w:p>
    <w:p>
      <w:pPr>
        <w:ind w:left="1360" w:right="20"/>
        <w:spacing w:after="0" w:line="279" w:lineRule="auto"/>
        <w:rPr>
          <w:sz w:val="20"/>
          <w:szCs w:val="20"/>
          <w:color w:val="auto"/>
        </w:rPr>
      </w:pPr>
      <w:r>
        <w:rPr>
          <w:rFonts w:ascii="Arial" w:cs="Arial" w:eastAsia="Arial" w:hAnsi="Arial"/>
          <w:sz w:val="18"/>
          <w:szCs w:val="18"/>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negative publicity associated with issues related to our technology or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inability to establish collaborations, if needed;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senior management or key personnel;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trading volume of our Class A common stock;</w:t>
      </w:r>
    </w:p>
    <w:p>
      <w:pPr>
        <w:spacing w:after="0" w:line="239" w:lineRule="exact"/>
        <w:rPr>
          <w:sz w:val="20"/>
          <w:szCs w:val="20"/>
          <w:color w:val="auto"/>
        </w:rPr>
      </w:pPr>
    </w:p>
    <w:p>
      <w:pPr>
        <w:ind w:left="1360" w:right="140"/>
        <w:spacing w:after="0" w:line="359" w:lineRule="auto"/>
        <w:rPr>
          <w:sz w:val="20"/>
          <w:szCs w:val="20"/>
          <w:color w:val="auto"/>
        </w:rPr>
      </w:pPr>
      <w:r>
        <w:rPr>
          <w:rFonts w:ascii="Arial" w:cs="Arial" w:eastAsia="Arial" w:hAnsi="Arial"/>
          <w:sz w:val="16"/>
          <w:szCs w:val="16"/>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general economic, regulatory and market conditions, including economic recessions or slowdowns;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the structure of healthcare payment systems;</w:t>
      </w:r>
    </w:p>
    <w:p>
      <w:pPr>
        <w:spacing w:after="0" w:line="239" w:lineRule="exact"/>
        <w:rPr>
          <w:sz w:val="20"/>
          <w:szCs w:val="20"/>
          <w:color w:val="auto"/>
        </w:rPr>
      </w:pPr>
    </w:p>
    <w:p>
      <w:pPr>
        <w:ind w:left="1360" w:right="80"/>
        <w:spacing w:after="0" w:line="266" w:lineRule="auto"/>
        <w:rPr>
          <w:sz w:val="20"/>
          <w:szCs w:val="20"/>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ind w:left="1360"/>
        <w:spacing w:after="0"/>
        <w:rPr>
          <w:sz w:val="20"/>
          <w:szCs w:val="20"/>
          <w:color w:val="auto"/>
        </w:rPr>
      </w:pPr>
      <w:r>
        <w:rPr>
          <w:rFonts w:ascii="Arial" w:cs="Arial" w:eastAsia="Arial" w:hAnsi="Arial"/>
          <w:sz w:val="18"/>
          <w:szCs w:val="18"/>
          <w:color w:val="auto"/>
        </w:rPr>
        <w:t>variance in our financial performance from expectations of securities analysts or investors;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our projected operating and financial results;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developments or disputes concerning our intellectual property or other proprietary rights;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significant lawsuits, including patent or stockholder litigation;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general political and economic conditions, including the COVID-19 pandemic;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other events or factors, many of which are beyond our control.</w:t>
      </w:r>
    </w:p>
    <w:p>
      <w:pPr>
        <w:spacing w:after="0" w:line="239"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3"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Following our IPO, our executive Chairman, Mir Imran beneficially owns approximately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board that is composed of a majority of “independent directors,” as defined under the Nasdaq rules;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compensation committee that is composed entirely of independent directors; and</w:t>
      </w:r>
    </w:p>
    <w:p>
      <w:pPr>
        <w:spacing w:after="0" w:line="239" w:lineRule="exact"/>
        <w:rPr>
          <w:sz w:val="20"/>
          <w:szCs w:val="20"/>
          <w:color w:val="auto"/>
        </w:rPr>
      </w:pPr>
    </w:p>
    <w:p>
      <w:pPr>
        <w:ind w:left="1360" w:right="1700"/>
        <w:spacing w:after="0" w:line="324" w:lineRule="auto"/>
        <w:rPr>
          <w:sz w:val="20"/>
          <w:szCs w:val="20"/>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7"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350" w:lineRule="exact"/>
        <w:rPr>
          <w:sz w:val="20"/>
          <w:szCs w:val="20"/>
          <w:color w:val="auto"/>
        </w:rPr>
      </w:pPr>
    </w:p>
    <w:p>
      <w:pPr>
        <w:ind w:right="680"/>
        <w:spacing w:after="0" w:line="324"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7" w:lineRule="exact"/>
        <w:rPr>
          <w:sz w:val="20"/>
          <w:szCs w:val="20"/>
          <w:color w:val="auto"/>
        </w:rPr>
      </w:pPr>
    </w:p>
    <w:p>
      <w:pPr>
        <w:ind w:right="580" w:firstLine="1018"/>
        <w:spacing w:after="0" w:line="279"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increased operating expenses and cash requirements;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volatility with respect to the financial reporting related to such arrangements;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assumption of indebtedness or contingent liabilities;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issuance of our equity securities which would result in dilution to our stockholders;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ind w:left="1360" w:right="680"/>
        <w:spacing w:after="0" w:line="293" w:lineRule="auto"/>
        <w:rPr>
          <w:sz w:val="20"/>
          <w:szCs w:val="20"/>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7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9" w:lineRule="exact"/>
        <w:rPr>
          <w:sz w:val="20"/>
          <w:szCs w:val="20"/>
          <w:color w:val="auto"/>
        </w:rPr>
      </w:pPr>
    </w:p>
    <w:p>
      <w:pPr>
        <w:ind w:left="1360" w:right="540"/>
        <w:spacing w:after="0" w:line="293"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sz w:val="20"/>
          <w:szCs w:val="20"/>
          <w:color w:val="auto"/>
        </w:rPr>
      </w:pPr>
    </w:p>
    <w:p>
      <w:pPr>
        <w:ind w:left="1360" w:right="360"/>
        <w:spacing w:after="0" w:line="293" w:lineRule="auto"/>
        <w:rPr>
          <w:sz w:val="20"/>
          <w:szCs w:val="20"/>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right="540" w:firstLine="1018"/>
        <w:spacing w:after="0" w:line="293"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73" w:lineRule="exact"/>
        <w:rPr>
          <w:sz w:val="20"/>
          <w:szCs w:val="20"/>
          <w:color w:val="auto"/>
        </w:rPr>
      </w:pPr>
    </w:p>
    <w:p>
      <w:pPr>
        <w:ind w:right="100" w:firstLine="1018"/>
        <w:spacing w:after="0" w:line="329" w:lineRule="auto"/>
        <w:rPr>
          <w:sz w:val="20"/>
          <w:szCs w:val="20"/>
          <w:color w:val="auto"/>
        </w:rPr>
      </w:pPr>
      <w:r>
        <w:rPr>
          <w:rFonts w:ascii="Arial" w:cs="Arial" w:eastAsia="Arial" w:hAnsi="Arial"/>
          <w:sz w:val="16"/>
          <w:szCs w:val="16"/>
          <w:color w:val="auto"/>
        </w:rPr>
        <w:t>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48" w:lineRule="exact"/>
        <w:rPr>
          <w:sz w:val="20"/>
          <w:szCs w:val="20"/>
          <w:color w:val="auto"/>
        </w:rPr>
      </w:pPr>
    </w:p>
    <w:p>
      <w:pPr>
        <w:ind w:right="40" w:firstLine="1018"/>
        <w:spacing w:after="0" w:line="293" w:lineRule="auto"/>
        <w:rPr>
          <w:sz w:val="20"/>
          <w:szCs w:val="20"/>
          <w:color w:val="auto"/>
        </w:rPr>
      </w:pPr>
      <w:r>
        <w:rPr>
          <w:rFonts w:ascii="Arial" w:cs="Arial" w:eastAsia="Arial" w:hAnsi="Arial"/>
          <w:sz w:val="18"/>
          <w:szCs w:val="18"/>
          <w:color w:val="auto"/>
        </w:rPr>
        <w:t>As of November 12, 2021, we have 19,711,874 outstanding shares of Class A common stock. Of these shares, only 7,666,667 shares of Class A common stock are freely tradable.</w:t>
      </w:r>
    </w:p>
    <w:p>
      <w:pPr>
        <w:spacing w:after="0" w:line="170" w:lineRule="exact"/>
        <w:rPr>
          <w:sz w:val="20"/>
          <w:szCs w:val="20"/>
          <w:color w:val="auto"/>
        </w:rPr>
      </w:pPr>
    </w:p>
    <w:p>
      <w:pPr>
        <w:ind w:right="60" w:firstLine="1018"/>
        <w:spacing w:after="0" w:line="271" w:lineRule="auto"/>
        <w:rPr>
          <w:sz w:val="20"/>
          <w:szCs w:val="20"/>
          <w:color w:val="auto"/>
        </w:rPr>
      </w:pPr>
      <w:r>
        <w:rPr>
          <w:rFonts w:ascii="Arial" w:cs="Arial" w:eastAsia="Arial" w:hAnsi="Arial"/>
          <w:sz w:val="18"/>
          <w:szCs w:val="18"/>
          <w:color w:val="auto"/>
        </w:rPr>
        <w:t>In addition, all of our executive officers and directors and the holders of substantially all of our equity securities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July 30, 2021, subject to specified exceptions. BofA Securities, Inc. and Stifel, Nicolaus &amp; Company, Incorporated may, in their discretion, permit our stockholders who are subject to these lock-up agreements to sell shares prior to the expiration of the lock-up agreements. Upon the expiration of the lock-up period, all of such shares will be eligible for sale.</w:t>
      </w:r>
    </w:p>
    <w:p>
      <w:pPr>
        <w:spacing w:after="0" w:line="191"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4" w:lineRule="exact"/>
        <w:rPr>
          <w:sz w:val="20"/>
          <w:szCs w:val="20"/>
          <w:color w:val="auto"/>
        </w:rPr>
      </w:pPr>
    </w:p>
    <w:p>
      <w:pPr>
        <w:ind w:right="160" w:firstLine="1018"/>
        <w:spacing w:after="0" w:line="296" w:lineRule="auto"/>
        <w:rPr>
          <w:sz w:val="20"/>
          <w:szCs w:val="20"/>
          <w:color w:val="auto"/>
        </w:rPr>
      </w:pPr>
      <w:r>
        <w:rPr>
          <w:rFonts w:ascii="Arial" w:cs="Arial" w:eastAsia="Arial" w:hAnsi="Arial"/>
          <w:sz w:val="17"/>
          <w:szCs w:val="17"/>
          <w:color w:val="auto"/>
        </w:rPr>
        <w:t>Continuing LLC Owners are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70"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47" w:lineRule="exact"/>
        <w:rPr>
          <w:sz w:val="20"/>
          <w:szCs w:val="20"/>
          <w:color w:val="auto"/>
        </w:rPr>
      </w:pPr>
    </w:p>
    <w:p>
      <w:pPr>
        <w:ind w:right="180" w:firstLine="1018"/>
        <w:spacing w:after="0" w:line="299" w:lineRule="auto"/>
        <w:rPr>
          <w:sz w:val="20"/>
          <w:szCs w:val="20"/>
          <w:color w:val="auto"/>
        </w:rPr>
      </w:pPr>
      <w:r>
        <w:rPr>
          <w:rFonts w:ascii="Arial" w:cs="Arial" w:eastAsia="Arial" w:hAnsi="Arial"/>
          <w:sz w:val="16"/>
          <w:szCs w:val="16"/>
          <w:color w:val="auto"/>
        </w:rPr>
        <w:t>As of November 12, 2021, our named executive officers, directors, holders of 5% or more of our capital stock and their respective affiliates beneficially hold approximately 64% of our outstanding stock, representing approximately 83%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jc w:val="both"/>
        <w:ind w:right="180" w:firstLine="1018"/>
        <w:spacing w:after="0" w:line="279" w:lineRule="auto"/>
        <w:rPr>
          <w:sz w:val="20"/>
          <w:szCs w:val="20"/>
          <w:color w:val="auto"/>
        </w:rPr>
      </w:pPr>
      <w:r>
        <w:rPr>
          <w:rFonts w:ascii="Arial" w:cs="Arial" w:eastAsia="Arial" w:hAnsi="Arial"/>
          <w:sz w:val="18"/>
          <w:szCs w:val="18"/>
          <w:color w:val="auto"/>
        </w:rPr>
        <w:t>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3"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jc w:val="both"/>
        <w:ind w:right="160" w:firstLine="1018"/>
        <w:spacing w:after="0" w:line="27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w:t>
      </w:r>
    </w:p>
    <w:p>
      <w:pPr>
        <w:spacing w:after="0" w:line="18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ind w:right="180" w:firstLine="1018"/>
        <w:spacing w:after="0" w:line="305"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devotes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right="60" w:firstLine="1018"/>
        <w:spacing w:after="0" w:line="299"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w:t>
      </w:r>
    </w:p>
    <w:p>
      <w:pPr>
        <w:spacing w:after="0" w:line="2"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6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right="320" w:firstLine="1018"/>
        <w:spacing w:after="0" w:line="272" w:lineRule="auto"/>
        <w:rPr>
          <w:sz w:val="20"/>
          <w:szCs w:val="20"/>
          <w:color w:val="auto"/>
        </w:rPr>
      </w:pPr>
      <w:r>
        <w:rPr>
          <w:rFonts w:ascii="Arial" w:cs="Arial" w:eastAsia="Arial" w:hAnsi="Arial"/>
          <w:sz w:val="18"/>
          <w:szCs w:val="18"/>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w:t>
      </w:r>
    </w:p>
    <w:p>
      <w:pPr>
        <w:spacing w:after="0" w:line="191" w:lineRule="exact"/>
        <w:rPr>
          <w:sz w:val="20"/>
          <w:szCs w:val="20"/>
          <w:color w:val="auto"/>
        </w:rPr>
      </w:pPr>
    </w:p>
    <w:p>
      <w:pPr>
        <w:ind w:right="280"/>
        <w:spacing w:after="0" w:line="399"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1"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right="660"/>
        <w:spacing w:after="0" w:line="293" w:lineRule="auto"/>
        <w:rPr>
          <w:sz w:val="20"/>
          <w:szCs w:val="20"/>
          <w:color w:val="auto"/>
        </w:rPr>
      </w:pPr>
      <w:r>
        <w:rPr>
          <w:rFonts w:ascii="Arial" w:cs="Arial" w:eastAsia="Arial" w:hAnsi="Arial"/>
          <w:sz w:val="18"/>
          <w:szCs w:val="18"/>
          <w:color w:val="auto"/>
        </w:rPr>
        <w:t>on executive compensation and stockholder approval of any golden parachute payments not previously approved and extended adoption period for accounting pronouncements.</w:t>
      </w:r>
    </w:p>
    <w:p>
      <w:pPr>
        <w:spacing w:after="0" w:line="170"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1"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3"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25" w:lineRule="exact"/>
        <w:rPr>
          <w:sz w:val="20"/>
          <w:szCs w:val="20"/>
          <w:color w:val="auto"/>
        </w:rPr>
      </w:pPr>
    </w:p>
    <w:p>
      <w:pPr>
        <w:ind w:right="240" w:firstLine="1018"/>
        <w:spacing w:after="0" w:line="3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25" w:lineRule="exact"/>
        <w:rPr>
          <w:sz w:val="20"/>
          <w:szCs w:val="20"/>
          <w:color w:val="auto"/>
        </w:rPr>
      </w:pPr>
    </w:p>
    <w:p>
      <w:pPr>
        <w:ind w:left="1360" w:right="40"/>
        <w:spacing w:after="0" w:line="279" w:lineRule="auto"/>
        <w:rPr>
          <w:sz w:val="20"/>
          <w:szCs w:val="20"/>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39" w:lineRule="exact"/>
        <w:rPr>
          <w:sz w:val="20"/>
          <w:szCs w:val="20"/>
          <w:color w:val="auto"/>
        </w:rPr>
      </w:pPr>
    </w:p>
    <w:p>
      <w:pPr>
        <w:ind w:left="1360"/>
        <w:spacing w:after="0" w:line="279" w:lineRule="auto"/>
        <w:rPr>
          <w:sz w:val="20"/>
          <w:szCs w:val="20"/>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3" w:lineRule="exact"/>
        <w:rPr>
          <w:sz w:val="20"/>
          <w:szCs w:val="20"/>
          <w:color w:val="auto"/>
        </w:rPr>
      </w:pPr>
    </w:p>
    <w:p>
      <w:pPr>
        <w:ind w:left="1360" w:right="300"/>
        <w:spacing w:after="0" w:line="279" w:lineRule="auto"/>
        <w:rPr>
          <w:sz w:val="20"/>
          <w:szCs w:val="20"/>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183" w:lineRule="exact"/>
        <w:rPr>
          <w:sz w:val="20"/>
          <w:szCs w:val="20"/>
          <w:color w:val="auto"/>
        </w:rPr>
      </w:pPr>
    </w:p>
    <w:p>
      <w:pPr>
        <w:ind w:left="1360" w:right="660"/>
        <w:spacing w:after="0" w:line="359" w:lineRule="auto"/>
        <w:rPr>
          <w:sz w:val="20"/>
          <w:szCs w:val="20"/>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authorization of three classes of common stock as described above.</w:t>
      </w:r>
    </w:p>
    <w:p>
      <w:pPr>
        <w:spacing w:after="0" w:line="239" w:lineRule="exact"/>
        <w:rPr>
          <w:sz w:val="20"/>
          <w:szCs w:val="20"/>
          <w:color w:val="auto"/>
        </w:rPr>
      </w:pPr>
    </w:p>
    <w:p>
      <w:pPr>
        <w:ind w:right="60" w:firstLine="1018"/>
        <w:spacing w:after="0" w:line="288" w:lineRule="auto"/>
        <w:rPr>
          <w:sz w:val="20"/>
          <w:szCs w:val="20"/>
          <w:color w:val="auto"/>
        </w:rPr>
      </w:pPr>
      <w:r>
        <w:rPr>
          <w:rFonts w:ascii="Arial" w:cs="Arial" w:eastAsia="Arial" w:hAnsi="Arial"/>
          <w:sz w:val="17"/>
          <w:szCs w:val="17"/>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81"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right="500" w:firstLine="1018"/>
        <w:spacing w:after="0" w:line="26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(1) any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right="180"/>
        <w:spacing w:after="0" w:line="287" w:lineRule="auto"/>
        <w:rPr>
          <w:sz w:val="20"/>
          <w:szCs w:val="20"/>
          <w:color w:val="auto"/>
        </w:rPr>
      </w:pPr>
      <w:r>
        <w:rPr>
          <w:rFonts w:ascii="Arial" w:cs="Arial" w:eastAsia="Arial" w:hAnsi="Arial"/>
          <w:sz w:val="17"/>
          <w:szCs w:val="17"/>
          <w:color w:val="auto"/>
        </w:rPr>
        <w:t>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82" w:lineRule="exact"/>
        <w:rPr>
          <w:sz w:val="20"/>
          <w:szCs w:val="20"/>
          <w:color w:val="auto"/>
        </w:rPr>
      </w:pPr>
    </w:p>
    <w:p>
      <w:pPr>
        <w:ind w:right="120" w:firstLine="1018"/>
        <w:spacing w:after="0" w:line="285"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357"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3"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We are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needs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6" w:lineRule="exact"/>
        <w:rPr>
          <w:sz w:val="20"/>
          <w:szCs w:val="20"/>
          <w:color w:val="auto"/>
        </w:rPr>
      </w:pPr>
    </w:p>
    <w:p>
      <w:pPr>
        <w:ind w:right="140" w:firstLine="1018"/>
        <w:spacing w:after="0" w:line="266"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jc w:val="both"/>
        <w:ind w:right="140"/>
        <w:spacing w:after="0" w:line="279"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3"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35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jc w:val="both"/>
        <w:ind w:right="320" w:firstLine="1018"/>
        <w:spacing w:after="0" w:line="279"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the valuation of our deferred tax assets and liabilities;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expected timing and amount of the release of any tax valuation allowances;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tax effects of equity-based compensation;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tax laws, regulations or interpretations thereof; or</w:t>
      </w:r>
    </w:p>
    <w:p>
      <w:pPr>
        <w:spacing w:after="0" w:line="239" w:lineRule="exact"/>
        <w:rPr>
          <w:sz w:val="20"/>
          <w:szCs w:val="20"/>
          <w:color w:val="auto"/>
        </w:rPr>
      </w:pPr>
    </w:p>
    <w:p>
      <w:pPr>
        <w:ind w:left="1360" w:right="80"/>
        <w:spacing w:after="0" w:line="293" w:lineRule="auto"/>
        <w:rPr>
          <w:sz w:val="20"/>
          <w:szCs w:val="20"/>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right="520" w:firstLine="1018"/>
        <w:spacing w:after="0" w:line="324"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39" w:lineRule="exact"/>
        <w:rPr>
          <w:sz w:val="20"/>
          <w:szCs w:val="20"/>
          <w:color w:val="auto"/>
        </w:rPr>
      </w:pPr>
    </w:p>
    <w:p>
      <w:pPr>
        <w:ind w:right="60" w:firstLine="1018"/>
        <w:spacing w:after="0" w:line="311"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16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3"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jc w:val="both"/>
        <w:ind w:right="180"/>
        <w:spacing w:after="0" w:line="329" w:lineRule="auto"/>
        <w:rPr>
          <w:sz w:val="20"/>
          <w:szCs w:val="20"/>
          <w:color w:val="auto"/>
        </w:rPr>
      </w:pPr>
      <w:r>
        <w:rPr>
          <w:rFonts w:ascii="Arial" w:cs="Arial" w:eastAsia="Arial" w:hAnsi="Arial"/>
          <w:sz w:val="16"/>
          <w:szCs w:val="16"/>
          <w:color w:val="auto"/>
        </w:rPr>
        <w:t>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right="80" w:firstLine="1018"/>
        <w:spacing w:after="0" w:line="308"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3"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9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right="60" w:firstLine="1018"/>
        <w:spacing w:after="0" w:line="303" w:lineRule="auto"/>
        <w:rPr>
          <w:sz w:val="20"/>
          <w:szCs w:val="20"/>
          <w:color w:val="auto"/>
        </w:rPr>
      </w:pPr>
      <w:r>
        <w:rPr>
          <w:rFonts w:ascii="Arial" w:cs="Arial" w:eastAsia="Arial" w:hAnsi="Arial"/>
          <w:sz w:val="17"/>
          <w:szCs w:val="17"/>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64"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91" w:lineRule="exact"/>
        <w:rPr>
          <w:sz w:val="20"/>
          <w:szCs w:val="20"/>
          <w:color w:val="auto"/>
        </w:rPr>
      </w:pPr>
    </w:p>
    <w:p>
      <w:pPr>
        <w:ind w:right="40" w:firstLine="1018"/>
        <w:spacing w:after="0" w:line="329"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During the three months ended September 30, 2021, we issued and sold the following unregistered securities:</w:t>
      </w:r>
    </w:p>
    <w:p>
      <w:pPr>
        <w:spacing w:after="0" w:line="239" w:lineRule="exact"/>
        <w:rPr>
          <w:sz w:val="20"/>
          <w:szCs w:val="20"/>
          <w:color w:val="auto"/>
        </w:rPr>
      </w:pPr>
    </w:p>
    <w:p>
      <w:pPr>
        <w:jc w:val="both"/>
        <w:ind w:right="100" w:firstLine="1018"/>
        <w:spacing w:after="0" w:line="279" w:lineRule="auto"/>
        <w:rPr>
          <w:sz w:val="20"/>
          <w:szCs w:val="20"/>
          <w:color w:val="auto"/>
        </w:rPr>
      </w:pPr>
      <w:r>
        <w:rPr>
          <w:rFonts w:ascii="Arial" w:cs="Arial" w:eastAsia="Arial" w:hAnsi="Arial"/>
          <w:sz w:val="18"/>
          <w:szCs w:val="18"/>
          <w:color w:val="auto"/>
        </w:rPr>
        <w:t>On July 19, 2021, we issued 5,931 common units of Rani LLC (that were subsequently exchanged for 3,136 shares of our Class A common stock) to a warrant holder upon full exercise of the warrants held by GV 2017, L.P. with an exercise price of $2.18 per unit for an aggregate purchase price of $12,930.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was exempt from registration under the Securities Act in reliance on Section 4(a)(2) of the Securities Act.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43" w:lineRule="exact"/>
        <w:rPr>
          <w:sz w:val="20"/>
          <w:szCs w:val="20"/>
          <w:color w:val="auto"/>
        </w:rPr>
      </w:pPr>
    </w:p>
    <w:p>
      <w:pPr>
        <w:ind w:right="80" w:firstLine="1018"/>
        <w:spacing w:after="0" w:line="266" w:lineRule="auto"/>
        <w:rPr>
          <w:sz w:val="20"/>
          <w:szCs w:val="20"/>
          <w:color w:val="auto"/>
        </w:rPr>
      </w:pPr>
      <w:r>
        <w:rPr>
          <w:rFonts w:ascii="Arial" w:cs="Arial" w:eastAsia="Arial" w:hAnsi="Arial"/>
          <w:sz w:val="18"/>
          <w:szCs w:val="18"/>
          <w:color w:val="auto"/>
        </w:rPr>
        <w:t>On July 29, 2021, the SEC declared effective our Registration Statement on Form S-1 (File No. 333-257809), as amended, filed in connection with our IPO. In connection with the IPO, we issued and sold 7,666,667 shares of our Class A common stock, which included 1,000,000 shares sold pursuant to the full exercise by the underwriters of their option to purchase additional shares, at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spacing w:after="0" w:line="290" w:lineRule="auto"/>
        <w:rPr>
          <w:sz w:val="20"/>
          <w:szCs w:val="20"/>
          <w:color w:val="auto"/>
        </w:rPr>
      </w:pPr>
      <w:r>
        <w:rPr>
          <w:rFonts w:ascii="Arial" w:cs="Arial" w:eastAsia="Arial" w:hAnsi="Arial"/>
          <w:sz w:val="17"/>
          <w:szCs w:val="17"/>
          <w:color w:val="auto"/>
        </w:rPr>
        <w:t>the initial public offering price to the public of $11.00 per share. The initial closing of the IPO occurred on August 3, 2021. The closing of the underwriters’ partial exercise of 500,000 shares of our Class A common stock occurred on August 11, 2021, and the closing of the underwriters’ exercise of their remaining option of 500,000 shares of our Class A common stock occurred on August 13, 2021. We received aggregate gross proceeds from the IPO of approximately $84.3 million, before deducting underwriting discounts and commissions of approximately $5.9 million and other expenses of approximately $4.8 million. BofA Securities, Inc., Stifel, Nicolaus &amp; Company, Incorporated, Cantor Fitzgerald &amp; Co. and Canaccord Genuity LLC acted as joint book-running managers for the offering. BTIG LLC acted as lead manager for the offering.</w:t>
      </w:r>
    </w:p>
    <w:p>
      <w:pPr>
        <w:spacing w:after="0" w:line="176" w:lineRule="exact"/>
        <w:rPr>
          <w:sz w:val="20"/>
          <w:szCs w:val="20"/>
          <w:color w:val="auto"/>
        </w:rPr>
      </w:pPr>
    </w:p>
    <w:p>
      <w:pPr>
        <w:ind w:right="220" w:firstLine="1018"/>
        <w:spacing w:after="0" w:line="293" w:lineRule="auto"/>
        <w:rPr>
          <w:sz w:val="20"/>
          <w:szCs w:val="20"/>
          <w:color w:val="auto"/>
        </w:rPr>
      </w:pPr>
      <w:r>
        <w:rPr>
          <w:rFonts w:ascii="Arial" w:cs="Arial" w:eastAsia="Arial" w:hAnsi="Arial"/>
          <w:sz w:val="18"/>
          <w:szCs w:val="18"/>
          <w:color w:val="auto"/>
        </w:rPr>
        <w:t>None of the expenses associated with the IPO were paid or are payable, directly or indirectly, to directors, officers, persons owning 10% or more of any class of equity securities, or to their associates.</w:t>
      </w:r>
    </w:p>
    <w:p>
      <w:pPr>
        <w:spacing w:after="0" w:line="170"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We used the proceeds from the IPO to purchase 7,666,667 newly issued Class A units of Rani LLC at a purchase price per LLC Interest equal to the IPO price per share of Class A common stock less the underwriting discounts and commissions. We have caused Rani LLC to use a portion of such proceeds to repay in full the $1.3 million of principal and interest related to the PPP Loan. There has been no material change in the planned use of proceeds from our IPO as described in the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31"/>
          </w:tcPr>
          <w:p>
            <w:pPr>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r>
      <w:tr>
        <w:trPr>
          <w:trHeight w:val="436"/>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28"/>
          </w:tcPr>
          <w:p>
            <w:pPr>
              <w:ind w:left="122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9940" w:type="dxa"/>
            <w:vAlign w:val="bottom"/>
            <w:tcBorders>
              <w:bottom w:val="single" w:sz="8" w:color="0000FF"/>
            </w:tcBorders>
            <w:gridSpan w:val="27"/>
          </w:tcPr>
          <w:p>
            <w:pPr>
              <w:spacing w:after="0" w:line="182" w:lineRule="exact"/>
              <w:rPr>
                <w:rFonts w:ascii="Arial" w:cs="Arial" w:eastAsia="Arial" w:hAnsi="Arial"/>
                <w:sz w:val="18"/>
                <w:szCs w:val="18"/>
                <w:color w:val="0000FF"/>
                <w:w w:val="91"/>
              </w:rPr>
            </w:pPr>
            <w:hyperlink r:id="rId314">
              <w:r>
                <w:rPr>
                  <w:rFonts w:ascii="Arial" w:cs="Arial" w:eastAsia="Arial" w:hAnsi="Arial"/>
                  <w:sz w:val="18"/>
                  <w:szCs w:val="18"/>
                  <w:color w:val="0000FF"/>
                  <w:w w:val="91"/>
                </w:rPr>
                <w:t>Amended and Restated Certificate of Incorporation of the Registrant as currently in effect (incorporated by reference to Exhibit 3.1 to the</w:t>
              </w:r>
            </w:hyperlink>
          </w:p>
        </w:tc>
        <w:tc>
          <w:tcPr>
            <w:tcW w:w="140" w:type="dxa"/>
            <w:vAlign w:val="bottom"/>
            <w:gridSpan w:val="3"/>
          </w:tcPr>
          <w:p>
            <w:pPr>
              <w:spacing w:after="0"/>
              <w:rPr>
                <w:sz w:val="15"/>
                <w:szCs w:val="15"/>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Arial" w:cs="Arial" w:eastAsia="Arial" w:hAnsi="Arial"/>
                <w:sz w:val="18"/>
                <w:szCs w:val="18"/>
                <w:color w:val="0000FF"/>
              </w:rPr>
            </w:pPr>
            <w:hyperlink r:id="rId314">
              <w:r>
                <w:rPr>
                  <w:rFonts w:ascii="Arial" w:cs="Arial" w:eastAsia="Arial" w:hAnsi="Arial"/>
                  <w:sz w:val="18"/>
                  <w:szCs w:val="18"/>
                  <w:color w:val="0000FF"/>
                </w:rPr>
                <w:t>Registrant’s Registration Statement on Form S-1, as amended, filed with the SEC on July 26,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400" w:type="dxa"/>
            <w:vAlign w:val="bottom"/>
            <w:tcBorders>
              <w:bottom w:val="single" w:sz="8" w:color="0000FF"/>
            </w:tcBorders>
            <w:gridSpan w:val="18"/>
          </w:tcPr>
          <w:p>
            <w:pPr>
              <w:spacing w:after="0"/>
              <w:rPr>
                <w:rFonts w:ascii="Arial" w:cs="Arial" w:eastAsia="Arial" w:hAnsi="Arial"/>
                <w:sz w:val="18"/>
                <w:szCs w:val="18"/>
                <w:color w:val="0000FF"/>
                <w:w w:val="91"/>
              </w:rPr>
            </w:pPr>
            <w:hyperlink r:id="rId315">
              <w:r>
                <w:rPr>
                  <w:rFonts w:ascii="Arial" w:cs="Arial" w:eastAsia="Arial" w:hAnsi="Arial"/>
                  <w:sz w:val="18"/>
                  <w:szCs w:val="18"/>
                  <w:color w:val="0000FF"/>
                  <w:w w:val="91"/>
                </w:rPr>
                <w:t>Amended and Restated Bylaws of the Registrant as currently in effect (incorporated by reference to Exhibit 3.4 to the Registrant’s</w:t>
              </w:r>
            </w:hyperlink>
          </w:p>
        </w:tc>
        <w:tc>
          <w:tcPr>
            <w:tcW w:w="680" w:type="dxa"/>
            <w:vAlign w:val="bottom"/>
            <w:gridSpan w:val="12"/>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tcBorders>
              <w:bottom w:val="single" w:sz="8" w:color="0000FF"/>
            </w:tcBorders>
            <w:gridSpan w:val="8"/>
          </w:tcPr>
          <w:p>
            <w:pPr>
              <w:spacing w:after="0"/>
              <w:rPr>
                <w:rFonts w:ascii="Arial" w:cs="Arial" w:eastAsia="Arial" w:hAnsi="Arial"/>
                <w:sz w:val="18"/>
                <w:szCs w:val="18"/>
                <w:color w:val="0000FF"/>
                <w:w w:val="90"/>
              </w:rPr>
            </w:pPr>
            <w:hyperlink r:id="rId315">
              <w:r>
                <w:rPr>
                  <w:rFonts w:ascii="Arial" w:cs="Arial" w:eastAsia="Arial" w:hAnsi="Arial"/>
                  <w:sz w:val="18"/>
                  <w:szCs w:val="18"/>
                  <w:color w:val="0000FF"/>
                  <w:w w:val="90"/>
                </w:rPr>
                <w:t>Registration Statement on Form S-1, as amended, filed with the SEC on July 9, 2021).</w:t>
              </w:r>
            </w:hyperlink>
          </w:p>
        </w:tc>
        <w:tc>
          <w:tcPr>
            <w:tcW w:w="20" w:type="dxa"/>
            <w:vAlign w:val="bottom"/>
            <w:tcBorders>
              <w:bottom w:val="single" w:sz="8" w:color="0000EE"/>
            </w:tcBorders>
          </w:tcPr>
          <w:p>
            <w:pPr>
              <w:spacing w:after="0"/>
              <w:rPr>
                <w:sz w:val="18"/>
                <w:szCs w:val="18"/>
                <w:color w:val="auto"/>
              </w:rPr>
            </w:pPr>
          </w:p>
        </w:tc>
        <w:tc>
          <w:tcPr>
            <w:tcW w:w="3840" w:type="dxa"/>
            <w:vAlign w:val="bottom"/>
            <w:gridSpan w:val="21"/>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9720" w:type="dxa"/>
            <w:vAlign w:val="bottom"/>
            <w:tcBorders>
              <w:bottom w:val="single" w:sz="8" w:color="0000FF"/>
            </w:tcBorders>
            <w:gridSpan w:val="24"/>
          </w:tcPr>
          <w:p>
            <w:pPr>
              <w:spacing w:after="0"/>
              <w:rPr>
                <w:rFonts w:ascii="Arial" w:cs="Arial" w:eastAsia="Arial" w:hAnsi="Arial"/>
                <w:sz w:val="18"/>
                <w:szCs w:val="18"/>
                <w:color w:val="0000FF"/>
                <w:w w:val="91"/>
              </w:rPr>
            </w:pPr>
            <w:hyperlink r:id="rId316">
              <w:r>
                <w:rPr>
                  <w:rFonts w:ascii="Arial" w:cs="Arial" w:eastAsia="Arial" w:hAnsi="Arial"/>
                  <w:sz w:val="18"/>
                  <w:szCs w:val="18"/>
                  <w:color w:val="0000FF"/>
                  <w:w w:val="91"/>
                </w:rPr>
                <w:t>Specimen Class A common stock certificate of the Registrant (incorporated by reference to Exhibit 4.1 to the Registrant’s Registration</w:t>
              </w:r>
            </w:hyperlink>
          </w:p>
        </w:tc>
        <w:tc>
          <w:tcPr>
            <w:tcW w:w="360" w:type="dxa"/>
            <w:vAlign w:val="bottom"/>
            <w:gridSpan w:val="6"/>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Borders>
              <w:bottom w:val="single" w:sz="8" w:color="0000FF"/>
            </w:tcBorders>
            <w:gridSpan w:val="6"/>
          </w:tcPr>
          <w:p>
            <w:pPr>
              <w:spacing w:after="0"/>
              <w:rPr>
                <w:rFonts w:ascii="Arial" w:cs="Arial" w:eastAsia="Arial" w:hAnsi="Arial"/>
                <w:sz w:val="18"/>
                <w:szCs w:val="18"/>
                <w:color w:val="0000FF"/>
                <w:w w:val="89"/>
              </w:rPr>
            </w:pPr>
            <w:hyperlink r:id="rId316">
              <w:r>
                <w:rPr>
                  <w:rFonts w:ascii="Arial" w:cs="Arial" w:eastAsia="Arial" w:hAnsi="Arial"/>
                  <w:sz w:val="18"/>
                  <w:szCs w:val="18"/>
                  <w:color w:val="0000FF"/>
                  <w:w w:val="89"/>
                </w:rPr>
                <w:t>Statement on Form S-1, as amended, filed with the SEC on July 26, 2021).</w:t>
              </w:r>
            </w:hyperlink>
          </w:p>
        </w:tc>
        <w:tc>
          <w:tcPr>
            <w:tcW w:w="20" w:type="dxa"/>
            <w:vAlign w:val="bottom"/>
            <w:tcBorders>
              <w:bottom w:val="single" w:sz="8" w:color="0000EE"/>
            </w:tcBorders>
          </w:tcPr>
          <w:p>
            <w:pPr>
              <w:spacing w:after="0"/>
              <w:rPr>
                <w:sz w:val="18"/>
                <w:szCs w:val="18"/>
                <w:color w:val="auto"/>
              </w:rPr>
            </w:pPr>
          </w:p>
        </w:tc>
        <w:tc>
          <w:tcPr>
            <w:tcW w:w="4680" w:type="dxa"/>
            <w:vAlign w:val="bottom"/>
            <w:gridSpan w:val="23"/>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9600" w:type="dxa"/>
            <w:vAlign w:val="bottom"/>
            <w:tcBorders>
              <w:bottom w:val="single" w:sz="8" w:color="0000FF"/>
            </w:tcBorders>
            <w:gridSpan w:val="20"/>
          </w:tcPr>
          <w:p>
            <w:pPr>
              <w:spacing w:after="0"/>
              <w:rPr>
                <w:rFonts w:ascii="Arial" w:cs="Arial" w:eastAsia="Arial" w:hAnsi="Arial"/>
                <w:sz w:val="18"/>
                <w:szCs w:val="18"/>
                <w:color w:val="0000FF"/>
                <w:w w:val="91"/>
              </w:rPr>
            </w:pPr>
            <w:hyperlink r:id="rId317">
              <w:r>
                <w:rPr>
                  <w:rFonts w:ascii="Arial" w:cs="Arial" w:eastAsia="Arial" w:hAnsi="Arial"/>
                  <w:sz w:val="18"/>
                  <w:szCs w:val="18"/>
                  <w:color w:val="0000FF"/>
                  <w:w w:val="91"/>
                </w:rPr>
                <w:t>Tax Receivable Agreement, effective as of August 3, 2021 (incorporated by reference to Exhibit 10.1 to the Registrant’s Registration</w:t>
              </w:r>
            </w:hyperlink>
          </w:p>
        </w:tc>
        <w:tc>
          <w:tcPr>
            <w:tcW w:w="480" w:type="dxa"/>
            <w:vAlign w:val="bottom"/>
            <w:gridSpan w:val="10"/>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Borders>
              <w:bottom w:val="single" w:sz="8" w:color="0000FF"/>
            </w:tcBorders>
            <w:gridSpan w:val="6"/>
          </w:tcPr>
          <w:p>
            <w:pPr>
              <w:spacing w:after="0"/>
              <w:rPr>
                <w:rFonts w:ascii="Arial" w:cs="Arial" w:eastAsia="Arial" w:hAnsi="Arial"/>
                <w:sz w:val="18"/>
                <w:szCs w:val="18"/>
                <w:color w:val="0000FF"/>
                <w:w w:val="89"/>
              </w:rPr>
            </w:pPr>
            <w:hyperlink r:id="rId317">
              <w:r>
                <w:rPr>
                  <w:rFonts w:ascii="Arial" w:cs="Arial" w:eastAsia="Arial" w:hAnsi="Arial"/>
                  <w:sz w:val="18"/>
                  <w:szCs w:val="18"/>
                  <w:color w:val="0000FF"/>
                  <w:w w:val="89"/>
                </w:rPr>
                <w:t>Statement on Form S-1, as amended, filed with the SEC on July 16, 2021).</w:t>
              </w:r>
            </w:hyperlink>
          </w:p>
        </w:tc>
        <w:tc>
          <w:tcPr>
            <w:tcW w:w="20" w:type="dxa"/>
            <w:vAlign w:val="bottom"/>
            <w:tcBorders>
              <w:bottom w:val="single" w:sz="8" w:color="0000EE"/>
            </w:tcBorders>
          </w:tcPr>
          <w:p>
            <w:pPr>
              <w:spacing w:after="0"/>
              <w:rPr>
                <w:sz w:val="18"/>
                <w:szCs w:val="18"/>
                <w:color w:val="auto"/>
              </w:rPr>
            </w:pPr>
          </w:p>
        </w:tc>
        <w:tc>
          <w:tcPr>
            <w:tcW w:w="4680" w:type="dxa"/>
            <w:vAlign w:val="bottom"/>
            <w:gridSpan w:val="23"/>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9240" w:type="dxa"/>
            <w:vAlign w:val="bottom"/>
            <w:tcBorders>
              <w:bottom w:val="single" w:sz="8" w:color="0000FF"/>
            </w:tcBorders>
            <w:gridSpan w:val="17"/>
          </w:tcPr>
          <w:p>
            <w:pPr>
              <w:spacing w:after="0"/>
              <w:rPr>
                <w:rFonts w:ascii="Arial" w:cs="Arial" w:eastAsia="Arial" w:hAnsi="Arial"/>
                <w:sz w:val="18"/>
                <w:szCs w:val="18"/>
                <w:color w:val="0000FF"/>
                <w:w w:val="91"/>
              </w:rPr>
            </w:pPr>
            <w:hyperlink r:id="rId318">
              <w:r>
                <w:rPr>
                  <w:rFonts w:ascii="Arial" w:cs="Arial" w:eastAsia="Arial" w:hAnsi="Arial"/>
                  <w:sz w:val="18"/>
                  <w:szCs w:val="18"/>
                  <w:color w:val="0000FF"/>
                  <w:w w:val="91"/>
                </w:rPr>
                <w:t>Class B Unit Exchange Agreement, effective as of August 3, 2021 (incorporated by reference to Exhibit 10.2 to the Registrant’s</w:t>
              </w:r>
            </w:hyperlink>
          </w:p>
        </w:tc>
        <w:tc>
          <w:tcPr>
            <w:tcW w:w="840" w:type="dxa"/>
            <w:vAlign w:val="bottom"/>
            <w:gridSpan w:val="13"/>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Arial" w:cs="Arial" w:eastAsia="Arial" w:hAnsi="Arial"/>
                <w:sz w:val="18"/>
                <w:szCs w:val="18"/>
                <w:color w:val="0000FF"/>
              </w:rPr>
            </w:pPr>
            <w:hyperlink r:id="rId318">
              <w:r>
                <w:rPr>
                  <w:rFonts w:ascii="Arial" w:cs="Arial" w:eastAsia="Arial" w:hAnsi="Arial"/>
                  <w:sz w:val="18"/>
                  <w:szCs w:val="18"/>
                  <w:color w:val="0000FF"/>
                </w:rPr>
                <w:t>Registration Statement on Form S-1, as amended, filed with the SEC on July 16,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9880" w:type="dxa"/>
            <w:vAlign w:val="bottom"/>
            <w:tcBorders>
              <w:bottom w:val="single" w:sz="8" w:color="0000FF"/>
            </w:tcBorders>
            <w:gridSpan w:val="26"/>
          </w:tcPr>
          <w:p>
            <w:pPr>
              <w:spacing w:after="0"/>
              <w:rPr>
                <w:rFonts w:ascii="Arial" w:cs="Arial" w:eastAsia="Arial" w:hAnsi="Arial"/>
                <w:sz w:val="18"/>
                <w:szCs w:val="18"/>
                <w:color w:val="0000FF"/>
                <w:w w:val="91"/>
              </w:rPr>
            </w:pPr>
            <w:hyperlink r:id="rId319">
              <w:r>
                <w:rPr>
                  <w:rFonts w:ascii="Arial" w:cs="Arial" w:eastAsia="Arial" w:hAnsi="Arial"/>
                  <w:sz w:val="18"/>
                  <w:szCs w:val="18"/>
                  <w:color w:val="0000FF"/>
                  <w:w w:val="91"/>
                </w:rPr>
                <w:t>Registration Rights Agreement, effective as of August 3, 2021 (incorporated by reference to Exhibit 10.3 to the Registrant’s Registration</w:t>
              </w:r>
            </w:hyperlink>
          </w:p>
        </w:tc>
        <w:tc>
          <w:tcPr>
            <w:tcW w:w="200" w:type="dxa"/>
            <w:vAlign w:val="bottom"/>
            <w:gridSpan w:val="4"/>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Borders>
              <w:bottom w:val="single" w:sz="8" w:color="0000FF"/>
            </w:tcBorders>
            <w:gridSpan w:val="6"/>
          </w:tcPr>
          <w:p>
            <w:pPr>
              <w:spacing w:after="0"/>
              <w:rPr>
                <w:rFonts w:ascii="Arial" w:cs="Arial" w:eastAsia="Arial" w:hAnsi="Arial"/>
                <w:sz w:val="18"/>
                <w:szCs w:val="18"/>
                <w:color w:val="0000FF"/>
                <w:w w:val="89"/>
              </w:rPr>
            </w:pPr>
            <w:hyperlink r:id="rId319">
              <w:r>
                <w:rPr>
                  <w:rFonts w:ascii="Arial" w:cs="Arial" w:eastAsia="Arial" w:hAnsi="Arial"/>
                  <w:sz w:val="18"/>
                  <w:szCs w:val="18"/>
                  <w:color w:val="0000FF"/>
                  <w:w w:val="89"/>
                </w:rPr>
                <w:t>Statement on Form S-1, as amended, filed with the SEC on July 16, 2021).</w:t>
              </w:r>
            </w:hyperlink>
          </w:p>
        </w:tc>
        <w:tc>
          <w:tcPr>
            <w:tcW w:w="20" w:type="dxa"/>
            <w:vAlign w:val="bottom"/>
            <w:tcBorders>
              <w:bottom w:val="single" w:sz="8" w:color="0000EE"/>
            </w:tcBorders>
          </w:tcPr>
          <w:p>
            <w:pPr>
              <w:spacing w:after="0"/>
              <w:rPr>
                <w:sz w:val="18"/>
                <w:szCs w:val="18"/>
                <w:color w:val="auto"/>
              </w:rPr>
            </w:pPr>
          </w:p>
        </w:tc>
        <w:tc>
          <w:tcPr>
            <w:tcW w:w="4680" w:type="dxa"/>
            <w:vAlign w:val="bottom"/>
            <w:gridSpan w:val="23"/>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9220" w:type="dxa"/>
            <w:vAlign w:val="bottom"/>
            <w:tcBorders>
              <w:bottom w:val="single" w:sz="8" w:color="0000FF"/>
            </w:tcBorders>
            <w:gridSpan w:val="16"/>
          </w:tcPr>
          <w:p>
            <w:pPr>
              <w:spacing w:after="0"/>
              <w:rPr>
                <w:rFonts w:ascii="Arial" w:cs="Arial" w:eastAsia="Arial" w:hAnsi="Arial"/>
                <w:sz w:val="18"/>
                <w:szCs w:val="18"/>
                <w:color w:val="0000FF"/>
                <w:w w:val="92"/>
              </w:rPr>
            </w:pPr>
            <w:hyperlink r:id="rId320">
              <w:r>
                <w:rPr>
                  <w:rFonts w:ascii="Arial" w:cs="Arial" w:eastAsia="Arial" w:hAnsi="Arial"/>
                  <w:sz w:val="18"/>
                  <w:szCs w:val="18"/>
                  <w:color w:val="0000FF"/>
                  <w:w w:val="92"/>
                </w:rPr>
                <w:t>Fifth Amended and Restated Limited Liability Company Agreement of Rani Therapeutics, LLC, effective as of August 3, 2021</w:t>
              </w:r>
            </w:hyperlink>
          </w:p>
        </w:tc>
        <w:tc>
          <w:tcPr>
            <w:tcW w:w="860" w:type="dxa"/>
            <w:vAlign w:val="bottom"/>
            <w:gridSpan w:val="14"/>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tcBorders>
              <w:bottom w:val="single" w:sz="8" w:color="0000FF"/>
            </w:tcBorders>
            <w:gridSpan w:val="28"/>
          </w:tcPr>
          <w:p>
            <w:pPr>
              <w:spacing w:after="0"/>
              <w:rPr>
                <w:rFonts w:ascii="Arial" w:cs="Arial" w:eastAsia="Arial" w:hAnsi="Arial"/>
                <w:sz w:val="18"/>
                <w:szCs w:val="18"/>
                <w:color w:val="0000FF"/>
                <w:w w:val="91"/>
              </w:rPr>
            </w:pPr>
            <w:hyperlink r:id="rId320">
              <w:r>
                <w:rPr>
                  <w:rFonts w:ascii="Arial" w:cs="Arial" w:eastAsia="Arial" w:hAnsi="Arial"/>
                  <w:sz w:val="18"/>
                  <w:szCs w:val="18"/>
                  <w:color w:val="0000FF"/>
                  <w:w w:val="91"/>
                </w:rPr>
                <w:t>(incorporated by reference to Exhibit 10.4 to the Registrant’s Registration Statement on Form S-1, as amended, filed with the SEC on July</w:t>
              </w:r>
            </w:hyperlink>
          </w:p>
        </w:tc>
        <w:tc>
          <w:tcPr>
            <w:tcW w:w="80" w:type="dxa"/>
            <w:vAlign w:val="bottom"/>
            <w:gridSpan w:val="2"/>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FF"/>
                <w:w w:val="86"/>
              </w:rPr>
            </w:pPr>
            <w:hyperlink r:id="rId320">
              <w:r>
                <w:rPr>
                  <w:rFonts w:ascii="Arial" w:cs="Arial" w:eastAsia="Arial" w:hAnsi="Arial"/>
                  <w:sz w:val="18"/>
                  <w:szCs w:val="18"/>
                  <w:color w:val="0000FF"/>
                  <w:w w:val="86"/>
                </w:rPr>
                <w:t>16, 2021).</w:t>
              </w:r>
            </w:hyperlink>
          </w:p>
        </w:tc>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9880" w:type="dxa"/>
            <w:vAlign w:val="bottom"/>
            <w:tcBorders>
              <w:bottom w:val="single" w:sz="8" w:color="0000FF"/>
            </w:tcBorders>
            <w:gridSpan w:val="26"/>
          </w:tcPr>
          <w:p>
            <w:pPr>
              <w:spacing w:after="0"/>
              <w:rPr>
                <w:rFonts w:ascii="Arial" w:cs="Arial" w:eastAsia="Arial" w:hAnsi="Arial"/>
                <w:sz w:val="18"/>
                <w:szCs w:val="18"/>
                <w:color w:val="0000FF"/>
                <w:w w:val="91"/>
              </w:rPr>
            </w:pPr>
            <w:hyperlink r:id="rId321">
              <w:r>
                <w:rPr>
                  <w:rFonts w:ascii="Arial" w:cs="Arial" w:eastAsia="Arial" w:hAnsi="Arial"/>
                  <w:sz w:val="18"/>
                  <w:szCs w:val="18"/>
                  <w:color w:val="0000FF"/>
                  <w:w w:val="91"/>
                </w:rPr>
                <w:t>Form of Indemnification Agreement between the Registrant and each of its directors and executive officers (incorporated by reference to</w:t>
              </w:r>
            </w:hyperlink>
          </w:p>
        </w:tc>
        <w:tc>
          <w:tcPr>
            <w:tcW w:w="200" w:type="dxa"/>
            <w:vAlign w:val="bottom"/>
            <w:gridSpan w:val="4"/>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Arial" w:cs="Arial" w:eastAsia="Arial" w:hAnsi="Arial"/>
                <w:sz w:val="18"/>
                <w:szCs w:val="18"/>
                <w:color w:val="0000FF"/>
              </w:rPr>
            </w:pPr>
            <w:hyperlink r:id="rId321">
              <w:r>
                <w:rPr>
                  <w:rFonts w:ascii="Arial" w:cs="Arial" w:eastAsia="Arial" w:hAnsi="Arial"/>
                  <w:sz w:val="18"/>
                  <w:szCs w:val="18"/>
                  <w:color w:val="0000FF"/>
                </w:rPr>
                <w:t>Exhibit 10.4 to the Registrant’s Registration Statement on Form S-1, filed with the SEC on July 9,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EE"/>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0060" w:type="dxa"/>
            <w:vAlign w:val="bottom"/>
            <w:tcBorders>
              <w:bottom w:val="single" w:sz="8" w:color="0000FF"/>
            </w:tcBorders>
            <w:gridSpan w:val="29"/>
          </w:tcPr>
          <w:p>
            <w:pPr>
              <w:spacing w:after="0"/>
              <w:rPr>
                <w:rFonts w:ascii="Arial" w:cs="Arial" w:eastAsia="Arial" w:hAnsi="Arial"/>
                <w:sz w:val="18"/>
                <w:szCs w:val="18"/>
                <w:color w:val="0000FF"/>
                <w:w w:val="91"/>
              </w:rPr>
            </w:pPr>
            <w:hyperlink r:id="rId322">
              <w:r>
                <w:rPr>
                  <w:rFonts w:ascii="Arial" w:cs="Arial" w:eastAsia="Arial" w:hAnsi="Arial"/>
                  <w:sz w:val="18"/>
                  <w:szCs w:val="18"/>
                  <w:color w:val="0000FF"/>
                  <w:w w:val="91"/>
                </w:rPr>
                <w:t>Rani Therapeutics Holdings, Inc. 2021 Equity Incentive Plan and forms of agreement thereunder (incorporated by reference to Exhibit 10.7</w:t>
              </w:r>
            </w:hyperlink>
          </w:p>
        </w:tc>
        <w:tc>
          <w:tcPr>
            <w:tcW w:w="20" w:type="dxa"/>
            <w:vAlign w:val="bottom"/>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60" w:type="dxa"/>
            <w:vAlign w:val="bottom"/>
            <w:tcBorders>
              <w:bottom w:val="single" w:sz="8" w:color="0000FF"/>
            </w:tcBorders>
            <w:gridSpan w:val="13"/>
          </w:tcPr>
          <w:p>
            <w:pPr>
              <w:spacing w:after="0"/>
              <w:rPr>
                <w:rFonts w:ascii="Arial" w:cs="Arial" w:eastAsia="Arial" w:hAnsi="Arial"/>
                <w:sz w:val="18"/>
                <w:szCs w:val="18"/>
                <w:color w:val="0000FF"/>
                <w:w w:val="90"/>
              </w:rPr>
            </w:pPr>
            <w:hyperlink r:id="rId322">
              <w:r>
                <w:rPr>
                  <w:rFonts w:ascii="Arial" w:cs="Arial" w:eastAsia="Arial" w:hAnsi="Arial"/>
                  <w:sz w:val="18"/>
                  <w:szCs w:val="18"/>
                  <w:color w:val="0000FF"/>
                  <w:w w:val="90"/>
                </w:rPr>
                <w:t>to the Registrant’s Registration Statement on Form S-1, as amended, filed with the SEC on July 26, 2021).</w:t>
              </w:r>
            </w:hyperlink>
          </w:p>
        </w:tc>
        <w:tc>
          <w:tcPr>
            <w:tcW w:w="20" w:type="dxa"/>
            <w:vAlign w:val="bottom"/>
            <w:tcBorders>
              <w:bottom w:val="single" w:sz="8" w:color="0000EE"/>
            </w:tcBorders>
          </w:tcPr>
          <w:p>
            <w:pPr>
              <w:spacing w:after="0"/>
              <w:rPr>
                <w:sz w:val="18"/>
                <w:szCs w:val="18"/>
                <w:color w:val="auto"/>
              </w:rPr>
            </w:pPr>
          </w:p>
        </w:tc>
        <w:tc>
          <w:tcPr>
            <w:tcW w:w="2400" w:type="dxa"/>
            <w:vAlign w:val="bottom"/>
            <w:gridSpan w:val="16"/>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9540" w:type="dxa"/>
            <w:vAlign w:val="bottom"/>
            <w:tcBorders>
              <w:bottom w:val="single" w:sz="8" w:color="0000FF"/>
            </w:tcBorders>
            <w:gridSpan w:val="19"/>
          </w:tcPr>
          <w:p>
            <w:pPr>
              <w:spacing w:after="0"/>
              <w:rPr>
                <w:rFonts w:ascii="Arial" w:cs="Arial" w:eastAsia="Arial" w:hAnsi="Arial"/>
                <w:sz w:val="18"/>
                <w:szCs w:val="18"/>
                <w:color w:val="0000FF"/>
                <w:w w:val="90"/>
              </w:rPr>
            </w:pPr>
            <w:hyperlink r:id="rId323">
              <w:r>
                <w:rPr>
                  <w:rFonts w:ascii="Arial" w:cs="Arial" w:eastAsia="Arial" w:hAnsi="Arial"/>
                  <w:sz w:val="18"/>
                  <w:szCs w:val="18"/>
                  <w:color w:val="0000FF"/>
                  <w:w w:val="90"/>
                </w:rPr>
                <w:t>Rani Therapeutics Holdings, Inc. 2021 Employee Stock Purchase Plan (incorporated by reference to Exhibit 10.8 to the Registrant’s</w:t>
              </w:r>
            </w:hyperlink>
          </w:p>
        </w:tc>
        <w:tc>
          <w:tcPr>
            <w:tcW w:w="540" w:type="dxa"/>
            <w:vAlign w:val="bottom"/>
            <w:gridSpan w:val="11"/>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Arial" w:cs="Arial" w:eastAsia="Arial" w:hAnsi="Arial"/>
                <w:sz w:val="18"/>
                <w:szCs w:val="18"/>
                <w:color w:val="0000FF"/>
              </w:rPr>
            </w:pPr>
            <w:hyperlink r:id="rId323">
              <w:r>
                <w:rPr>
                  <w:rFonts w:ascii="Arial" w:cs="Arial" w:eastAsia="Arial" w:hAnsi="Arial"/>
                  <w:sz w:val="18"/>
                  <w:szCs w:val="18"/>
                  <w:color w:val="0000FF"/>
                </w:rPr>
                <w:t>Registration Statement on Form S-1, as amended, filed with the SEC on July 26,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9680" w:type="dxa"/>
            <w:vAlign w:val="bottom"/>
            <w:tcBorders>
              <w:bottom w:val="single" w:sz="8" w:color="0000FF"/>
            </w:tcBorders>
            <w:gridSpan w:val="23"/>
          </w:tcPr>
          <w:p>
            <w:pPr>
              <w:spacing w:after="0"/>
              <w:rPr>
                <w:rFonts w:ascii="Arial" w:cs="Arial" w:eastAsia="Arial" w:hAnsi="Arial"/>
                <w:sz w:val="18"/>
                <w:szCs w:val="18"/>
                <w:color w:val="0000FF"/>
                <w:w w:val="90"/>
              </w:rPr>
            </w:pPr>
            <w:hyperlink r:id="rId324">
              <w:r>
                <w:rPr>
                  <w:rFonts w:ascii="Arial" w:cs="Arial" w:eastAsia="Arial" w:hAnsi="Arial"/>
                  <w:sz w:val="18"/>
                  <w:szCs w:val="18"/>
                  <w:color w:val="0000FF"/>
                  <w:w w:val="90"/>
                </w:rPr>
                <w:t>Rani Therapeutics Holdings, Inc. Severance and Change in Control Plan (incorporated by reference to Exhibit 10.8 to the Registrant’s</w:t>
              </w:r>
            </w:hyperlink>
          </w:p>
        </w:tc>
        <w:tc>
          <w:tcPr>
            <w:tcW w:w="400" w:type="dxa"/>
            <w:vAlign w:val="bottom"/>
            <w:gridSpan w:val="7"/>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80" w:type="dxa"/>
            <w:vAlign w:val="bottom"/>
            <w:tcBorders>
              <w:bottom w:val="single" w:sz="8" w:color="0000FF"/>
            </w:tcBorders>
            <w:gridSpan w:val="4"/>
          </w:tcPr>
          <w:p>
            <w:pPr>
              <w:spacing w:after="0"/>
              <w:rPr>
                <w:rFonts w:ascii="Arial" w:cs="Arial" w:eastAsia="Arial" w:hAnsi="Arial"/>
                <w:sz w:val="18"/>
                <w:szCs w:val="18"/>
                <w:color w:val="0000FF"/>
                <w:w w:val="90"/>
              </w:rPr>
            </w:pPr>
            <w:hyperlink r:id="rId324">
              <w:r>
                <w:rPr>
                  <w:rFonts w:ascii="Arial" w:cs="Arial" w:eastAsia="Arial" w:hAnsi="Arial"/>
                  <w:sz w:val="18"/>
                  <w:szCs w:val="18"/>
                  <w:color w:val="0000FF"/>
                  <w:w w:val="90"/>
                </w:rPr>
                <w:t>Registration Statement on Form S-1, filed with the SEC on July 9, 2021).</w:t>
              </w:r>
            </w:hyperlink>
          </w:p>
        </w:tc>
        <w:tc>
          <w:tcPr>
            <w:tcW w:w="20" w:type="dxa"/>
            <w:vAlign w:val="bottom"/>
            <w:tcBorders>
              <w:bottom w:val="single" w:sz="8" w:color="0000EE"/>
            </w:tcBorders>
          </w:tcPr>
          <w:p>
            <w:pPr>
              <w:spacing w:after="0"/>
              <w:rPr>
                <w:sz w:val="18"/>
                <w:szCs w:val="18"/>
                <w:color w:val="auto"/>
              </w:rPr>
            </w:pPr>
          </w:p>
        </w:tc>
        <w:tc>
          <w:tcPr>
            <w:tcW w:w="4780" w:type="dxa"/>
            <w:vAlign w:val="bottom"/>
            <w:gridSpan w:val="25"/>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9640" w:type="dxa"/>
            <w:vAlign w:val="bottom"/>
            <w:tcBorders>
              <w:bottom w:val="single" w:sz="8" w:color="0000FF"/>
            </w:tcBorders>
            <w:gridSpan w:val="21"/>
          </w:tcPr>
          <w:p>
            <w:pPr>
              <w:spacing w:after="0"/>
              <w:rPr>
                <w:rFonts w:ascii="Arial" w:cs="Arial" w:eastAsia="Arial" w:hAnsi="Arial"/>
                <w:sz w:val="18"/>
                <w:szCs w:val="18"/>
                <w:color w:val="0000FF"/>
                <w:w w:val="90"/>
              </w:rPr>
            </w:pPr>
            <w:hyperlink r:id="rId325">
              <w:r>
                <w:rPr>
                  <w:rFonts w:ascii="Arial" w:cs="Arial" w:eastAsia="Arial" w:hAnsi="Arial"/>
                  <w:sz w:val="18"/>
                  <w:szCs w:val="18"/>
                  <w:color w:val="0000FF"/>
                  <w:w w:val="90"/>
                </w:rPr>
                <w:t>Form of Participation Agreement under the Rani Therapeutics Holdings, Inc. Severance and Change in Control Plan (incorporated by</w:t>
              </w:r>
            </w:hyperlink>
          </w:p>
        </w:tc>
        <w:tc>
          <w:tcPr>
            <w:tcW w:w="440" w:type="dxa"/>
            <w:vAlign w:val="bottom"/>
            <w:gridSpan w:val="9"/>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Arial" w:cs="Arial" w:eastAsia="Arial" w:hAnsi="Arial"/>
                <w:sz w:val="18"/>
                <w:szCs w:val="18"/>
                <w:color w:val="0000FF"/>
              </w:rPr>
            </w:pPr>
            <w:hyperlink r:id="rId325">
              <w:r>
                <w:rPr>
                  <w:rFonts w:ascii="Arial" w:cs="Arial" w:eastAsia="Arial" w:hAnsi="Arial"/>
                  <w:sz w:val="18"/>
                  <w:szCs w:val="18"/>
                  <w:color w:val="0000FF"/>
                </w:rPr>
                <w:t>reference to Exhibit 10.9 to the Registrant’s Registration Statement on Form S-1, filed with the SEC on July 9,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500" w:type="dxa"/>
            <w:vAlign w:val="bottom"/>
            <w:tcBorders>
              <w:right w:val="single" w:sz="8" w:color="0000EE"/>
            </w:tcBorders>
            <w:gridSpan w:val="1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682"/>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9400" w:type="dxa"/>
            <w:vAlign w:val="bottom"/>
            <w:tcBorders>
              <w:bottom w:val="single" w:sz="8" w:color="0000FF"/>
            </w:tcBorders>
            <w:gridSpan w:val="18"/>
          </w:tcPr>
          <w:p>
            <w:pPr>
              <w:spacing w:after="0"/>
              <w:rPr>
                <w:rFonts w:ascii="Arial" w:cs="Arial" w:eastAsia="Arial" w:hAnsi="Arial"/>
                <w:sz w:val="18"/>
                <w:szCs w:val="18"/>
                <w:color w:val="0000FF"/>
                <w:w w:val="91"/>
              </w:rPr>
            </w:pPr>
            <w:hyperlink r:id="rId326">
              <w:r>
                <w:rPr>
                  <w:rFonts w:ascii="Arial" w:cs="Arial" w:eastAsia="Arial" w:hAnsi="Arial"/>
                  <w:sz w:val="18"/>
                  <w:szCs w:val="18"/>
                  <w:color w:val="0000FF"/>
                  <w:w w:val="91"/>
                </w:rPr>
                <w:t>Rani Therapeutics Holdings, Inc. Non-Employee Director Compensation Policy (incorporated by reference to Exhibit 10.11 to the</w:t>
              </w:r>
            </w:hyperlink>
          </w:p>
        </w:tc>
        <w:tc>
          <w:tcPr>
            <w:tcW w:w="680" w:type="dxa"/>
            <w:vAlign w:val="bottom"/>
            <w:gridSpan w:val="12"/>
          </w:tcPr>
          <w:p>
            <w:pPr>
              <w:spacing w:after="0"/>
              <w:rPr>
                <w:sz w:val="24"/>
                <w:szCs w:val="24"/>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Arial" w:cs="Arial" w:eastAsia="Arial" w:hAnsi="Arial"/>
                <w:sz w:val="18"/>
                <w:szCs w:val="18"/>
                <w:color w:val="0000FF"/>
              </w:rPr>
            </w:pPr>
            <w:hyperlink r:id="rId326">
              <w:r>
                <w:rPr>
                  <w:rFonts w:ascii="Arial" w:cs="Arial" w:eastAsia="Arial" w:hAnsi="Arial"/>
                  <w:sz w:val="18"/>
                  <w:szCs w:val="18"/>
                  <w:color w:val="0000FF"/>
                </w:rPr>
                <w:t>Registrant’s Registration Statement on Form S-1, as amended, filed with the SEC on July 16,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gridSpan w:val="8"/>
            <w:shd w:val="clear" w:color="auto" w:fill="0000FF"/>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9660" w:type="dxa"/>
            <w:vAlign w:val="bottom"/>
            <w:tcBorders>
              <w:bottom w:val="single" w:sz="8" w:color="0000FF"/>
            </w:tcBorders>
            <w:gridSpan w:val="22"/>
          </w:tcPr>
          <w:p>
            <w:pPr>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20" w:type="dxa"/>
            <w:vAlign w:val="bottom"/>
            <w:gridSpan w:val="8"/>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99">
              <w:r>
                <w:rPr>
                  <w:rFonts w:ascii="Arial" w:cs="Arial" w:eastAsia="Arial" w:hAnsi="Arial"/>
                  <w:sz w:val="18"/>
                  <w:szCs w:val="18"/>
                  <w:color w:val="0000FF"/>
                  <w:w w:val="90"/>
                </w:rPr>
                <w:t>Adopted Pursuant to Section 302 of the Sarbanes-Oxley Act of 2002.</w:t>
              </w:r>
            </w:hyperlink>
          </w:p>
        </w:tc>
        <w:tc>
          <w:tcPr>
            <w:tcW w:w="5100" w:type="dxa"/>
            <w:vAlign w:val="bottom"/>
            <w:gridSpan w:val="27"/>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960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480" w:type="dxa"/>
            <w:vAlign w:val="bottom"/>
            <w:gridSpan w:val="10"/>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00">
              <w:r>
                <w:rPr>
                  <w:rFonts w:ascii="Arial" w:cs="Arial" w:eastAsia="Arial" w:hAnsi="Arial"/>
                  <w:sz w:val="18"/>
                  <w:szCs w:val="18"/>
                  <w:color w:val="0000FF"/>
                  <w:w w:val="90"/>
                </w:rPr>
                <w:t>Adopted Pursuant to Section 302 of the Sarbanes-Oxley Act of 2002.</w:t>
              </w:r>
            </w:hyperlink>
          </w:p>
        </w:tc>
        <w:tc>
          <w:tcPr>
            <w:tcW w:w="5100" w:type="dxa"/>
            <w:vAlign w:val="bottom"/>
            <w:gridSpan w:val="27"/>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9800" w:type="dxa"/>
            <w:vAlign w:val="bottom"/>
            <w:tcBorders>
              <w:bottom w:val="single" w:sz="8" w:color="0000FF"/>
            </w:tcBorders>
            <w:gridSpan w:val="25"/>
          </w:tcPr>
          <w:p>
            <w:pPr>
              <w:spacing w:after="0"/>
              <w:rPr>
                <w:rFonts w:ascii="Arial" w:cs="Arial" w:eastAsia="Arial" w:hAnsi="Arial"/>
                <w:sz w:val="18"/>
                <w:szCs w:val="18"/>
                <w:color w:val="0000FF"/>
                <w:w w:val="92"/>
              </w:rPr>
            </w:pPr>
            <w:hyperlink w:anchor="page101">
              <w:r>
                <w:rPr>
                  <w:rFonts w:ascii="Arial" w:cs="Arial" w:eastAsia="Arial" w:hAnsi="Arial"/>
                  <w:sz w:val="18"/>
                  <w:szCs w:val="18"/>
                  <w:color w:val="0000FF"/>
                  <w:w w:val="92"/>
                </w:rPr>
                <w:t>Certification of Principal Executive Officer and Principal Financial Officer Pursuant to 18 U.S.C. Section 1350, as Adopted Pursuant to</w:t>
              </w:r>
            </w:hyperlink>
          </w:p>
        </w:tc>
        <w:tc>
          <w:tcPr>
            <w:tcW w:w="280" w:type="dxa"/>
            <w:vAlign w:val="bottom"/>
            <w:gridSpan w:val="5"/>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Section 906 of the Sarbanes-Oxley Act of 2002.</w:t>
              </w:r>
            </w:hyperlink>
          </w:p>
        </w:tc>
        <w:tc>
          <w:tcPr>
            <w:tcW w:w="6620" w:type="dxa"/>
            <w:vAlign w:val="bottom"/>
            <w:gridSpan w:val="28"/>
          </w:tcPr>
          <w:p>
            <w:pPr>
              <w:spacing w:after="0"/>
              <w:rPr>
                <w:sz w:val="18"/>
                <w:szCs w:val="18"/>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right="4300" w:firstLine="21"/>
        <w:spacing w:after="0" w:line="399" w:lineRule="auto"/>
        <w:tabs>
          <w:tab w:leader="none" w:pos="1148" w:val="left"/>
        </w:tabs>
        <w:numPr>
          <w:ilvl w:val="2"/>
          <w:numId w:val="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firstLine="8"/>
        <w:spacing w:after="0" w:line="266" w:lineRule="auto"/>
        <w:tabs>
          <w:tab w:leader="none" w:pos="40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which accompanies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-936625</wp:posOffset>
            </wp:positionV>
            <wp:extent cx="9512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0" w:firstLine="1018"/>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60" w:type="dxa"/>
            <w:vAlign w:val="bottom"/>
            <w:gridSpan w:val="2"/>
          </w:tcPr>
          <w:p>
            <w:pPr>
              <w:ind w:left="1900"/>
              <w:spacing w:after="0"/>
              <w:rPr>
                <w:sz w:val="20"/>
                <w:szCs w:val="20"/>
                <w:color w:val="auto"/>
              </w:rPr>
            </w:pPr>
            <w:r>
              <w:rPr>
                <w:rFonts w:ascii="Arial" w:cs="Arial" w:eastAsia="Arial" w:hAnsi="Arial"/>
                <w:sz w:val="18"/>
                <w:szCs w:val="18"/>
                <w:color w:val="auto"/>
              </w:rPr>
              <w:t>Rani Therapeutics Holdings, Inc.</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November 15, 2021</w:t>
            </w:r>
          </w:p>
        </w:tc>
        <w:tc>
          <w:tcPr>
            <w:tcW w:w="232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Talat Imran</w:t>
            </w:r>
          </w:p>
        </w:tc>
      </w:tr>
      <w:tr>
        <w:trPr>
          <w:trHeight w:val="228"/>
        </w:trPr>
        <w:tc>
          <w:tcPr>
            <w:tcW w:w="3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7"/>
              </w:rPr>
              <w:t>Talat Imran</w:t>
            </w:r>
          </w:p>
        </w:tc>
      </w:tr>
      <w:tr>
        <w:trPr>
          <w:trHeight w:val="238"/>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243"/>
        </w:trPr>
        <w:tc>
          <w:tcPr>
            <w:tcW w:w="37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November 15, 2021</w:t>
            </w:r>
          </w:p>
        </w:tc>
        <w:tc>
          <w:tcPr>
            <w:tcW w:w="232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Svai Sanford</w:t>
            </w:r>
          </w:p>
        </w:tc>
      </w:tr>
      <w:tr>
        <w:trPr>
          <w:trHeight w:val="228"/>
        </w:trPr>
        <w:tc>
          <w:tcPr>
            <w:tcW w:w="3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9"/>
              </w:rPr>
              <w:t>Svai Sanford</w:t>
            </w:r>
          </w:p>
        </w:tc>
      </w:tr>
    </w:tbl>
    <w:p>
      <w:pPr>
        <w:spacing w:after="0" w:line="8"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Talat Imran, certify that:</w:t>
      </w:r>
    </w:p>
    <w:p>
      <w:pPr>
        <w:spacing w:after="0" w:line="23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38" w:lineRule="exact"/>
        <w:rPr>
          <w:rFonts w:ascii="Arial" w:cs="Arial" w:eastAsia="Arial" w:hAnsi="Arial"/>
          <w:sz w:val="18"/>
          <w:szCs w:val="18"/>
          <w:color w:val="auto"/>
        </w:rPr>
      </w:pPr>
    </w:p>
    <w:p>
      <w:pPr>
        <w:ind w:left="760" w:right="20" w:hanging="752"/>
        <w:spacing w:after="0" w:line="279" w:lineRule="auto"/>
        <w:tabs>
          <w:tab w:leader="none" w:pos="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60" w:right="20" w:hanging="752"/>
        <w:spacing w:after="0" w:line="293" w:lineRule="auto"/>
        <w:tabs>
          <w:tab w:leader="none" w:pos="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500" w:hanging="690"/>
        <w:spacing w:after="0" w:line="279" w:lineRule="auto"/>
        <w:tabs>
          <w:tab w:leader="none" w:pos="1165"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right"/>
        <w:ind w:left="1500" w:hanging="690"/>
        <w:spacing w:after="0" w:line="359" w:lineRule="auto"/>
        <w:tabs>
          <w:tab w:leader="none" w:pos="1165" w:val="left"/>
        </w:tabs>
        <w:numPr>
          <w:ilvl w:val="2"/>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hanging="690"/>
        <w:spacing w:after="0" w:line="279" w:lineRule="auto"/>
        <w:tabs>
          <w:tab w:leader="none" w:pos="1165" w:val="left"/>
        </w:tabs>
        <w:numPr>
          <w:ilvl w:val="2"/>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500" w:right="40" w:hanging="690"/>
        <w:spacing w:after="0" w:line="324" w:lineRule="auto"/>
        <w:tabs>
          <w:tab w:leader="none" w:pos="1165" w:val="left"/>
        </w:tabs>
        <w:numPr>
          <w:ilvl w:val="2"/>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500" w:right="20" w:hanging="715"/>
        <w:spacing w:after="0" w:line="293"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-10160</wp:posOffset>
            </wp:positionV>
            <wp:extent cx="18281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Svai Sanford, certify that:</w:t>
      </w:r>
    </w:p>
    <w:p>
      <w:pPr>
        <w:spacing w:after="0" w:line="23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38" w:lineRule="exact"/>
        <w:rPr>
          <w:rFonts w:ascii="Arial" w:cs="Arial" w:eastAsia="Arial" w:hAnsi="Arial"/>
          <w:sz w:val="18"/>
          <w:szCs w:val="18"/>
          <w:color w:val="auto"/>
        </w:rPr>
      </w:pPr>
    </w:p>
    <w:p>
      <w:pPr>
        <w:ind w:left="760" w:right="20" w:hanging="752"/>
        <w:spacing w:after="0" w:line="279" w:lineRule="auto"/>
        <w:tabs>
          <w:tab w:leader="none" w:pos="37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60" w:right="20" w:hanging="752"/>
        <w:spacing w:after="0" w:line="293" w:lineRule="auto"/>
        <w:tabs>
          <w:tab w:leader="none" w:pos="3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500" w:hanging="690"/>
        <w:spacing w:after="0" w:line="279" w:lineRule="auto"/>
        <w:tabs>
          <w:tab w:leader="none" w:pos="1165"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right"/>
        <w:ind w:left="1500" w:hanging="690"/>
        <w:spacing w:after="0" w:line="359" w:lineRule="auto"/>
        <w:tabs>
          <w:tab w:leader="none" w:pos="1165" w:val="left"/>
        </w:tabs>
        <w:numPr>
          <w:ilvl w:val="2"/>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hanging="690"/>
        <w:spacing w:after="0" w:line="279" w:lineRule="auto"/>
        <w:tabs>
          <w:tab w:leader="none" w:pos="1165" w:val="left"/>
        </w:tabs>
        <w:numPr>
          <w:ilvl w:val="2"/>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500" w:right="40" w:hanging="690"/>
        <w:spacing w:after="0" w:line="324" w:lineRule="auto"/>
        <w:tabs>
          <w:tab w:leader="none" w:pos="1165"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500" w:right="20" w:hanging="715"/>
        <w:spacing w:after="0" w:line="293"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__/s/ Svai Sanford__________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-10160</wp:posOffset>
            </wp:positionV>
            <wp:extent cx="18726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3"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4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64" w:lineRule="exact"/>
        <w:rPr>
          <w:sz w:val="20"/>
          <w:szCs w:val="20"/>
          <w:color w:val="auto"/>
        </w:rPr>
      </w:pPr>
    </w:p>
    <w:p>
      <w:pPr>
        <w:ind w:left="660" w:hanging="652"/>
        <w:spacing w:after="0" w:line="29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left="660" w:hanging="652"/>
        <w:spacing w:after="0" w:line="29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1080" w:type="dxa"/>
            <w:vAlign w:val="bottom"/>
          </w:tcPr>
          <w:p>
            <w:pPr>
              <w:spacing w:after="0"/>
              <w:rPr>
                <w:sz w:val="17"/>
                <w:szCs w:val="17"/>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Svai Sanford</w:t>
            </w:r>
          </w:p>
        </w:tc>
        <w:tc>
          <w:tcPr>
            <w:tcW w:w="400" w:type="dxa"/>
            <w:vAlign w:val="bottom"/>
          </w:tcPr>
          <w:p>
            <w:pPr>
              <w:spacing w:after="0"/>
              <w:rPr>
                <w:sz w:val="17"/>
                <w:szCs w:val="17"/>
                <w:color w:val="auto"/>
              </w:rPr>
            </w:pPr>
          </w:p>
        </w:tc>
      </w:tr>
      <w:tr>
        <w:trPr>
          <w:trHeight w:val="249"/>
        </w:trPr>
        <w:tc>
          <w:tcPr>
            <w:tcW w:w="2520" w:type="dxa"/>
            <w:vAlign w:val="bottom"/>
          </w:tcPr>
          <w:p>
            <w:pPr>
              <w:spacing w:after="0"/>
              <w:rPr>
                <w:sz w:val="20"/>
                <w:szCs w:val="20"/>
                <w:color w:val="auto"/>
              </w:rPr>
            </w:pPr>
            <w:r>
              <w:rPr>
                <w:rFonts w:ascii="Arial" w:cs="Arial" w:eastAsia="Arial" w:hAnsi="Arial"/>
                <w:sz w:val="18"/>
                <w:szCs w:val="18"/>
                <w:color w:val="auto"/>
              </w:rPr>
              <w:t>Talat Imran</w:t>
            </w:r>
          </w:p>
        </w:tc>
        <w:tc>
          <w:tcPr>
            <w:tcW w:w="1080" w:type="dxa"/>
            <w:vAlign w:val="bottom"/>
          </w:tcPr>
          <w:p>
            <w:pPr>
              <w:spacing w:after="0"/>
              <w:rPr>
                <w:sz w:val="21"/>
                <w:szCs w:val="21"/>
                <w:color w:val="auto"/>
              </w:rPr>
            </w:pPr>
          </w:p>
        </w:tc>
        <w:tc>
          <w:tcPr>
            <w:tcW w:w="3640" w:type="dxa"/>
            <w:vAlign w:val="bottom"/>
            <w:gridSpan w:val="2"/>
          </w:tcPr>
          <w:p>
            <w:pPr>
              <w:ind w:left="720"/>
              <w:spacing w:after="0"/>
              <w:rPr>
                <w:sz w:val="20"/>
                <w:szCs w:val="20"/>
                <w:color w:val="auto"/>
              </w:rPr>
            </w:pPr>
            <w:r>
              <w:rPr>
                <w:rFonts w:ascii="Arial" w:cs="Arial" w:eastAsia="Arial" w:hAnsi="Arial"/>
                <w:sz w:val="18"/>
                <w:szCs w:val="18"/>
                <w:color w:val="auto"/>
              </w:rPr>
              <w:t>Svai Sanford</w:t>
            </w: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80" w:type="dxa"/>
            <w:vAlign w:val="bottom"/>
          </w:tcPr>
          <w:p>
            <w:pPr>
              <w:spacing w:after="0"/>
              <w:rPr>
                <w:sz w:val="19"/>
                <w:szCs w:val="19"/>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r>
      <w:tr>
        <w:trPr>
          <w:trHeight w:val="230"/>
        </w:trPr>
        <w:tc>
          <w:tcPr>
            <w:tcW w:w="2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08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14" Type="http://schemas.openxmlformats.org/officeDocument/2006/relationships/hyperlink" Target="https://www.sec.gov/Archives/edgar/data/1856725/000119312521223596/d151628dex31.htm" TargetMode="External"/><Relationship Id="rId315" Type="http://schemas.openxmlformats.org/officeDocument/2006/relationships/hyperlink" Target="https://www.sec.gov/Archives/edgar/data/1856725/000119312521211922/d151628dex34.htm" TargetMode="External"/><Relationship Id="rId316" Type="http://schemas.openxmlformats.org/officeDocument/2006/relationships/hyperlink" Target="https://www.sec.gov/Archives/edgar/data/1856725/000119312521223596/d151628dex41.htm" TargetMode="External"/><Relationship Id="rId317" Type="http://schemas.openxmlformats.org/officeDocument/2006/relationships/hyperlink" Target="https://www.sec.gov/Archives/edgar/data/1856725/000119312521217338/d151628dex101.htm" TargetMode="External"/><Relationship Id="rId318" Type="http://schemas.openxmlformats.org/officeDocument/2006/relationships/hyperlink" Target="https://www.sec.gov/Archives/edgar/data/1856725/000119312521217338/d151628dex102.htm" TargetMode="External"/><Relationship Id="rId319" Type="http://schemas.openxmlformats.org/officeDocument/2006/relationships/hyperlink" Target="https://www.sec.gov/Archives/edgar/data/1856725/000119312521217338/d151628dex103.htm" TargetMode="External"/><Relationship Id="rId320" Type="http://schemas.openxmlformats.org/officeDocument/2006/relationships/hyperlink" Target="https://www.sec.gov/Archives/edgar/data/1856725/000119312521217338/d151628dex104.htm" TargetMode="External"/><Relationship Id="rId321" Type="http://schemas.openxmlformats.org/officeDocument/2006/relationships/hyperlink" Target="https://www.sec.gov/Archives/edgar/data/1856725/000119312521211922/d151628dex104.htm" TargetMode="External"/><Relationship Id="rId322" Type="http://schemas.openxmlformats.org/officeDocument/2006/relationships/hyperlink" Target="https://www.sec.gov/Archives/edgar/data/1856725/000119312521223596/d151628dex107.htm" TargetMode="External"/><Relationship Id="rId323" Type="http://schemas.openxmlformats.org/officeDocument/2006/relationships/hyperlink" Target="https://www.sec.gov/Archives/edgar/data/1856725/000119312521223596/d151628dex108.htm" TargetMode="External"/><Relationship Id="rId324" Type="http://schemas.openxmlformats.org/officeDocument/2006/relationships/hyperlink" Target="https://www.sec.gov/Archives/edgar/data/1856725/000119312521211922/d151628dex108.htm" TargetMode="External"/><Relationship Id="rId325" Type="http://schemas.openxmlformats.org/officeDocument/2006/relationships/hyperlink" Target="https://www.sec.gov/Archives/edgar/data/1856725/000119312521211922/d151628dex109.htm" TargetMode="External"/><Relationship Id="rId326" Type="http://schemas.openxmlformats.org/officeDocument/2006/relationships/hyperlink" Target="https://www.sec.gov/Archives/edgar/data/1856725/000119312521217338/d151628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2021-11-16T05:22:14Z</dcterms:created>
  <dcterms:modified xsi:type="dcterms:W3CDTF">2021-11-16T05:22:14Z</dcterms:modified>
</cp:coreProperties>
</file>