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Borders>
              <w:bottom w:val="single" w:sz="8" w:color="0000EE"/>
            </w:tcBorders>
            <w:gridSpan w:val="2"/>
          </w:tcPr>
          <w:p>
            <w:pPr>
              <w:spacing w:after="0" w:line="166"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Rani Therapeutics Holdings, Inc.</w:t>
              </w:r>
            </w:hyperlink>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RANI</w:t>
            </w:r>
            <w:r>
              <w:rPr>
                <w:rFonts w:ascii="Times New Roman" w:cs="Times New Roman" w:eastAsia="Times New Roman" w:hAnsi="Times New Roman"/>
                <w:sz w:val="21"/>
                <w:szCs w:val="21"/>
                <w:color w:val="auto"/>
              </w:rPr>
              <w:t xml:space="preserve"> ]</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20" w:type="dxa"/>
            <w:vAlign w:val="bottom"/>
            <w:gridSpan w:val="2"/>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80" w:type="dxa"/>
            <w:vAlign w:val="bottom"/>
            <w:tcBorders>
              <w:top w:val="single" w:sz="8" w:color="0000EE"/>
              <w:bottom w:val="single" w:sz="8" w:color="0000EE"/>
            </w:tcBorders>
          </w:tcPr>
          <w:p>
            <w:pPr>
              <w:spacing w:after="0" w:line="220"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Partnership</w:t>
              </w:r>
            </w:hyperlink>
          </w:p>
        </w:tc>
        <w:tc>
          <w:tcPr>
            <w:tcW w:w="1020" w:type="dxa"/>
            <w:vAlign w:val="bottom"/>
            <w:tcBorders>
              <w:top w:val="single" w:sz="8" w:color="0000EE"/>
            </w:tcBorders>
          </w:tcPr>
          <w:p>
            <w:pPr>
              <w:spacing w:after="0"/>
              <w:rPr>
                <w:sz w:val="19"/>
                <w:szCs w:val="19"/>
                <w:color w:val="auto"/>
              </w:rPr>
            </w:pPr>
          </w:p>
        </w:tc>
        <w:tc>
          <w:tcPr>
            <w:tcW w:w="820" w:type="dxa"/>
            <w:vAlign w:val="bottom"/>
            <w:tcBorders>
              <w:top w:val="single" w:sz="8" w:color="0000EE"/>
            </w:tcBorders>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gridSpan w:val="3"/>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4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(Middle)</w:t>
            </w:r>
          </w:p>
        </w:tc>
        <w:tc>
          <w:tcPr>
            <w:tcW w:w="29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11/30/2022</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2"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AVENIDA PRESIDENTE RIESCO 5711,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tcBorders>
              <w:top w:val="single" w:sz="8" w:color="2C2C2C"/>
            </w:tcBorders>
            <w:gridSpan w:val="10"/>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tcBorders>
            <w:gridSpan w:val="8"/>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gridSpan w:val="3"/>
          </w:tcPr>
          <w:p>
            <w:pPr>
              <w:ind w:left="420"/>
              <w:spacing w:after="0" w:line="146" w:lineRule="exact"/>
              <w:rPr>
                <w:sz w:val="20"/>
                <w:szCs w:val="20"/>
                <w:color w:val="auto"/>
              </w:rPr>
            </w:pPr>
            <w:r>
              <w:rPr>
                <w:rFonts w:ascii="Arial" w:cs="Arial" w:eastAsia="Arial" w:hAnsi="Arial"/>
                <w:sz w:val="13"/>
                <w:szCs w:val="13"/>
                <w:color w:val="auto"/>
              </w:rPr>
              <w:t>Line)</w:t>
            </w: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88"/>
              </w:rPr>
              <w:t>F3</w:t>
            </w:r>
          </w:p>
        </w:tc>
        <w:tc>
          <w:tcPr>
            <w:tcW w:w="900" w:type="dxa"/>
            <w:vAlign w:val="bottom"/>
          </w:tcPr>
          <w:p>
            <w:pPr>
              <w:spacing w:after="0"/>
              <w:rPr>
                <w:sz w:val="7"/>
                <w:szCs w:val="7"/>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gridSpan w:val="2"/>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460" w:type="dxa"/>
            <w:vAlign w:val="bottom"/>
            <w:tcBorders>
              <w:bottom w:val="single" w:sz="8" w:color="2C2C2C"/>
            </w:tcBorders>
            <w:gridSpan w:val="6"/>
          </w:tcPr>
          <w:p>
            <w:pPr>
              <w:spacing w:after="0"/>
              <w:rPr>
                <w:sz w:val="10"/>
                <w:szCs w:val="10"/>
                <w:color w:val="auto"/>
              </w:rPr>
            </w:pPr>
          </w:p>
        </w:tc>
        <w:tc>
          <w:tcPr>
            <w:tcW w:w="140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6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5"/>
            <w:vMerge w:val="restart"/>
          </w:tcPr>
          <w:p>
            <w:pPr>
              <w:ind w:left="800"/>
              <w:spacing w:after="0"/>
              <w:rPr>
                <w:sz w:val="20"/>
                <w:szCs w:val="20"/>
                <w:color w:val="auto"/>
              </w:rPr>
            </w:pPr>
            <w:r>
              <w:rPr>
                <w:rFonts w:ascii="Times New Roman" w:cs="Times New Roman" w:eastAsia="Times New Roman" w:hAnsi="Times New Roman"/>
                <w:sz w:val="17"/>
                <w:szCs w:val="17"/>
                <w:color w:val="0000FF"/>
              </w:rPr>
              <w:t>11/30/2022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jc w:val="right"/>
              <w:ind w:right="112"/>
              <w:spacing w:after="0"/>
              <w:rPr>
                <w:sz w:val="20"/>
                <w:szCs w:val="20"/>
                <w:color w:val="auto"/>
              </w:rPr>
            </w:pPr>
            <w:r>
              <w:rPr>
                <w:rFonts w:ascii="Times New Roman" w:cs="Times New Roman" w:eastAsia="Times New Roman" w:hAnsi="Times New Roman"/>
                <w:sz w:val="17"/>
                <w:szCs w:val="17"/>
                <w:color w:val="0000FF"/>
              </w:rPr>
              <w:t>8,000</w:t>
            </w:r>
          </w:p>
        </w:tc>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7.928</w:t>
            </w:r>
            <w:r>
              <w:rPr>
                <w:rFonts w:ascii="Times New Roman" w:cs="Times New Roman" w:eastAsia="Times New Roman" w:hAnsi="Times New Roman"/>
                <w:sz w:val="22"/>
                <w:szCs w:val="22"/>
                <w:color w:val="008000"/>
                <w:vertAlign w:val="superscript"/>
              </w:rPr>
              <w:t>(1)</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6,574,272</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76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5"/>
            <w:vMerge w:val="restart"/>
          </w:tcPr>
          <w:p>
            <w:pPr>
              <w:ind w:left="800"/>
              <w:spacing w:after="0"/>
              <w:rPr>
                <w:sz w:val="20"/>
                <w:szCs w:val="20"/>
                <w:color w:val="auto"/>
              </w:rPr>
            </w:pPr>
            <w:r>
              <w:rPr>
                <w:rFonts w:ascii="Times New Roman" w:cs="Times New Roman" w:eastAsia="Times New Roman" w:hAnsi="Times New Roman"/>
                <w:sz w:val="17"/>
                <w:szCs w:val="17"/>
                <w:color w:val="0000FF"/>
              </w:rPr>
              <w:t>12/01/2022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jc w:val="right"/>
              <w:ind w:right="192"/>
              <w:spacing w:after="0"/>
              <w:rPr>
                <w:sz w:val="20"/>
                <w:szCs w:val="20"/>
                <w:color w:val="auto"/>
              </w:rPr>
            </w:pPr>
            <w:r>
              <w:rPr>
                <w:rFonts w:ascii="Times New Roman" w:cs="Times New Roman" w:eastAsia="Times New Roman" w:hAnsi="Times New Roman"/>
                <w:sz w:val="17"/>
                <w:szCs w:val="17"/>
                <w:color w:val="0000FF"/>
              </w:rPr>
              <w:t>202</w:t>
            </w:r>
          </w:p>
        </w:tc>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6,574,474</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76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Soth</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4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3"/>
          </w:tcPr>
          <w:p>
            <w:pPr>
              <w:ind w:left="80"/>
              <w:spacing w:after="0"/>
              <w:rPr>
                <w:sz w:val="20"/>
                <w:szCs w:val="20"/>
                <w:color w:val="auto"/>
              </w:rPr>
            </w:pPr>
            <w:r>
              <w:rPr>
                <w:rFonts w:ascii="Arial" w:cs="Arial" w:eastAsia="Arial" w:hAnsi="Arial"/>
                <w:sz w:val="12"/>
                <w:szCs w:val="12"/>
                <w:b w:val="1"/>
                <w:bCs w:val="1"/>
                <w:color w:val="auto"/>
                <w:w w:val="99"/>
              </w:rPr>
              <w:t>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3"/>
              </w:rPr>
              <w:t>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64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60" w:type="dxa"/>
            <w:vAlign w:val="bottom"/>
            <w:gridSpan w:val="9"/>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 Partnership</w:t>
              </w:r>
            </w:hyperlink>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(First)</w:t>
            </w:r>
          </w:p>
        </w:tc>
        <w:tc>
          <w:tcPr>
            <w:tcW w:w="1340" w:type="dxa"/>
            <w:vAlign w:val="bottom"/>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F3</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(State)</w:t>
            </w:r>
          </w:p>
        </w:tc>
        <w:tc>
          <w:tcPr>
            <w:tcW w:w="1340" w:type="dxa"/>
            <w:vAlign w:val="bottom"/>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South Lake One LLC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260"/>
              <w:spacing w:after="0"/>
              <w:rPr>
                <w:sz w:val="20"/>
                <w:szCs w:val="20"/>
                <w:color w:val="auto"/>
              </w:rPr>
            </w:pPr>
            <w:r>
              <w:rPr>
                <w:rFonts w:ascii="Arial" w:cs="Arial" w:eastAsia="Arial" w:hAnsi="Arial"/>
                <w:sz w:val="13"/>
                <w:szCs w:val="13"/>
                <w:color w:val="auto"/>
              </w:rPr>
              <w:t>(First)</w:t>
            </w:r>
          </w:p>
        </w:tc>
        <w:tc>
          <w:tcPr>
            <w:tcW w:w="1620" w:type="dxa"/>
            <w:vAlign w:val="bottom"/>
          </w:tcPr>
          <w:p>
            <w:pPr>
              <w:ind w:left="2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r>
      <w:tr>
        <w:trPr>
          <w:trHeight w:val="267"/>
        </w:trPr>
        <w:tc>
          <w:tcPr>
            <w:tcW w:w="40" w:type="dxa"/>
            <w:vAlign w:val="bottom"/>
          </w:tcPr>
          <w:p>
            <w:pPr>
              <w:spacing w:after="0"/>
              <w:rPr>
                <w:sz w:val="23"/>
                <w:szCs w:val="23"/>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6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SANTIAGO</w:t>
            </w:r>
          </w:p>
        </w:tc>
        <w:tc>
          <w:tcPr>
            <w:tcW w:w="140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F3</w:t>
            </w:r>
          </w:p>
        </w:tc>
        <w:tc>
          <w:tcPr>
            <w:tcW w:w="162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26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-1185545</wp:posOffset>
            </wp:positionV>
            <wp:extent cx="2809240" cy="1264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126492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$7.785 to $8.00 per share, inclusive. The reporting persons undertake to provide Rani Therapeutics Holdings, Inc., a Delaware corporation (the "Issuer"), any security holder of the Issuer, or the staff of the Securities and Exchange Commission, upon request, full information regarding the number of shares sold at each separate price within the range set forth in this footnote (1) to this Form 4.</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South Cone Investments Limited Partnership directly owns 100% of the issued and outstanding membership interest of South Lake One LLC.</w:t>
      </w:r>
    </w:p>
    <w:p>
      <w:pPr>
        <w:sectPr>
          <w:pgSz w:w="11900" w:h="16838" w:orient="portrait"/>
          <w:cols w:equalWidth="0" w:num="1">
            <w:col w:w="10880"/>
          </w:cols>
          <w:pgMar w:left="500" w:top="125" w:right="51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One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6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Management LLC,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3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of South Cone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63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Investments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74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12" w:lineRule="exact"/>
        <w:rPr>
          <w:sz w:val="20"/>
          <w:szCs w:val="20"/>
          <w:color w:val="auto"/>
        </w:rPr>
      </w:pPr>
    </w:p>
    <w:p>
      <w:pPr>
        <w:sectPr>
          <w:pgSz w:w="11900" w:h="16838" w:orient="portrait"/>
          <w:cols w:equalWidth="0" w:num="2">
            <w:col w:w="8680" w:space="60"/>
            <w:col w:w="2140"/>
          </w:cols>
          <w:pgMar w:left="500" w:top="125" w:right="5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5"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2" Type="http://schemas.openxmlformats.org/officeDocument/2006/relationships/hyperlink" Target="http://www.sec.gov/cgi-bin/browse-edgar?action=getcompany&amp;CIK=0001876412" TargetMode="External"/><Relationship Id="rId13" Type="http://schemas.openxmlformats.org/officeDocument/2006/relationships/hyperlink" Target="http://www.sec.gov/cgi-bin/browse-edgar?action=getcompany&amp;CIK=0001856725" TargetMode="External"/><Relationship Id="rId15" Type="http://schemas.openxmlformats.org/officeDocument/2006/relationships/hyperlink" Target="http://www.sec.gov/cgi-bin/browse-edgar?action=getcompany&amp;CIK=000179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2022-12-02T12:58:38Z</dcterms:created>
  <dcterms:modified xsi:type="dcterms:W3CDTF">2022-12-02T12:58:38Z</dcterms:modified>
</cp:coreProperties>
</file>