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208280</wp:posOffset>
            </wp:positionH>
            <wp:positionV relativeFrom="page">
              <wp:posOffset>431800</wp:posOffset>
            </wp:positionV>
            <wp:extent cx="7132320" cy="26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2603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466090</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SECURITIES AND EXCHANGE COMMISSION</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Washington, D.C. 20549</w:t>
      </w:r>
    </w:p>
    <w:p>
      <w:pPr>
        <w:spacing w:after="0" w:line="20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SCHEDULE 13D</w:t>
      </w:r>
    </w:p>
    <w:p>
      <w:pPr>
        <w:spacing w:after="0" w:line="225"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Under the Securities Exchange Act of 1934</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(Amendment No. )*</w:t>
      </w:r>
    </w:p>
    <w:p>
      <w:pPr>
        <w:spacing w:after="0" w:line="202" w:lineRule="exact"/>
        <w:rPr>
          <w:sz w:val="24"/>
          <w:szCs w:val="24"/>
          <w:color w:val="auto"/>
        </w:rPr>
      </w:pPr>
    </w:p>
    <w:p>
      <w:pPr>
        <w:jc w:val="center"/>
        <w:ind w:right="-19"/>
        <w:spacing w:after="0"/>
        <w:rPr>
          <w:sz w:val="20"/>
          <w:szCs w:val="20"/>
          <w:color w:val="auto"/>
        </w:rPr>
      </w:pPr>
      <w:r>
        <w:rPr>
          <w:rFonts w:ascii="Arial" w:cs="Arial" w:eastAsia="Arial" w:hAnsi="Arial"/>
          <w:sz w:val="25"/>
          <w:szCs w:val="25"/>
          <w:b w:val="1"/>
          <w:bCs w:val="1"/>
          <w:color w:val="auto"/>
        </w:rPr>
        <w:t>Rani Therapeutics Holdings,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20320</wp:posOffset>
            </wp:positionV>
            <wp:extent cx="713232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21"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(Name of Issuer)</w:t>
      </w:r>
    </w:p>
    <w:p>
      <w:pPr>
        <w:spacing w:after="0" w:line="212"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Class A Common Stock, par value $0.0001 per share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8890</wp:posOffset>
            </wp:positionV>
            <wp:extent cx="713232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pacing w:after="0" w:line="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(Title of Class of Securities)</w:t>
      </w:r>
    </w:p>
    <w:p>
      <w:pPr>
        <w:spacing w:after="0" w:line="20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753018 100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(CUSIP Number)</w:t>
      </w:r>
    </w:p>
    <w:p>
      <w:pPr>
        <w:spacing w:after="0" w:line="220"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Isidoro Alfonso Quiroga Cortés</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Aequanimitas Limited Partnership</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Avenida Presidente Riesco 5711</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Oficina 1603,</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Las Condes, Santiago, Chile</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+56 22 798-9600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713232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jc w:val="center"/>
        <w:spacing w:after="0"/>
        <w:rPr>
          <w:sz w:val="20"/>
          <w:szCs w:val="20"/>
          <w:color w:val="auto"/>
        </w:rPr>
      </w:pPr>
      <w:r>
        <w:rPr>
          <w:rFonts w:ascii="Arial" w:cs="Arial" w:eastAsia="Arial" w:hAnsi="Arial"/>
          <w:sz w:val="18"/>
          <w:szCs w:val="18"/>
          <w:b w:val="1"/>
          <w:bCs w:val="1"/>
          <w:color w:val="auto"/>
        </w:rPr>
        <w:t>(Name, Address and Telephone Number of Person Authorized</w:t>
      </w:r>
    </w:p>
    <w:p>
      <w:pPr>
        <w:spacing w:after="0" w:line="23"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to Receive Notices and Communications)</w:t>
      </w:r>
    </w:p>
    <w:p>
      <w:pPr>
        <w:spacing w:after="0" w:line="20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August 30, 2021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(Date of Event Which Requires Filing of this Statement)</w:t>
      </w:r>
    </w:p>
    <w:p>
      <w:pPr>
        <w:spacing w:after="0" w:line="224" w:lineRule="exact"/>
        <w:rPr>
          <w:sz w:val="24"/>
          <w:szCs w:val="24"/>
          <w:color w:val="auto"/>
        </w:rPr>
      </w:pPr>
    </w:p>
    <w:p>
      <w:pPr>
        <w:spacing w:after="0" w:line="233" w:lineRule="exact"/>
        <w:rPr>
          <w:sz w:val="20"/>
          <w:szCs w:val="20"/>
          <w:color w:val="auto"/>
        </w:rPr>
      </w:pPr>
      <w:r>
        <w:rPr>
          <w:rFonts w:ascii="Arial" w:cs="Arial" w:eastAsia="Arial" w:hAnsi="Arial"/>
          <w:sz w:val="18"/>
          <w:szCs w:val="18"/>
          <w:color w:val="auto"/>
        </w:rPr>
        <w:t xml:space="preserve">If the filing person has previously filed a statement on Schedule 13G to report the acquisition that is the subject of this Schedule 13D, and is filing this schedule because of § 240.13d-1(e), 240.13d-1(f) or 240.13d-1(g), check the following box </w:t>
      </w:r>
      <w:r>
        <w:rPr>
          <w:rFonts w:ascii="MS PGothic" w:cs="MS PGothic" w:eastAsia="MS PGothic" w:hAnsi="MS PGothic"/>
          <w:sz w:val="18"/>
          <w:szCs w:val="18"/>
          <w:color w:val="auto"/>
        </w:rPr>
        <w:t>☐</w:t>
      </w:r>
      <w:r>
        <w:rPr>
          <w:rFonts w:ascii="Arial" w:cs="Arial" w:eastAsia="Arial" w:hAnsi="Arial"/>
          <w:sz w:val="18"/>
          <w:szCs w:val="18"/>
          <w:color w:val="auto"/>
        </w:rPr>
        <w:t>.</w:t>
      </w:r>
    </w:p>
    <w:p>
      <w:pPr>
        <w:spacing w:after="0" w:line="182" w:lineRule="exact"/>
        <w:rPr>
          <w:sz w:val="24"/>
          <w:szCs w:val="24"/>
          <w:color w:val="auto"/>
        </w:rPr>
      </w:pPr>
    </w:p>
    <w:p>
      <w:pPr>
        <w:spacing w:after="0" w:line="277" w:lineRule="auto"/>
        <w:rPr>
          <w:sz w:val="20"/>
          <w:szCs w:val="20"/>
          <w:color w:val="auto"/>
        </w:rPr>
      </w:pPr>
      <w:r>
        <w:rPr>
          <w:rFonts w:ascii="Arial" w:cs="Arial" w:eastAsia="Arial" w:hAnsi="Arial"/>
          <w:sz w:val="18"/>
          <w:szCs w:val="18"/>
          <w:color w:val="auto"/>
        </w:rPr>
        <w:t>Note: Schedules filed in paper format shall include a signed original and five copies of the schedule, including all exhibits. See § 240.13d-7(b) for other parties to whom copies are to be sent.</w:t>
      </w:r>
    </w:p>
    <w:p>
      <w:pPr>
        <w:spacing w:after="0" w:line="170" w:lineRule="exact"/>
        <w:rPr>
          <w:sz w:val="24"/>
          <w:szCs w:val="24"/>
          <w:color w:val="auto"/>
        </w:rPr>
      </w:pPr>
    </w:p>
    <w:p>
      <w:pPr>
        <w:ind w:firstLine="8"/>
        <w:spacing w:after="0" w:line="277" w:lineRule="auto"/>
        <w:tabs>
          <w:tab w:leader="none" w:pos="135" w:val="left"/>
        </w:tabs>
        <w:numPr>
          <w:ilvl w:val="0"/>
          <w:numId w:val="1"/>
        </w:numPr>
        <w:rPr>
          <w:rFonts w:ascii="Arial" w:cs="Arial" w:eastAsia="Arial" w:hAnsi="Arial"/>
          <w:sz w:val="18"/>
          <w:szCs w:val="18"/>
          <w:color w:val="auto"/>
        </w:rPr>
      </w:pPr>
      <w:r>
        <w:rPr>
          <w:rFonts w:ascii="Arial" w:cs="Arial" w:eastAsia="Arial" w:hAnsi="Arial"/>
          <w:sz w:val="18"/>
          <w:szCs w:val="18"/>
          <w:color w:val="auto"/>
        </w:rPr>
        <w:t>The remainder of this cover page shall be filled out for a reporting person’s initial filing on this form with respect to the subject class of securities, and for any subsequent amendment containing information which would alter disclosures provided in a prior cover page.</w:t>
      </w:r>
    </w:p>
    <w:p>
      <w:pPr>
        <w:spacing w:after="0" w:line="170" w:lineRule="exact"/>
        <w:rPr>
          <w:sz w:val="24"/>
          <w:szCs w:val="24"/>
          <w:color w:val="auto"/>
        </w:rPr>
      </w:pPr>
    </w:p>
    <w:p>
      <w:pPr>
        <w:spacing w:after="0" w:line="342" w:lineRule="auto"/>
        <w:rPr>
          <w:sz w:val="20"/>
          <w:szCs w:val="20"/>
          <w:color w:val="auto"/>
        </w:rPr>
      </w:pPr>
      <w:r>
        <w:rPr>
          <w:rFonts w:ascii="Arial" w:cs="Arial" w:eastAsia="Arial" w:hAnsi="Arial"/>
          <w:sz w:val="16"/>
          <w:szCs w:val="16"/>
          <w:color w:val="auto"/>
        </w:rPr>
        <w:t>The information required on the remainder of this cover page shall not be deemed to be “filed” for the purpose of Section 18 of the Securities Exchange Act of 1934 or otherwise subject to the liabilities of that section of the Act but shall be subject to all other provisions of the Act (however, see the Notes).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139065</wp:posOffset>
            </wp:positionV>
            <wp:extent cx="7132320" cy="260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2603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730250</wp:posOffset>
            </wp:positionV>
            <wp:extent cx="7132320"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99" w:right="339" w:bottom="1440" w:gutter="0" w:footer="0" w:header="0"/>
        </w:sectPr>
      </w:pPr>
    </w:p>
    <w:bookmarkStart w:id="1" w:name="page2"/>
    <w:bookmarkEnd w:id="1"/>
    <w:p>
      <w:pPr>
        <w:ind w:left="114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208280</wp:posOffset>
            </wp:positionH>
            <wp:positionV relativeFrom="page">
              <wp:posOffset>586105</wp:posOffset>
            </wp:positionV>
            <wp:extent cx="7132320" cy="66351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6635115"/>
                    </a:xfrm>
                    <a:prstGeom prst="rect">
                      <a:avLst/>
                    </a:prstGeom>
                    <a:noFill/>
                  </pic:spPr>
                </pic:pic>
              </a:graphicData>
            </a:graphic>
          </wp:anchor>
        </w:drawing>
        <w:t>NAME OF REPORTING PERSONS</w:t>
      </w:r>
    </w:p>
    <w:p>
      <w:pPr>
        <w:spacing w:after="0" w:line="23" w:lineRule="exact"/>
        <w:rPr>
          <w:sz w:val="20"/>
          <w:szCs w:val="20"/>
          <w:color w:val="auto"/>
        </w:rPr>
      </w:pPr>
    </w:p>
    <w:p>
      <w:pPr>
        <w:ind w:left="1140" w:right="4520" w:hanging="664"/>
        <w:spacing w:after="0" w:line="271" w:lineRule="auto"/>
        <w:tabs>
          <w:tab w:leader="none" w:pos="1140" w:val="left"/>
        </w:tabs>
        <w:numPr>
          <w:ilvl w:val="0"/>
          <w:numId w:val="2"/>
        </w:numPr>
        <w:rPr>
          <w:rFonts w:ascii="Arial" w:cs="Arial" w:eastAsia="Arial" w:hAnsi="Arial"/>
          <w:sz w:val="36"/>
          <w:szCs w:val="36"/>
          <w:color w:val="auto"/>
          <w:vertAlign w:val="subscript"/>
        </w:rPr>
      </w:pPr>
      <w:r>
        <w:rPr>
          <w:rFonts w:ascii="Arial" w:cs="Arial" w:eastAsia="Arial" w:hAnsi="Arial"/>
          <w:sz w:val="18"/>
          <w:szCs w:val="18"/>
          <w:color w:val="auto"/>
        </w:rPr>
        <w:t>I.R.S. IDENTIFICATION NOS. OF ABOVE PERSONS (ENTITIES ONLY) Aequanimitas Limited Partnership</w:t>
      </w:r>
    </w:p>
    <w:p>
      <w:pPr>
        <w:spacing w:after="0" w:line="135" w:lineRule="exact"/>
        <w:rPr>
          <w:sz w:val="20"/>
          <w:szCs w:val="20"/>
          <w:color w:val="auto"/>
        </w:rPr>
      </w:pPr>
    </w:p>
    <w:p>
      <w:pPr>
        <w:ind w:left="1140"/>
        <w:spacing w:after="0"/>
        <w:rPr>
          <w:sz w:val="20"/>
          <w:szCs w:val="20"/>
          <w:color w:val="auto"/>
        </w:rPr>
      </w:pPr>
      <w:r>
        <w:rPr>
          <w:rFonts w:ascii="Arial" w:cs="Arial" w:eastAsia="Arial" w:hAnsi="Arial"/>
          <w:sz w:val="18"/>
          <w:szCs w:val="18"/>
          <w:color w:val="auto"/>
        </w:rPr>
        <w:t>CHECK THE APPROPRIATE BOX IF A MEMBER OF A GROUP (See Instructions)</w:t>
      </w:r>
    </w:p>
    <w:p>
      <w:pPr>
        <w:ind w:left="1140" w:hanging="664"/>
        <w:spacing w:after="0" w:line="241" w:lineRule="exact"/>
        <w:tabs>
          <w:tab w:leader="none" w:pos="1140" w:val="left"/>
        </w:tabs>
        <w:numPr>
          <w:ilvl w:val="0"/>
          <w:numId w:val="3"/>
        </w:numPr>
        <w:rPr>
          <w:rFonts w:ascii="Arial" w:cs="Arial" w:eastAsia="Arial" w:hAnsi="Arial"/>
          <w:sz w:val="27"/>
          <w:szCs w:val="27"/>
          <w:color w:val="auto"/>
          <w:vertAlign w:val="subscript"/>
        </w:rPr>
      </w:pPr>
      <w:r>
        <w:rPr>
          <w:rFonts w:ascii="Arial" w:cs="Arial" w:eastAsia="Arial" w:hAnsi="Arial"/>
          <w:sz w:val="15"/>
          <w:szCs w:val="15"/>
          <w:color w:val="auto"/>
        </w:rPr>
        <w:t xml:space="preserve">(a) </w:t>
      </w:r>
      <w:r>
        <w:rPr>
          <w:rFonts w:ascii="MS PGothic" w:cs="MS PGothic" w:eastAsia="MS PGothic" w:hAnsi="MS PGothic"/>
          <w:sz w:val="15"/>
          <w:szCs w:val="15"/>
          <w:color w:val="auto"/>
        </w:rPr>
        <w:t>☐</w:t>
      </w:r>
    </w:p>
    <w:p>
      <w:pPr>
        <w:ind w:left="1140"/>
        <w:spacing w:after="0" w:line="207" w:lineRule="exact"/>
        <w:rPr>
          <w:rFonts w:ascii="Arial" w:cs="Arial" w:eastAsia="Arial" w:hAnsi="Arial"/>
          <w:sz w:val="27"/>
          <w:szCs w:val="27"/>
          <w:color w:val="auto"/>
          <w:vertAlign w:val="subscript"/>
        </w:rPr>
      </w:pPr>
      <w:r>
        <w:rPr>
          <w:rFonts w:ascii="Arial" w:cs="Arial" w:eastAsia="Arial" w:hAnsi="Arial"/>
          <w:sz w:val="18"/>
          <w:szCs w:val="18"/>
          <w:color w:val="auto"/>
        </w:rPr>
        <w:t xml:space="preserve">(b) </w:t>
      </w:r>
      <w:r>
        <w:rPr>
          <w:rFonts w:ascii="MS PGothic" w:cs="MS PGothic" w:eastAsia="MS PGothic" w:hAnsi="MS PGothic"/>
          <w:sz w:val="18"/>
          <w:szCs w:val="18"/>
          <w:color w:val="auto"/>
        </w:rPr>
        <w:t>☐</w:t>
      </w:r>
    </w:p>
    <w:p>
      <w:pPr>
        <w:spacing w:after="0" w:line="228" w:lineRule="exact"/>
        <w:rPr>
          <w:sz w:val="20"/>
          <w:szCs w:val="20"/>
          <w:color w:val="auto"/>
        </w:rPr>
      </w:pPr>
    </w:p>
    <w:p>
      <w:pPr>
        <w:ind w:left="1140" w:hanging="664"/>
        <w:spacing w:after="0"/>
        <w:tabs>
          <w:tab w:leader="none" w:pos="1140" w:val="left"/>
        </w:tabs>
        <w:numPr>
          <w:ilvl w:val="0"/>
          <w:numId w:val="4"/>
        </w:numPr>
        <w:rPr>
          <w:rFonts w:ascii="Arial" w:cs="Arial" w:eastAsia="Arial" w:hAnsi="Arial"/>
          <w:sz w:val="36"/>
          <w:szCs w:val="36"/>
          <w:color w:val="auto"/>
          <w:vertAlign w:val="subscript"/>
        </w:rPr>
      </w:pPr>
      <w:r>
        <w:rPr>
          <w:rFonts w:ascii="Arial" w:cs="Arial" w:eastAsia="Arial" w:hAnsi="Arial"/>
          <w:sz w:val="18"/>
          <w:szCs w:val="18"/>
          <w:color w:val="auto"/>
        </w:rPr>
        <w:t>SEC USE ONLY</w:t>
      </w:r>
    </w:p>
    <w:p>
      <w:pPr>
        <w:spacing w:after="0" w:line="200" w:lineRule="exact"/>
        <w:rPr>
          <w:sz w:val="20"/>
          <w:szCs w:val="20"/>
          <w:color w:val="auto"/>
        </w:rPr>
      </w:pP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620" w:type="dxa"/>
            <w:vAlign w:val="bottom"/>
            <w:vMerge w:val="restart"/>
          </w:tcPr>
          <w:p>
            <w:pPr>
              <w:jc w:val="right"/>
              <w:spacing w:after="0"/>
              <w:rPr>
                <w:sz w:val="20"/>
                <w:szCs w:val="20"/>
                <w:color w:val="auto"/>
              </w:rPr>
            </w:pPr>
            <w:r>
              <w:rPr>
                <w:rFonts w:ascii="Arial" w:cs="Arial" w:eastAsia="Arial" w:hAnsi="Arial"/>
                <w:sz w:val="18"/>
                <w:szCs w:val="18"/>
                <w:color w:val="auto"/>
              </w:rPr>
              <w:t>4</w:t>
            </w:r>
          </w:p>
        </w:tc>
        <w:tc>
          <w:tcPr>
            <w:tcW w:w="9460" w:type="dxa"/>
            <w:vAlign w:val="bottom"/>
            <w:gridSpan w:val="3"/>
          </w:tcPr>
          <w:p>
            <w:pPr>
              <w:ind w:left="520"/>
              <w:spacing w:after="0"/>
              <w:rPr>
                <w:sz w:val="20"/>
                <w:szCs w:val="20"/>
                <w:color w:val="auto"/>
              </w:rPr>
            </w:pPr>
            <w:r>
              <w:rPr>
                <w:rFonts w:ascii="Arial" w:cs="Arial" w:eastAsia="Arial" w:hAnsi="Arial"/>
                <w:sz w:val="18"/>
                <w:szCs w:val="18"/>
                <w:color w:val="auto"/>
              </w:rPr>
              <w:t>SOURCE OF FUNDS (See Instructions)</w:t>
            </w:r>
          </w:p>
        </w:tc>
        <w:tc>
          <w:tcPr>
            <w:tcW w:w="11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89"/>
        </w:trPr>
        <w:tc>
          <w:tcPr>
            <w:tcW w:w="620" w:type="dxa"/>
            <w:vAlign w:val="bottom"/>
            <w:vMerge w:val="continue"/>
          </w:tcPr>
          <w:p>
            <w:pPr>
              <w:spacing w:after="0"/>
              <w:rPr>
                <w:sz w:val="16"/>
                <w:szCs w:val="16"/>
                <w:color w:val="auto"/>
              </w:rPr>
            </w:pPr>
          </w:p>
        </w:tc>
        <w:tc>
          <w:tcPr>
            <w:tcW w:w="200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656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43"/>
        </w:trPr>
        <w:tc>
          <w:tcPr>
            <w:tcW w:w="620" w:type="dxa"/>
            <w:vAlign w:val="bottom"/>
          </w:tcPr>
          <w:p>
            <w:pPr>
              <w:spacing w:after="0"/>
              <w:rPr>
                <w:sz w:val="21"/>
                <w:szCs w:val="21"/>
                <w:color w:val="auto"/>
              </w:rPr>
            </w:pPr>
          </w:p>
        </w:tc>
        <w:tc>
          <w:tcPr>
            <w:tcW w:w="2000" w:type="dxa"/>
            <w:vAlign w:val="bottom"/>
          </w:tcPr>
          <w:p>
            <w:pPr>
              <w:ind w:left="520"/>
              <w:spacing w:after="0"/>
              <w:rPr>
                <w:sz w:val="20"/>
                <w:szCs w:val="20"/>
                <w:color w:val="auto"/>
              </w:rPr>
            </w:pPr>
            <w:r>
              <w:rPr>
                <w:rFonts w:ascii="Arial" w:cs="Arial" w:eastAsia="Arial" w:hAnsi="Arial"/>
                <w:sz w:val="18"/>
                <w:szCs w:val="18"/>
                <w:color w:val="auto"/>
              </w:rPr>
              <w:t>OO</w:t>
            </w:r>
          </w:p>
        </w:tc>
        <w:tc>
          <w:tcPr>
            <w:tcW w:w="900" w:type="dxa"/>
            <w:vAlign w:val="bottom"/>
          </w:tcPr>
          <w:p>
            <w:pPr>
              <w:spacing w:after="0"/>
              <w:rPr>
                <w:sz w:val="21"/>
                <w:szCs w:val="21"/>
                <w:color w:val="auto"/>
              </w:rPr>
            </w:pPr>
          </w:p>
        </w:tc>
        <w:tc>
          <w:tcPr>
            <w:tcW w:w="656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94"/>
        </w:trPr>
        <w:tc>
          <w:tcPr>
            <w:tcW w:w="620" w:type="dxa"/>
            <w:vAlign w:val="bottom"/>
            <w:tcBorders>
              <w:bottom w:val="single" w:sz="8" w:color="auto"/>
            </w:tcBorders>
          </w:tcPr>
          <w:p>
            <w:pPr>
              <w:spacing w:after="0"/>
              <w:rPr>
                <w:sz w:val="8"/>
                <w:szCs w:val="8"/>
                <w:color w:val="auto"/>
              </w:rPr>
            </w:pPr>
          </w:p>
        </w:tc>
        <w:tc>
          <w:tcPr>
            <w:tcW w:w="9460" w:type="dxa"/>
            <w:vAlign w:val="bottom"/>
            <w:tcBorders>
              <w:bottom w:val="single" w:sz="8" w:color="auto"/>
            </w:tcBorders>
            <w:gridSpan w:val="3"/>
          </w:tcPr>
          <w:p>
            <w:pPr>
              <w:spacing w:after="0"/>
              <w:rPr>
                <w:sz w:val="8"/>
                <w:szCs w:val="8"/>
                <w:color w:val="auto"/>
              </w:rPr>
            </w:pPr>
          </w:p>
        </w:tc>
        <w:tc>
          <w:tcPr>
            <w:tcW w:w="1160" w:type="dxa"/>
            <w:vAlign w:val="bottom"/>
            <w:tcBorders>
              <w:bottom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24"/>
        </w:trPr>
        <w:tc>
          <w:tcPr>
            <w:tcW w:w="620" w:type="dxa"/>
            <w:vAlign w:val="bottom"/>
            <w:vMerge w:val="restart"/>
          </w:tcPr>
          <w:p>
            <w:pPr>
              <w:jc w:val="right"/>
              <w:spacing w:after="0"/>
              <w:rPr>
                <w:sz w:val="20"/>
                <w:szCs w:val="20"/>
                <w:color w:val="auto"/>
              </w:rPr>
            </w:pPr>
            <w:r>
              <w:rPr>
                <w:rFonts w:ascii="Arial" w:cs="Arial" w:eastAsia="Arial" w:hAnsi="Arial"/>
                <w:sz w:val="18"/>
                <w:szCs w:val="18"/>
                <w:color w:val="auto"/>
              </w:rPr>
              <w:t>5</w:t>
            </w:r>
          </w:p>
        </w:tc>
        <w:tc>
          <w:tcPr>
            <w:tcW w:w="9460" w:type="dxa"/>
            <w:vAlign w:val="bottom"/>
            <w:gridSpan w:val="3"/>
          </w:tcPr>
          <w:p>
            <w:pPr>
              <w:ind w:left="520"/>
              <w:spacing w:after="0"/>
              <w:rPr>
                <w:sz w:val="20"/>
                <w:szCs w:val="20"/>
                <w:color w:val="auto"/>
              </w:rPr>
            </w:pPr>
            <w:r>
              <w:rPr>
                <w:rFonts w:ascii="Arial" w:cs="Arial" w:eastAsia="Arial" w:hAnsi="Arial"/>
                <w:sz w:val="18"/>
                <w:szCs w:val="18"/>
                <w:color w:val="auto"/>
              </w:rPr>
              <w:t>CHECK BOX IF DISCLOSURE OF LEGAL PROCEEDINGS IS REQUIRED PURSUANT TO ITEMS 2(d) or 2(e)</w:t>
            </w:r>
          </w:p>
        </w:tc>
        <w:tc>
          <w:tcPr>
            <w:tcW w:w="1160" w:type="dxa"/>
            <w:vAlign w:val="bottom"/>
          </w:tcPr>
          <w:p>
            <w:pPr>
              <w:ind w:left="460"/>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61"/>
        </w:trPr>
        <w:tc>
          <w:tcPr>
            <w:tcW w:w="620" w:type="dxa"/>
            <w:vAlign w:val="bottom"/>
            <w:vMerge w:val="continue"/>
          </w:tcPr>
          <w:p>
            <w:pPr>
              <w:spacing w:after="0"/>
              <w:rPr>
                <w:sz w:val="5"/>
                <w:szCs w:val="5"/>
                <w:color w:val="auto"/>
              </w:rPr>
            </w:pPr>
          </w:p>
        </w:tc>
        <w:tc>
          <w:tcPr>
            <w:tcW w:w="2000" w:type="dxa"/>
            <w:vAlign w:val="bottom"/>
          </w:tcPr>
          <w:p>
            <w:pPr>
              <w:spacing w:after="0"/>
              <w:rPr>
                <w:sz w:val="5"/>
                <w:szCs w:val="5"/>
                <w:color w:val="auto"/>
              </w:rPr>
            </w:pPr>
          </w:p>
        </w:tc>
        <w:tc>
          <w:tcPr>
            <w:tcW w:w="900" w:type="dxa"/>
            <w:vAlign w:val="bottom"/>
          </w:tcPr>
          <w:p>
            <w:pPr>
              <w:spacing w:after="0"/>
              <w:rPr>
                <w:sz w:val="5"/>
                <w:szCs w:val="5"/>
                <w:color w:val="auto"/>
              </w:rPr>
            </w:pPr>
          </w:p>
        </w:tc>
        <w:tc>
          <w:tcPr>
            <w:tcW w:w="6560" w:type="dxa"/>
            <w:vAlign w:val="bottom"/>
          </w:tcPr>
          <w:p>
            <w:pPr>
              <w:spacing w:after="0"/>
              <w:rPr>
                <w:sz w:val="5"/>
                <w:szCs w:val="5"/>
                <w:color w:val="auto"/>
              </w:rPr>
            </w:pPr>
          </w:p>
        </w:tc>
        <w:tc>
          <w:tcPr>
            <w:tcW w:w="11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29"/>
        </w:trPr>
        <w:tc>
          <w:tcPr>
            <w:tcW w:w="620" w:type="dxa"/>
            <w:vAlign w:val="bottom"/>
            <w:tcBorders>
              <w:bottom w:val="single" w:sz="8" w:color="auto"/>
            </w:tcBorders>
          </w:tcPr>
          <w:p>
            <w:pPr>
              <w:spacing w:after="0"/>
              <w:rPr>
                <w:sz w:val="19"/>
                <w:szCs w:val="19"/>
                <w:color w:val="auto"/>
              </w:rPr>
            </w:pPr>
          </w:p>
        </w:tc>
        <w:tc>
          <w:tcPr>
            <w:tcW w:w="9460" w:type="dxa"/>
            <w:vAlign w:val="bottom"/>
            <w:tcBorders>
              <w:bottom w:val="single" w:sz="8" w:color="auto"/>
            </w:tcBorders>
            <w:gridSpan w:val="3"/>
          </w:tcPr>
          <w:p>
            <w:pPr>
              <w:spacing w:after="0"/>
              <w:rPr>
                <w:sz w:val="19"/>
                <w:szCs w:val="19"/>
                <w:color w:val="auto"/>
              </w:rPr>
            </w:pPr>
          </w:p>
        </w:tc>
        <w:tc>
          <w:tcPr>
            <w:tcW w:w="116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304"/>
        </w:trPr>
        <w:tc>
          <w:tcPr>
            <w:tcW w:w="620" w:type="dxa"/>
            <w:vAlign w:val="bottom"/>
            <w:vMerge w:val="restart"/>
          </w:tcPr>
          <w:p>
            <w:pPr>
              <w:jc w:val="right"/>
              <w:spacing w:after="0"/>
              <w:rPr>
                <w:sz w:val="20"/>
                <w:szCs w:val="20"/>
                <w:color w:val="auto"/>
              </w:rPr>
            </w:pPr>
            <w:r>
              <w:rPr>
                <w:rFonts w:ascii="Arial" w:cs="Arial" w:eastAsia="Arial" w:hAnsi="Arial"/>
                <w:sz w:val="18"/>
                <w:szCs w:val="18"/>
                <w:color w:val="auto"/>
              </w:rPr>
              <w:t>6</w:t>
            </w:r>
          </w:p>
        </w:tc>
        <w:tc>
          <w:tcPr>
            <w:tcW w:w="9460" w:type="dxa"/>
            <w:vAlign w:val="bottom"/>
            <w:gridSpan w:val="3"/>
          </w:tcPr>
          <w:p>
            <w:pPr>
              <w:ind w:left="520"/>
              <w:spacing w:after="0"/>
              <w:rPr>
                <w:sz w:val="20"/>
                <w:szCs w:val="20"/>
                <w:color w:val="auto"/>
              </w:rPr>
            </w:pPr>
            <w:r>
              <w:rPr>
                <w:rFonts w:ascii="Arial" w:cs="Arial" w:eastAsia="Arial" w:hAnsi="Arial"/>
                <w:sz w:val="18"/>
                <w:szCs w:val="18"/>
                <w:color w:val="auto"/>
              </w:rPr>
              <w:t>CITIZENSHIP OR PLACE OF ORGANIZATION</w:t>
            </w: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9"/>
        </w:trPr>
        <w:tc>
          <w:tcPr>
            <w:tcW w:w="620" w:type="dxa"/>
            <w:vAlign w:val="bottom"/>
            <w:vMerge w:val="continue"/>
          </w:tcPr>
          <w:p>
            <w:pPr>
              <w:spacing w:after="0"/>
              <w:rPr>
                <w:sz w:val="16"/>
                <w:szCs w:val="16"/>
                <w:color w:val="auto"/>
              </w:rPr>
            </w:pPr>
          </w:p>
        </w:tc>
        <w:tc>
          <w:tcPr>
            <w:tcW w:w="200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656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43"/>
        </w:trPr>
        <w:tc>
          <w:tcPr>
            <w:tcW w:w="620" w:type="dxa"/>
            <w:vAlign w:val="bottom"/>
          </w:tcPr>
          <w:p>
            <w:pPr>
              <w:spacing w:after="0"/>
              <w:rPr>
                <w:sz w:val="21"/>
                <w:szCs w:val="21"/>
                <w:color w:val="auto"/>
              </w:rPr>
            </w:pPr>
          </w:p>
        </w:tc>
        <w:tc>
          <w:tcPr>
            <w:tcW w:w="2000" w:type="dxa"/>
            <w:vAlign w:val="bottom"/>
          </w:tcPr>
          <w:p>
            <w:pPr>
              <w:ind w:left="520"/>
              <w:spacing w:after="0"/>
              <w:rPr>
                <w:sz w:val="20"/>
                <w:szCs w:val="20"/>
                <w:color w:val="auto"/>
              </w:rPr>
            </w:pPr>
            <w:r>
              <w:rPr>
                <w:rFonts w:ascii="Arial" w:cs="Arial" w:eastAsia="Arial" w:hAnsi="Arial"/>
                <w:sz w:val="18"/>
                <w:szCs w:val="18"/>
                <w:color w:val="auto"/>
              </w:rPr>
              <w:t>Canada</w:t>
            </w:r>
          </w:p>
        </w:tc>
        <w:tc>
          <w:tcPr>
            <w:tcW w:w="900" w:type="dxa"/>
            <w:vAlign w:val="bottom"/>
          </w:tcPr>
          <w:p>
            <w:pPr>
              <w:spacing w:after="0"/>
              <w:rPr>
                <w:sz w:val="21"/>
                <w:szCs w:val="21"/>
                <w:color w:val="auto"/>
              </w:rPr>
            </w:pPr>
          </w:p>
        </w:tc>
        <w:tc>
          <w:tcPr>
            <w:tcW w:w="656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94"/>
        </w:trPr>
        <w:tc>
          <w:tcPr>
            <w:tcW w:w="620" w:type="dxa"/>
            <w:vAlign w:val="bottom"/>
            <w:tcBorders>
              <w:bottom w:val="single" w:sz="8" w:color="auto"/>
            </w:tcBorders>
          </w:tcPr>
          <w:p>
            <w:pPr>
              <w:spacing w:after="0"/>
              <w:rPr>
                <w:sz w:val="8"/>
                <w:szCs w:val="8"/>
                <w:color w:val="auto"/>
              </w:rPr>
            </w:pPr>
          </w:p>
        </w:tc>
        <w:tc>
          <w:tcPr>
            <w:tcW w:w="2000" w:type="dxa"/>
            <w:vAlign w:val="bottom"/>
            <w:tcBorders>
              <w:bottom w:val="single" w:sz="8" w:color="auto"/>
            </w:tcBorders>
          </w:tcPr>
          <w:p>
            <w:pPr>
              <w:spacing w:after="0"/>
              <w:rPr>
                <w:sz w:val="8"/>
                <w:szCs w:val="8"/>
                <w:color w:val="auto"/>
              </w:rPr>
            </w:pPr>
          </w:p>
        </w:tc>
        <w:tc>
          <w:tcPr>
            <w:tcW w:w="900" w:type="dxa"/>
            <w:vAlign w:val="bottom"/>
            <w:tcBorders>
              <w:bottom w:val="single" w:sz="8" w:color="auto"/>
            </w:tcBorders>
          </w:tcPr>
          <w:p>
            <w:pPr>
              <w:spacing w:after="0"/>
              <w:rPr>
                <w:sz w:val="8"/>
                <w:szCs w:val="8"/>
                <w:color w:val="auto"/>
              </w:rPr>
            </w:pPr>
          </w:p>
        </w:tc>
        <w:tc>
          <w:tcPr>
            <w:tcW w:w="6560" w:type="dxa"/>
            <w:vAlign w:val="bottom"/>
            <w:tcBorders>
              <w:bottom w:val="single" w:sz="8" w:color="auto"/>
            </w:tcBorders>
          </w:tcPr>
          <w:p>
            <w:pPr>
              <w:spacing w:after="0"/>
              <w:rPr>
                <w:sz w:val="8"/>
                <w:szCs w:val="8"/>
                <w:color w:val="auto"/>
              </w:rPr>
            </w:pPr>
          </w:p>
        </w:tc>
        <w:tc>
          <w:tcPr>
            <w:tcW w:w="1160" w:type="dxa"/>
            <w:vAlign w:val="bottom"/>
            <w:tcBorders>
              <w:bottom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90"/>
        </w:trPr>
        <w:tc>
          <w:tcPr>
            <w:tcW w:w="620" w:type="dxa"/>
            <w:vAlign w:val="bottom"/>
          </w:tcPr>
          <w:p>
            <w:pPr>
              <w:spacing w:after="0"/>
              <w:rPr>
                <w:sz w:val="24"/>
                <w:szCs w:val="24"/>
                <w:color w:val="auto"/>
              </w:rPr>
            </w:pPr>
          </w:p>
        </w:tc>
        <w:tc>
          <w:tcPr>
            <w:tcW w:w="2000" w:type="dxa"/>
            <w:vAlign w:val="bottom"/>
            <w:tcBorders>
              <w:right w:val="single" w:sz="8" w:color="auto"/>
            </w:tcBorders>
          </w:tcPr>
          <w:p>
            <w:pPr>
              <w:spacing w:after="0"/>
              <w:rPr>
                <w:sz w:val="24"/>
                <w:szCs w:val="24"/>
                <w:color w:val="auto"/>
              </w:rPr>
            </w:pPr>
          </w:p>
        </w:tc>
        <w:tc>
          <w:tcPr>
            <w:tcW w:w="9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79"/>
              </w:rPr>
              <w:t>7</w:t>
            </w:r>
          </w:p>
        </w:tc>
        <w:tc>
          <w:tcPr>
            <w:tcW w:w="6560" w:type="dxa"/>
            <w:vAlign w:val="bottom"/>
          </w:tcPr>
          <w:p>
            <w:pPr>
              <w:ind w:left="100"/>
              <w:spacing w:after="0"/>
              <w:rPr>
                <w:sz w:val="20"/>
                <w:szCs w:val="20"/>
                <w:color w:val="auto"/>
              </w:rPr>
            </w:pPr>
            <w:r>
              <w:rPr>
                <w:rFonts w:ascii="Arial" w:cs="Arial" w:eastAsia="Arial" w:hAnsi="Arial"/>
                <w:sz w:val="18"/>
                <w:szCs w:val="18"/>
                <w:color w:val="auto"/>
              </w:rPr>
              <w:t>SOLE VOTING POWER</w:t>
            </w: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2"/>
        </w:trPr>
        <w:tc>
          <w:tcPr>
            <w:tcW w:w="620" w:type="dxa"/>
            <w:vAlign w:val="bottom"/>
          </w:tcPr>
          <w:p>
            <w:pPr>
              <w:spacing w:after="0"/>
              <w:rPr>
                <w:sz w:val="10"/>
                <w:szCs w:val="10"/>
                <w:color w:val="auto"/>
              </w:rPr>
            </w:pPr>
          </w:p>
        </w:tc>
        <w:tc>
          <w:tcPr>
            <w:tcW w:w="2000" w:type="dxa"/>
            <w:vAlign w:val="bottom"/>
            <w:tcBorders>
              <w:right w:val="single" w:sz="8" w:color="auto"/>
            </w:tcBorders>
            <w:vMerge w:val="restart"/>
          </w:tcPr>
          <w:p>
            <w:pPr>
              <w:jc w:val="center"/>
              <w:ind w:right="530"/>
              <w:spacing w:after="0"/>
              <w:rPr>
                <w:sz w:val="20"/>
                <w:szCs w:val="20"/>
                <w:color w:val="auto"/>
              </w:rPr>
            </w:pPr>
            <w:r>
              <w:rPr>
                <w:rFonts w:ascii="Arial" w:cs="Arial" w:eastAsia="Arial" w:hAnsi="Arial"/>
                <w:sz w:val="18"/>
                <w:szCs w:val="18"/>
                <w:color w:val="auto"/>
                <w:w w:val="98"/>
              </w:rPr>
              <w:t>NUMBER OF</w:t>
            </w:r>
          </w:p>
        </w:tc>
        <w:tc>
          <w:tcPr>
            <w:tcW w:w="900" w:type="dxa"/>
            <w:vAlign w:val="bottom"/>
            <w:tcBorders>
              <w:right w:val="single" w:sz="8" w:color="auto"/>
            </w:tcBorders>
            <w:vMerge w:val="continue"/>
          </w:tcPr>
          <w:p>
            <w:pPr>
              <w:spacing w:after="0"/>
              <w:rPr>
                <w:sz w:val="10"/>
                <w:szCs w:val="10"/>
                <w:color w:val="auto"/>
              </w:rPr>
            </w:pPr>
          </w:p>
        </w:tc>
        <w:tc>
          <w:tcPr>
            <w:tcW w:w="6560" w:type="dxa"/>
            <w:vAlign w:val="bottom"/>
            <w:vMerge w:val="restart"/>
          </w:tcPr>
          <w:p>
            <w:pPr>
              <w:ind w:left="100"/>
              <w:spacing w:after="0"/>
              <w:rPr>
                <w:sz w:val="20"/>
                <w:szCs w:val="20"/>
                <w:color w:val="auto"/>
              </w:rPr>
            </w:pPr>
            <w:r>
              <w:rPr>
                <w:rFonts w:ascii="Arial" w:cs="Arial" w:eastAsia="Arial" w:hAnsi="Arial"/>
                <w:sz w:val="18"/>
                <w:szCs w:val="18"/>
                <w:color w:val="auto"/>
              </w:rPr>
              <w:t>5,202,298</w:t>
            </w:r>
          </w:p>
        </w:tc>
        <w:tc>
          <w:tcPr>
            <w:tcW w:w="11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8"/>
        </w:trPr>
        <w:tc>
          <w:tcPr>
            <w:tcW w:w="620" w:type="dxa"/>
            <w:vAlign w:val="bottom"/>
          </w:tcPr>
          <w:p>
            <w:pPr>
              <w:spacing w:after="0"/>
              <w:rPr>
                <w:sz w:val="9"/>
                <w:szCs w:val="9"/>
                <w:color w:val="auto"/>
              </w:rPr>
            </w:pPr>
          </w:p>
        </w:tc>
        <w:tc>
          <w:tcPr>
            <w:tcW w:w="2000" w:type="dxa"/>
            <w:vAlign w:val="bottom"/>
            <w:tcBorders>
              <w:right w:val="single" w:sz="8" w:color="auto"/>
            </w:tcBorders>
            <w:vMerge w:val="continue"/>
          </w:tcPr>
          <w:p>
            <w:pPr>
              <w:spacing w:after="0"/>
              <w:rPr>
                <w:sz w:val="9"/>
                <w:szCs w:val="9"/>
                <w:color w:val="auto"/>
              </w:rPr>
            </w:pPr>
          </w:p>
        </w:tc>
        <w:tc>
          <w:tcPr>
            <w:tcW w:w="900" w:type="dxa"/>
            <w:vAlign w:val="bottom"/>
            <w:tcBorders>
              <w:right w:val="single" w:sz="8" w:color="auto"/>
            </w:tcBorders>
          </w:tcPr>
          <w:p>
            <w:pPr>
              <w:spacing w:after="0"/>
              <w:rPr>
                <w:sz w:val="9"/>
                <w:szCs w:val="9"/>
                <w:color w:val="auto"/>
              </w:rPr>
            </w:pPr>
          </w:p>
        </w:tc>
        <w:tc>
          <w:tcPr>
            <w:tcW w:w="6560" w:type="dxa"/>
            <w:vAlign w:val="bottom"/>
            <w:vMerge w:val="continue"/>
          </w:tcPr>
          <w:p>
            <w:pPr>
              <w:spacing w:after="0"/>
              <w:rPr>
                <w:sz w:val="9"/>
                <w:szCs w:val="9"/>
                <w:color w:val="auto"/>
              </w:rPr>
            </w:pPr>
          </w:p>
        </w:tc>
        <w:tc>
          <w:tcPr>
            <w:tcW w:w="11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7"/>
        </w:trPr>
        <w:tc>
          <w:tcPr>
            <w:tcW w:w="620" w:type="dxa"/>
            <w:vAlign w:val="bottom"/>
          </w:tcPr>
          <w:p>
            <w:pPr>
              <w:spacing w:after="0"/>
              <w:rPr>
                <w:sz w:val="5"/>
                <w:szCs w:val="5"/>
                <w:color w:val="auto"/>
              </w:rPr>
            </w:pPr>
          </w:p>
        </w:tc>
        <w:tc>
          <w:tcPr>
            <w:tcW w:w="2000" w:type="dxa"/>
            <w:vAlign w:val="bottom"/>
            <w:tcBorders>
              <w:right w:val="single" w:sz="8" w:color="auto"/>
            </w:tcBorders>
            <w:vMerge w:val="continue"/>
          </w:tcPr>
          <w:p>
            <w:pPr>
              <w:spacing w:after="0"/>
              <w:rPr>
                <w:sz w:val="5"/>
                <w:szCs w:val="5"/>
                <w:color w:val="auto"/>
              </w:rPr>
            </w:pPr>
          </w:p>
        </w:tc>
        <w:tc>
          <w:tcPr>
            <w:tcW w:w="900" w:type="dxa"/>
            <w:vAlign w:val="bottom"/>
            <w:tcBorders>
              <w:right w:val="single" w:sz="8" w:color="auto"/>
            </w:tcBorders>
          </w:tcPr>
          <w:p>
            <w:pPr>
              <w:spacing w:after="0"/>
              <w:rPr>
                <w:sz w:val="5"/>
                <w:szCs w:val="5"/>
                <w:color w:val="auto"/>
              </w:rPr>
            </w:pPr>
          </w:p>
        </w:tc>
        <w:tc>
          <w:tcPr>
            <w:tcW w:w="6560" w:type="dxa"/>
            <w:vAlign w:val="bottom"/>
          </w:tcPr>
          <w:p>
            <w:pPr>
              <w:spacing w:after="0"/>
              <w:rPr>
                <w:sz w:val="5"/>
                <w:szCs w:val="5"/>
                <w:color w:val="auto"/>
              </w:rPr>
            </w:pPr>
          </w:p>
        </w:tc>
        <w:tc>
          <w:tcPr>
            <w:tcW w:w="11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8"/>
        </w:trPr>
        <w:tc>
          <w:tcPr>
            <w:tcW w:w="620" w:type="dxa"/>
            <w:vAlign w:val="bottom"/>
          </w:tcPr>
          <w:p>
            <w:pPr>
              <w:spacing w:after="0"/>
              <w:rPr>
                <w:sz w:val="2"/>
                <w:szCs w:val="2"/>
                <w:color w:val="auto"/>
              </w:rPr>
            </w:pPr>
          </w:p>
        </w:tc>
        <w:tc>
          <w:tcPr>
            <w:tcW w:w="2000" w:type="dxa"/>
            <w:vAlign w:val="bottom"/>
            <w:tcBorders>
              <w:right w:val="single" w:sz="8" w:color="auto"/>
            </w:tcBorders>
            <w:vMerge w:val="restart"/>
          </w:tcPr>
          <w:p>
            <w:pPr>
              <w:jc w:val="center"/>
              <w:ind w:right="530"/>
              <w:spacing w:after="0"/>
              <w:rPr>
                <w:sz w:val="20"/>
                <w:szCs w:val="20"/>
                <w:color w:val="auto"/>
              </w:rPr>
            </w:pPr>
            <w:r>
              <w:rPr>
                <w:rFonts w:ascii="Arial" w:cs="Arial" w:eastAsia="Arial" w:hAnsi="Arial"/>
                <w:sz w:val="18"/>
                <w:szCs w:val="18"/>
                <w:color w:val="auto"/>
                <w:w w:val="94"/>
              </w:rPr>
              <w:t>SHARES</w:t>
            </w:r>
          </w:p>
        </w:tc>
        <w:tc>
          <w:tcPr>
            <w:tcW w:w="900" w:type="dxa"/>
            <w:vAlign w:val="bottom"/>
            <w:tcBorders>
              <w:bottom w:val="single" w:sz="8" w:color="auto"/>
              <w:right w:val="single" w:sz="8" w:color="auto"/>
            </w:tcBorders>
          </w:tcPr>
          <w:p>
            <w:pPr>
              <w:spacing w:after="0"/>
              <w:rPr>
                <w:sz w:val="2"/>
                <w:szCs w:val="2"/>
                <w:color w:val="auto"/>
              </w:rPr>
            </w:pPr>
          </w:p>
        </w:tc>
        <w:tc>
          <w:tcPr>
            <w:tcW w:w="656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68"/>
        </w:trPr>
        <w:tc>
          <w:tcPr>
            <w:tcW w:w="620" w:type="dxa"/>
            <w:vAlign w:val="bottom"/>
          </w:tcPr>
          <w:p>
            <w:pPr>
              <w:spacing w:after="0"/>
              <w:rPr>
                <w:sz w:val="14"/>
                <w:szCs w:val="14"/>
                <w:color w:val="auto"/>
              </w:rPr>
            </w:pPr>
          </w:p>
        </w:tc>
        <w:tc>
          <w:tcPr>
            <w:tcW w:w="2000" w:type="dxa"/>
            <w:vAlign w:val="bottom"/>
            <w:tcBorders>
              <w:right w:val="single" w:sz="8" w:color="auto"/>
            </w:tcBorders>
            <w:vMerge w:val="continue"/>
          </w:tcPr>
          <w:p>
            <w:pPr>
              <w:spacing w:after="0"/>
              <w:rPr>
                <w:sz w:val="14"/>
                <w:szCs w:val="14"/>
                <w:color w:val="auto"/>
              </w:rPr>
            </w:pPr>
          </w:p>
        </w:tc>
        <w:tc>
          <w:tcPr>
            <w:tcW w:w="900" w:type="dxa"/>
            <w:vAlign w:val="bottom"/>
            <w:tcBorders>
              <w:right w:val="single" w:sz="8" w:color="auto"/>
            </w:tcBorders>
          </w:tcPr>
          <w:p>
            <w:pPr>
              <w:spacing w:after="0"/>
              <w:rPr>
                <w:sz w:val="14"/>
                <w:szCs w:val="14"/>
                <w:color w:val="auto"/>
              </w:rPr>
            </w:pPr>
          </w:p>
        </w:tc>
        <w:tc>
          <w:tcPr>
            <w:tcW w:w="6560" w:type="dxa"/>
            <w:vAlign w:val="bottom"/>
            <w:vMerge w:val="restart"/>
          </w:tcPr>
          <w:p>
            <w:pPr>
              <w:ind w:left="100"/>
              <w:spacing w:after="0"/>
              <w:rPr>
                <w:sz w:val="20"/>
                <w:szCs w:val="20"/>
                <w:color w:val="auto"/>
              </w:rPr>
            </w:pPr>
            <w:r>
              <w:rPr>
                <w:rFonts w:ascii="Arial" w:cs="Arial" w:eastAsia="Arial" w:hAnsi="Arial"/>
                <w:sz w:val="18"/>
                <w:szCs w:val="18"/>
                <w:color w:val="auto"/>
              </w:rPr>
              <w:t>SHARED VOTING POWER</w:t>
            </w:r>
          </w:p>
        </w:tc>
        <w:tc>
          <w:tcPr>
            <w:tcW w:w="1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1"/>
        </w:trPr>
        <w:tc>
          <w:tcPr>
            <w:tcW w:w="620" w:type="dxa"/>
            <w:vAlign w:val="bottom"/>
          </w:tcPr>
          <w:p>
            <w:pPr>
              <w:spacing w:after="0"/>
              <w:rPr>
                <w:sz w:val="10"/>
                <w:szCs w:val="10"/>
                <w:color w:val="auto"/>
              </w:rPr>
            </w:pPr>
          </w:p>
        </w:tc>
        <w:tc>
          <w:tcPr>
            <w:tcW w:w="2000" w:type="dxa"/>
            <w:vAlign w:val="bottom"/>
            <w:tcBorders>
              <w:right w:val="single" w:sz="8" w:color="auto"/>
            </w:tcBorders>
            <w:vMerge w:val="restart"/>
          </w:tcPr>
          <w:p>
            <w:pPr>
              <w:jc w:val="center"/>
              <w:ind w:right="530"/>
              <w:spacing w:after="0"/>
              <w:rPr>
                <w:sz w:val="20"/>
                <w:szCs w:val="20"/>
                <w:color w:val="auto"/>
              </w:rPr>
            </w:pPr>
            <w:r>
              <w:rPr>
                <w:rFonts w:ascii="Arial" w:cs="Arial" w:eastAsia="Arial" w:hAnsi="Arial"/>
                <w:sz w:val="18"/>
                <w:szCs w:val="18"/>
                <w:color w:val="auto"/>
                <w:w w:val="99"/>
              </w:rPr>
              <w:t>BENEFICIALLY</w:t>
            </w:r>
          </w:p>
        </w:tc>
        <w:tc>
          <w:tcPr>
            <w:tcW w:w="9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79"/>
              </w:rPr>
              <w:t>8</w:t>
            </w:r>
          </w:p>
        </w:tc>
        <w:tc>
          <w:tcPr>
            <w:tcW w:w="6560" w:type="dxa"/>
            <w:vAlign w:val="bottom"/>
            <w:vMerge w:val="continue"/>
          </w:tcPr>
          <w:p>
            <w:pPr>
              <w:spacing w:after="0"/>
              <w:rPr>
                <w:sz w:val="10"/>
                <w:szCs w:val="10"/>
                <w:color w:val="auto"/>
              </w:rPr>
            </w:pPr>
          </w:p>
        </w:tc>
        <w:tc>
          <w:tcPr>
            <w:tcW w:w="11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5"/>
        </w:trPr>
        <w:tc>
          <w:tcPr>
            <w:tcW w:w="620" w:type="dxa"/>
            <w:vAlign w:val="bottom"/>
          </w:tcPr>
          <w:p>
            <w:pPr>
              <w:spacing w:after="0"/>
              <w:rPr>
                <w:sz w:val="8"/>
                <w:szCs w:val="8"/>
                <w:color w:val="auto"/>
              </w:rPr>
            </w:pPr>
          </w:p>
        </w:tc>
        <w:tc>
          <w:tcPr>
            <w:tcW w:w="2000" w:type="dxa"/>
            <w:vAlign w:val="bottom"/>
            <w:tcBorders>
              <w:right w:val="single" w:sz="8" w:color="auto"/>
            </w:tcBorders>
            <w:vMerge w:val="continue"/>
          </w:tcPr>
          <w:p>
            <w:pPr>
              <w:spacing w:after="0"/>
              <w:rPr>
                <w:sz w:val="8"/>
                <w:szCs w:val="8"/>
                <w:color w:val="auto"/>
              </w:rPr>
            </w:pPr>
          </w:p>
        </w:tc>
        <w:tc>
          <w:tcPr>
            <w:tcW w:w="900" w:type="dxa"/>
            <w:vAlign w:val="bottom"/>
            <w:tcBorders>
              <w:right w:val="single" w:sz="8" w:color="auto"/>
            </w:tcBorders>
            <w:vMerge w:val="continue"/>
          </w:tcPr>
          <w:p>
            <w:pPr>
              <w:spacing w:after="0"/>
              <w:rPr>
                <w:sz w:val="8"/>
                <w:szCs w:val="8"/>
                <w:color w:val="auto"/>
              </w:rPr>
            </w:pPr>
          </w:p>
        </w:tc>
        <w:tc>
          <w:tcPr>
            <w:tcW w:w="6560" w:type="dxa"/>
            <w:vAlign w:val="bottom"/>
            <w:vMerge w:val="restart"/>
          </w:tcPr>
          <w:p>
            <w:pPr>
              <w:ind w:left="100"/>
              <w:spacing w:after="0"/>
              <w:rPr>
                <w:sz w:val="20"/>
                <w:szCs w:val="20"/>
                <w:color w:val="auto"/>
              </w:rPr>
            </w:pPr>
            <w:r>
              <w:rPr>
                <w:rFonts w:ascii="Arial" w:cs="Arial" w:eastAsia="Arial" w:hAnsi="Arial"/>
                <w:sz w:val="18"/>
                <w:szCs w:val="18"/>
                <w:color w:val="auto"/>
              </w:rPr>
              <w:t>0</w:t>
            </w:r>
          </w:p>
        </w:tc>
        <w:tc>
          <w:tcPr>
            <w:tcW w:w="11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6"/>
        </w:trPr>
        <w:tc>
          <w:tcPr>
            <w:tcW w:w="620" w:type="dxa"/>
            <w:vAlign w:val="bottom"/>
          </w:tcPr>
          <w:p>
            <w:pPr>
              <w:spacing w:after="0"/>
              <w:rPr>
                <w:sz w:val="11"/>
                <w:szCs w:val="11"/>
                <w:color w:val="auto"/>
              </w:rPr>
            </w:pPr>
          </w:p>
        </w:tc>
        <w:tc>
          <w:tcPr>
            <w:tcW w:w="2000" w:type="dxa"/>
            <w:vAlign w:val="bottom"/>
            <w:tcBorders>
              <w:right w:val="single" w:sz="8" w:color="auto"/>
            </w:tcBorders>
            <w:vMerge w:val="restart"/>
          </w:tcPr>
          <w:p>
            <w:pPr>
              <w:jc w:val="center"/>
              <w:ind w:right="530"/>
              <w:spacing w:after="0"/>
              <w:rPr>
                <w:sz w:val="20"/>
                <w:szCs w:val="20"/>
                <w:color w:val="auto"/>
              </w:rPr>
            </w:pPr>
            <w:r>
              <w:rPr>
                <w:rFonts w:ascii="Arial" w:cs="Arial" w:eastAsia="Arial" w:hAnsi="Arial"/>
                <w:sz w:val="18"/>
                <w:szCs w:val="18"/>
                <w:color w:val="auto"/>
                <w:w w:val="99"/>
              </w:rPr>
              <w:t>OWNED BY</w:t>
            </w:r>
          </w:p>
        </w:tc>
        <w:tc>
          <w:tcPr>
            <w:tcW w:w="900" w:type="dxa"/>
            <w:vAlign w:val="bottom"/>
            <w:tcBorders>
              <w:right w:val="single" w:sz="8" w:color="auto"/>
            </w:tcBorders>
          </w:tcPr>
          <w:p>
            <w:pPr>
              <w:spacing w:after="0"/>
              <w:rPr>
                <w:sz w:val="11"/>
                <w:szCs w:val="11"/>
                <w:color w:val="auto"/>
              </w:rPr>
            </w:pPr>
          </w:p>
        </w:tc>
        <w:tc>
          <w:tcPr>
            <w:tcW w:w="6560" w:type="dxa"/>
            <w:vAlign w:val="bottom"/>
            <w:vMerge w:val="continue"/>
          </w:tcPr>
          <w:p>
            <w:pPr>
              <w:spacing w:after="0"/>
              <w:rPr>
                <w:sz w:val="11"/>
                <w:szCs w:val="11"/>
                <w:color w:val="auto"/>
              </w:rPr>
            </w:pPr>
          </w:p>
        </w:tc>
        <w:tc>
          <w:tcPr>
            <w:tcW w:w="1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4"/>
        </w:trPr>
        <w:tc>
          <w:tcPr>
            <w:tcW w:w="620" w:type="dxa"/>
            <w:vAlign w:val="bottom"/>
          </w:tcPr>
          <w:p>
            <w:pPr>
              <w:spacing w:after="0"/>
              <w:rPr>
                <w:sz w:val="8"/>
                <w:szCs w:val="8"/>
                <w:color w:val="auto"/>
              </w:rPr>
            </w:pPr>
          </w:p>
        </w:tc>
        <w:tc>
          <w:tcPr>
            <w:tcW w:w="2000" w:type="dxa"/>
            <w:vAlign w:val="bottom"/>
            <w:tcBorders>
              <w:right w:val="single" w:sz="8" w:color="auto"/>
            </w:tcBorders>
            <w:vMerge w:val="continue"/>
          </w:tcPr>
          <w:p>
            <w:pPr>
              <w:spacing w:after="0"/>
              <w:rPr>
                <w:sz w:val="8"/>
                <w:szCs w:val="8"/>
                <w:color w:val="auto"/>
              </w:rPr>
            </w:pPr>
          </w:p>
        </w:tc>
        <w:tc>
          <w:tcPr>
            <w:tcW w:w="900" w:type="dxa"/>
            <w:vAlign w:val="bottom"/>
            <w:tcBorders>
              <w:bottom w:val="single" w:sz="8" w:color="auto"/>
              <w:right w:val="single" w:sz="8" w:color="auto"/>
            </w:tcBorders>
          </w:tcPr>
          <w:p>
            <w:pPr>
              <w:spacing w:after="0"/>
              <w:rPr>
                <w:sz w:val="8"/>
                <w:szCs w:val="8"/>
                <w:color w:val="auto"/>
              </w:rPr>
            </w:pPr>
          </w:p>
        </w:tc>
        <w:tc>
          <w:tcPr>
            <w:tcW w:w="6560" w:type="dxa"/>
            <w:vAlign w:val="bottom"/>
            <w:tcBorders>
              <w:bottom w:val="single" w:sz="8" w:color="auto"/>
            </w:tcBorders>
          </w:tcPr>
          <w:p>
            <w:pPr>
              <w:spacing w:after="0"/>
              <w:rPr>
                <w:sz w:val="8"/>
                <w:szCs w:val="8"/>
                <w:color w:val="auto"/>
              </w:rPr>
            </w:pPr>
          </w:p>
        </w:tc>
        <w:tc>
          <w:tcPr>
            <w:tcW w:w="1160" w:type="dxa"/>
            <w:vAlign w:val="bottom"/>
            <w:tcBorders>
              <w:bottom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82"/>
        </w:trPr>
        <w:tc>
          <w:tcPr>
            <w:tcW w:w="620" w:type="dxa"/>
            <w:vAlign w:val="bottom"/>
          </w:tcPr>
          <w:p>
            <w:pPr>
              <w:spacing w:after="0"/>
              <w:rPr>
                <w:sz w:val="15"/>
                <w:szCs w:val="15"/>
                <w:color w:val="auto"/>
              </w:rPr>
            </w:pPr>
          </w:p>
        </w:tc>
        <w:tc>
          <w:tcPr>
            <w:tcW w:w="2000" w:type="dxa"/>
            <w:vAlign w:val="bottom"/>
            <w:tcBorders>
              <w:right w:val="single" w:sz="8" w:color="auto"/>
            </w:tcBorders>
          </w:tcPr>
          <w:p>
            <w:pPr>
              <w:jc w:val="center"/>
              <w:ind w:right="530"/>
              <w:spacing w:after="0" w:line="182" w:lineRule="exact"/>
              <w:rPr>
                <w:sz w:val="20"/>
                <w:szCs w:val="20"/>
                <w:color w:val="auto"/>
              </w:rPr>
            </w:pPr>
            <w:r>
              <w:rPr>
                <w:rFonts w:ascii="Arial" w:cs="Arial" w:eastAsia="Arial" w:hAnsi="Arial"/>
                <w:sz w:val="18"/>
                <w:szCs w:val="18"/>
                <w:color w:val="auto"/>
                <w:w w:val="99"/>
              </w:rPr>
              <w:t>EACH</w:t>
            </w:r>
          </w:p>
        </w:tc>
        <w:tc>
          <w:tcPr>
            <w:tcW w:w="900" w:type="dxa"/>
            <w:vAlign w:val="bottom"/>
            <w:tcBorders>
              <w:right w:val="single" w:sz="8" w:color="auto"/>
            </w:tcBorders>
          </w:tcPr>
          <w:p>
            <w:pPr>
              <w:spacing w:after="0"/>
              <w:rPr>
                <w:sz w:val="15"/>
                <w:szCs w:val="15"/>
                <w:color w:val="auto"/>
              </w:rPr>
            </w:pPr>
          </w:p>
        </w:tc>
        <w:tc>
          <w:tcPr>
            <w:tcW w:w="6560" w:type="dxa"/>
            <w:vAlign w:val="bottom"/>
            <w:vMerge w:val="restart"/>
          </w:tcPr>
          <w:p>
            <w:pPr>
              <w:ind w:left="100"/>
              <w:spacing w:after="0"/>
              <w:rPr>
                <w:sz w:val="20"/>
                <w:szCs w:val="20"/>
                <w:color w:val="auto"/>
              </w:rPr>
            </w:pPr>
            <w:r>
              <w:rPr>
                <w:rFonts w:ascii="Arial" w:cs="Arial" w:eastAsia="Arial" w:hAnsi="Arial"/>
                <w:sz w:val="18"/>
                <w:szCs w:val="18"/>
                <w:color w:val="auto"/>
              </w:rPr>
              <w:t>SOLE DISPOSITIVE POWER</w:t>
            </w:r>
          </w:p>
        </w:tc>
        <w:tc>
          <w:tcPr>
            <w:tcW w:w="11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8"/>
        </w:trPr>
        <w:tc>
          <w:tcPr>
            <w:tcW w:w="620" w:type="dxa"/>
            <w:vAlign w:val="bottom"/>
          </w:tcPr>
          <w:p>
            <w:pPr>
              <w:spacing w:after="0"/>
              <w:rPr>
                <w:sz w:val="9"/>
                <w:szCs w:val="9"/>
                <w:color w:val="auto"/>
              </w:rPr>
            </w:pPr>
          </w:p>
        </w:tc>
        <w:tc>
          <w:tcPr>
            <w:tcW w:w="2000" w:type="dxa"/>
            <w:vAlign w:val="bottom"/>
            <w:tcBorders>
              <w:right w:val="single" w:sz="8" w:color="auto"/>
            </w:tcBorders>
            <w:vMerge w:val="restart"/>
          </w:tcPr>
          <w:p>
            <w:pPr>
              <w:jc w:val="center"/>
              <w:ind w:right="510"/>
              <w:spacing w:after="0"/>
              <w:rPr>
                <w:sz w:val="20"/>
                <w:szCs w:val="20"/>
                <w:color w:val="auto"/>
              </w:rPr>
            </w:pPr>
            <w:r>
              <w:rPr>
                <w:rFonts w:ascii="Arial" w:cs="Arial" w:eastAsia="Arial" w:hAnsi="Arial"/>
                <w:sz w:val="18"/>
                <w:szCs w:val="18"/>
                <w:color w:val="auto"/>
                <w:w w:val="93"/>
              </w:rPr>
              <w:t>REPORTING</w:t>
            </w:r>
          </w:p>
        </w:tc>
        <w:tc>
          <w:tcPr>
            <w:tcW w:w="9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79"/>
              </w:rPr>
              <w:t>9</w:t>
            </w:r>
          </w:p>
        </w:tc>
        <w:tc>
          <w:tcPr>
            <w:tcW w:w="6560" w:type="dxa"/>
            <w:vAlign w:val="bottom"/>
            <w:vMerge w:val="continue"/>
          </w:tcPr>
          <w:p>
            <w:pPr>
              <w:spacing w:after="0"/>
              <w:rPr>
                <w:sz w:val="9"/>
                <w:szCs w:val="9"/>
                <w:color w:val="auto"/>
              </w:rPr>
            </w:pPr>
          </w:p>
        </w:tc>
        <w:tc>
          <w:tcPr>
            <w:tcW w:w="11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8"/>
        </w:trPr>
        <w:tc>
          <w:tcPr>
            <w:tcW w:w="620" w:type="dxa"/>
            <w:vAlign w:val="bottom"/>
          </w:tcPr>
          <w:p>
            <w:pPr>
              <w:spacing w:after="0"/>
              <w:rPr>
                <w:sz w:val="9"/>
                <w:szCs w:val="9"/>
                <w:color w:val="auto"/>
              </w:rPr>
            </w:pPr>
          </w:p>
        </w:tc>
        <w:tc>
          <w:tcPr>
            <w:tcW w:w="2000" w:type="dxa"/>
            <w:vAlign w:val="bottom"/>
            <w:tcBorders>
              <w:right w:val="single" w:sz="8" w:color="auto"/>
            </w:tcBorders>
            <w:vMerge w:val="continue"/>
          </w:tcPr>
          <w:p>
            <w:pPr>
              <w:spacing w:after="0"/>
              <w:rPr>
                <w:sz w:val="9"/>
                <w:szCs w:val="9"/>
                <w:color w:val="auto"/>
              </w:rPr>
            </w:pPr>
          </w:p>
        </w:tc>
        <w:tc>
          <w:tcPr>
            <w:tcW w:w="900" w:type="dxa"/>
            <w:vAlign w:val="bottom"/>
            <w:tcBorders>
              <w:right w:val="single" w:sz="8" w:color="auto"/>
            </w:tcBorders>
            <w:vMerge w:val="continue"/>
          </w:tcPr>
          <w:p>
            <w:pPr>
              <w:spacing w:after="0"/>
              <w:rPr>
                <w:sz w:val="9"/>
                <w:szCs w:val="9"/>
                <w:color w:val="auto"/>
              </w:rPr>
            </w:pPr>
          </w:p>
        </w:tc>
        <w:tc>
          <w:tcPr>
            <w:tcW w:w="6560" w:type="dxa"/>
            <w:vAlign w:val="bottom"/>
            <w:vMerge w:val="restart"/>
          </w:tcPr>
          <w:p>
            <w:pPr>
              <w:ind w:left="100"/>
              <w:spacing w:after="0"/>
              <w:rPr>
                <w:sz w:val="20"/>
                <w:szCs w:val="20"/>
                <w:color w:val="auto"/>
              </w:rPr>
            </w:pPr>
            <w:r>
              <w:rPr>
                <w:rFonts w:ascii="Arial" w:cs="Arial" w:eastAsia="Arial" w:hAnsi="Arial"/>
                <w:sz w:val="18"/>
                <w:szCs w:val="18"/>
                <w:color w:val="auto"/>
              </w:rPr>
              <w:t>5,202,298</w:t>
            </w:r>
          </w:p>
        </w:tc>
        <w:tc>
          <w:tcPr>
            <w:tcW w:w="11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22"/>
        </w:trPr>
        <w:tc>
          <w:tcPr>
            <w:tcW w:w="620" w:type="dxa"/>
            <w:vAlign w:val="bottom"/>
          </w:tcPr>
          <w:p>
            <w:pPr>
              <w:spacing w:after="0"/>
              <w:rPr>
                <w:sz w:val="10"/>
                <w:szCs w:val="10"/>
                <w:color w:val="auto"/>
              </w:rPr>
            </w:pPr>
          </w:p>
        </w:tc>
        <w:tc>
          <w:tcPr>
            <w:tcW w:w="2000" w:type="dxa"/>
            <w:vAlign w:val="bottom"/>
            <w:tcBorders>
              <w:right w:val="single" w:sz="8" w:color="auto"/>
            </w:tcBorders>
            <w:vMerge w:val="restart"/>
          </w:tcPr>
          <w:p>
            <w:pPr>
              <w:jc w:val="center"/>
              <w:ind w:right="530"/>
              <w:spacing w:after="0"/>
              <w:rPr>
                <w:sz w:val="20"/>
                <w:szCs w:val="20"/>
                <w:color w:val="auto"/>
              </w:rPr>
            </w:pPr>
            <w:r>
              <w:rPr>
                <w:rFonts w:ascii="Arial" w:cs="Arial" w:eastAsia="Arial" w:hAnsi="Arial"/>
                <w:sz w:val="18"/>
                <w:szCs w:val="18"/>
                <w:color w:val="auto"/>
                <w:w w:val="92"/>
              </w:rPr>
              <w:t>PERSON</w:t>
            </w:r>
          </w:p>
        </w:tc>
        <w:tc>
          <w:tcPr>
            <w:tcW w:w="900" w:type="dxa"/>
            <w:vAlign w:val="bottom"/>
            <w:tcBorders>
              <w:right w:val="single" w:sz="8" w:color="auto"/>
            </w:tcBorders>
          </w:tcPr>
          <w:p>
            <w:pPr>
              <w:spacing w:after="0"/>
              <w:rPr>
                <w:sz w:val="10"/>
                <w:szCs w:val="10"/>
                <w:color w:val="auto"/>
              </w:rPr>
            </w:pPr>
          </w:p>
        </w:tc>
        <w:tc>
          <w:tcPr>
            <w:tcW w:w="6560" w:type="dxa"/>
            <w:vAlign w:val="bottom"/>
            <w:vMerge w:val="continue"/>
          </w:tcPr>
          <w:p>
            <w:pPr>
              <w:spacing w:after="0"/>
              <w:rPr>
                <w:sz w:val="10"/>
                <w:szCs w:val="10"/>
                <w:color w:val="auto"/>
              </w:rPr>
            </w:pPr>
          </w:p>
        </w:tc>
        <w:tc>
          <w:tcPr>
            <w:tcW w:w="11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4"/>
        </w:trPr>
        <w:tc>
          <w:tcPr>
            <w:tcW w:w="620" w:type="dxa"/>
            <w:vAlign w:val="bottom"/>
          </w:tcPr>
          <w:p>
            <w:pPr>
              <w:spacing w:after="0"/>
              <w:rPr>
                <w:sz w:val="8"/>
                <w:szCs w:val="8"/>
                <w:color w:val="auto"/>
              </w:rPr>
            </w:pPr>
          </w:p>
        </w:tc>
        <w:tc>
          <w:tcPr>
            <w:tcW w:w="2000" w:type="dxa"/>
            <w:vAlign w:val="bottom"/>
            <w:tcBorders>
              <w:right w:val="single" w:sz="8" w:color="auto"/>
            </w:tcBorders>
            <w:vMerge w:val="continue"/>
          </w:tcPr>
          <w:p>
            <w:pPr>
              <w:spacing w:after="0"/>
              <w:rPr>
                <w:sz w:val="8"/>
                <w:szCs w:val="8"/>
                <w:color w:val="auto"/>
              </w:rPr>
            </w:pPr>
          </w:p>
        </w:tc>
        <w:tc>
          <w:tcPr>
            <w:tcW w:w="900" w:type="dxa"/>
            <w:vAlign w:val="bottom"/>
            <w:tcBorders>
              <w:bottom w:val="single" w:sz="8" w:color="auto"/>
              <w:right w:val="single" w:sz="8" w:color="auto"/>
            </w:tcBorders>
          </w:tcPr>
          <w:p>
            <w:pPr>
              <w:spacing w:after="0"/>
              <w:rPr>
                <w:sz w:val="8"/>
                <w:szCs w:val="8"/>
                <w:color w:val="auto"/>
              </w:rPr>
            </w:pPr>
          </w:p>
        </w:tc>
        <w:tc>
          <w:tcPr>
            <w:tcW w:w="6560" w:type="dxa"/>
            <w:vAlign w:val="bottom"/>
            <w:tcBorders>
              <w:bottom w:val="single" w:sz="8" w:color="auto"/>
            </w:tcBorders>
          </w:tcPr>
          <w:p>
            <w:pPr>
              <w:spacing w:after="0"/>
              <w:rPr>
                <w:sz w:val="8"/>
                <w:szCs w:val="8"/>
                <w:color w:val="auto"/>
              </w:rPr>
            </w:pPr>
          </w:p>
        </w:tc>
        <w:tc>
          <w:tcPr>
            <w:tcW w:w="1160" w:type="dxa"/>
            <w:vAlign w:val="bottom"/>
            <w:tcBorders>
              <w:bottom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90"/>
        </w:trPr>
        <w:tc>
          <w:tcPr>
            <w:tcW w:w="620" w:type="dxa"/>
            <w:vAlign w:val="bottom"/>
          </w:tcPr>
          <w:p>
            <w:pPr>
              <w:spacing w:after="0"/>
              <w:rPr>
                <w:sz w:val="24"/>
                <w:szCs w:val="24"/>
                <w:color w:val="auto"/>
              </w:rPr>
            </w:pPr>
          </w:p>
        </w:tc>
        <w:tc>
          <w:tcPr>
            <w:tcW w:w="2000" w:type="dxa"/>
            <w:vAlign w:val="bottom"/>
            <w:tcBorders>
              <w:right w:val="single" w:sz="8" w:color="auto"/>
            </w:tcBorders>
          </w:tcPr>
          <w:p>
            <w:pPr>
              <w:spacing w:after="0"/>
              <w:rPr>
                <w:sz w:val="24"/>
                <w:szCs w:val="24"/>
                <w:color w:val="auto"/>
              </w:rPr>
            </w:pPr>
          </w:p>
        </w:tc>
        <w:tc>
          <w:tcPr>
            <w:tcW w:w="9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89"/>
              </w:rPr>
              <w:t>10</w:t>
            </w:r>
          </w:p>
        </w:tc>
        <w:tc>
          <w:tcPr>
            <w:tcW w:w="6560" w:type="dxa"/>
            <w:vAlign w:val="bottom"/>
          </w:tcPr>
          <w:p>
            <w:pPr>
              <w:ind w:left="100"/>
              <w:spacing w:after="0"/>
              <w:rPr>
                <w:sz w:val="20"/>
                <w:szCs w:val="20"/>
                <w:color w:val="auto"/>
              </w:rPr>
            </w:pPr>
            <w:r>
              <w:rPr>
                <w:rFonts w:ascii="Arial" w:cs="Arial" w:eastAsia="Arial" w:hAnsi="Arial"/>
                <w:sz w:val="18"/>
                <w:szCs w:val="18"/>
                <w:color w:val="auto"/>
              </w:rPr>
              <w:t>SHARED DISPOSITIVE POWER</w:t>
            </w: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2"/>
        </w:trPr>
        <w:tc>
          <w:tcPr>
            <w:tcW w:w="620" w:type="dxa"/>
            <w:vAlign w:val="bottom"/>
          </w:tcPr>
          <w:p>
            <w:pPr>
              <w:spacing w:after="0"/>
              <w:rPr>
                <w:sz w:val="10"/>
                <w:szCs w:val="10"/>
                <w:color w:val="auto"/>
              </w:rPr>
            </w:pPr>
          </w:p>
        </w:tc>
        <w:tc>
          <w:tcPr>
            <w:tcW w:w="2000" w:type="dxa"/>
            <w:vAlign w:val="bottom"/>
            <w:tcBorders>
              <w:right w:val="single" w:sz="8" w:color="auto"/>
            </w:tcBorders>
          </w:tcPr>
          <w:p>
            <w:pPr>
              <w:spacing w:after="0"/>
              <w:rPr>
                <w:sz w:val="10"/>
                <w:szCs w:val="10"/>
                <w:color w:val="auto"/>
              </w:rPr>
            </w:pPr>
          </w:p>
        </w:tc>
        <w:tc>
          <w:tcPr>
            <w:tcW w:w="900" w:type="dxa"/>
            <w:vAlign w:val="bottom"/>
            <w:tcBorders>
              <w:right w:val="single" w:sz="8" w:color="auto"/>
            </w:tcBorders>
            <w:vMerge w:val="continue"/>
          </w:tcPr>
          <w:p>
            <w:pPr>
              <w:spacing w:after="0"/>
              <w:rPr>
                <w:sz w:val="10"/>
                <w:szCs w:val="10"/>
                <w:color w:val="auto"/>
              </w:rPr>
            </w:pPr>
          </w:p>
        </w:tc>
        <w:tc>
          <w:tcPr>
            <w:tcW w:w="6560" w:type="dxa"/>
            <w:vAlign w:val="bottom"/>
            <w:vMerge w:val="restart"/>
          </w:tcPr>
          <w:p>
            <w:pPr>
              <w:ind w:left="100"/>
              <w:spacing w:after="0"/>
              <w:rPr>
                <w:sz w:val="20"/>
                <w:szCs w:val="20"/>
                <w:color w:val="auto"/>
              </w:rPr>
            </w:pPr>
            <w:r>
              <w:rPr>
                <w:rFonts w:ascii="Arial" w:cs="Arial" w:eastAsia="Arial" w:hAnsi="Arial"/>
                <w:sz w:val="18"/>
                <w:szCs w:val="18"/>
                <w:color w:val="auto"/>
              </w:rPr>
              <w:t>0</w:t>
            </w:r>
          </w:p>
        </w:tc>
        <w:tc>
          <w:tcPr>
            <w:tcW w:w="11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8"/>
        </w:trPr>
        <w:tc>
          <w:tcPr>
            <w:tcW w:w="620" w:type="dxa"/>
            <w:vAlign w:val="bottom"/>
          </w:tcPr>
          <w:p>
            <w:pPr>
              <w:spacing w:after="0"/>
              <w:rPr>
                <w:sz w:val="9"/>
                <w:szCs w:val="9"/>
                <w:color w:val="auto"/>
              </w:rPr>
            </w:pPr>
          </w:p>
        </w:tc>
        <w:tc>
          <w:tcPr>
            <w:tcW w:w="2000" w:type="dxa"/>
            <w:vAlign w:val="bottom"/>
            <w:tcBorders>
              <w:right w:val="single" w:sz="8" w:color="auto"/>
            </w:tcBorders>
          </w:tcPr>
          <w:p>
            <w:pPr>
              <w:spacing w:after="0"/>
              <w:rPr>
                <w:sz w:val="9"/>
                <w:szCs w:val="9"/>
                <w:color w:val="auto"/>
              </w:rPr>
            </w:pPr>
          </w:p>
        </w:tc>
        <w:tc>
          <w:tcPr>
            <w:tcW w:w="900" w:type="dxa"/>
            <w:vAlign w:val="bottom"/>
            <w:tcBorders>
              <w:right w:val="single" w:sz="8" w:color="auto"/>
            </w:tcBorders>
          </w:tcPr>
          <w:p>
            <w:pPr>
              <w:spacing w:after="0"/>
              <w:rPr>
                <w:sz w:val="9"/>
                <w:szCs w:val="9"/>
                <w:color w:val="auto"/>
              </w:rPr>
            </w:pPr>
          </w:p>
        </w:tc>
        <w:tc>
          <w:tcPr>
            <w:tcW w:w="6560" w:type="dxa"/>
            <w:vAlign w:val="bottom"/>
            <w:vMerge w:val="continue"/>
          </w:tcPr>
          <w:p>
            <w:pPr>
              <w:spacing w:after="0"/>
              <w:rPr>
                <w:sz w:val="9"/>
                <w:szCs w:val="9"/>
                <w:color w:val="auto"/>
              </w:rPr>
            </w:pPr>
          </w:p>
        </w:tc>
        <w:tc>
          <w:tcPr>
            <w:tcW w:w="11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95"/>
        </w:trPr>
        <w:tc>
          <w:tcPr>
            <w:tcW w:w="620" w:type="dxa"/>
            <w:vAlign w:val="bottom"/>
            <w:tcBorders>
              <w:bottom w:val="single" w:sz="8" w:color="auto"/>
            </w:tcBorders>
          </w:tcPr>
          <w:p>
            <w:pPr>
              <w:spacing w:after="0"/>
              <w:rPr>
                <w:sz w:val="8"/>
                <w:szCs w:val="8"/>
                <w:color w:val="auto"/>
              </w:rPr>
            </w:pPr>
          </w:p>
        </w:tc>
        <w:tc>
          <w:tcPr>
            <w:tcW w:w="2000" w:type="dxa"/>
            <w:vAlign w:val="bottom"/>
            <w:tcBorders>
              <w:bottom w:val="single" w:sz="8" w:color="auto"/>
              <w:right w:val="single" w:sz="8" w:color="auto"/>
            </w:tcBorders>
          </w:tcPr>
          <w:p>
            <w:pPr>
              <w:spacing w:after="0"/>
              <w:rPr>
                <w:sz w:val="8"/>
                <w:szCs w:val="8"/>
                <w:color w:val="auto"/>
              </w:rPr>
            </w:pPr>
          </w:p>
        </w:tc>
        <w:tc>
          <w:tcPr>
            <w:tcW w:w="900" w:type="dxa"/>
            <w:vAlign w:val="bottom"/>
            <w:tcBorders>
              <w:bottom w:val="single" w:sz="8" w:color="auto"/>
              <w:right w:val="single" w:sz="8" w:color="auto"/>
            </w:tcBorders>
          </w:tcPr>
          <w:p>
            <w:pPr>
              <w:spacing w:after="0"/>
              <w:rPr>
                <w:sz w:val="8"/>
                <w:szCs w:val="8"/>
                <w:color w:val="auto"/>
              </w:rPr>
            </w:pPr>
          </w:p>
        </w:tc>
        <w:tc>
          <w:tcPr>
            <w:tcW w:w="6560" w:type="dxa"/>
            <w:vAlign w:val="bottom"/>
            <w:tcBorders>
              <w:bottom w:val="single" w:sz="8" w:color="auto"/>
            </w:tcBorders>
          </w:tcPr>
          <w:p>
            <w:pPr>
              <w:spacing w:after="0"/>
              <w:rPr>
                <w:sz w:val="8"/>
                <w:szCs w:val="8"/>
                <w:color w:val="auto"/>
              </w:rPr>
            </w:pPr>
          </w:p>
        </w:tc>
        <w:tc>
          <w:tcPr>
            <w:tcW w:w="1160" w:type="dxa"/>
            <w:vAlign w:val="bottom"/>
            <w:tcBorders>
              <w:bottom w:val="single" w:sz="8" w:color="auto"/>
            </w:tcBorders>
          </w:tcPr>
          <w:p>
            <w:pPr>
              <w:spacing w:after="0"/>
              <w:rPr>
                <w:sz w:val="8"/>
                <w:szCs w:val="8"/>
                <w:color w:val="auto"/>
              </w:rPr>
            </w:pPr>
          </w:p>
        </w:tc>
        <w:tc>
          <w:tcPr>
            <w:tcW w:w="0" w:type="dxa"/>
            <w:vAlign w:val="bottom"/>
          </w:tcPr>
          <w:p>
            <w:pPr>
              <w:spacing w:after="0"/>
              <w:rPr>
                <w:sz w:val="1"/>
                <w:szCs w:val="1"/>
                <w:color w:val="auto"/>
              </w:rPr>
            </w:pPr>
          </w:p>
        </w:tc>
      </w:tr>
    </w:tbl>
    <w:p>
      <w:pPr>
        <w:spacing w:after="0" w:line="78" w:lineRule="exact"/>
        <w:rPr>
          <w:sz w:val="20"/>
          <w:szCs w:val="20"/>
          <w:color w:val="auto"/>
        </w:rPr>
      </w:pPr>
    </w:p>
    <w:p>
      <w:pPr>
        <w:ind w:left="1140"/>
        <w:spacing w:after="0"/>
        <w:rPr>
          <w:sz w:val="20"/>
          <w:szCs w:val="20"/>
          <w:color w:val="auto"/>
        </w:rPr>
      </w:pPr>
      <w:r>
        <w:rPr>
          <w:rFonts w:ascii="Arial" w:cs="Arial" w:eastAsia="Arial" w:hAnsi="Arial"/>
          <w:sz w:val="18"/>
          <w:szCs w:val="18"/>
          <w:color w:val="auto"/>
        </w:rPr>
        <w:t>AGGREGATE AMOUNT BENEFICIALLY OWNED BY EACH REPORTING PERSON</w:t>
      </w:r>
    </w:p>
    <w:p>
      <w:pPr>
        <w:ind w:left="440"/>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p>
    <w:p>
      <w:pPr>
        <w:ind w:left="1140"/>
        <w:spacing w:after="0"/>
        <w:rPr>
          <w:sz w:val="20"/>
          <w:szCs w:val="20"/>
          <w:color w:val="auto"/>
        </w:rPr>
      </w:pPr>
      <w:r>
        <w:rPr>
          <w:rFonts w:ascii="Arial" w:cs="Arial" w:eastAsia="Arial" w:hAnsi="Arial"/>
          <w:sz w:val="18"/>
          <w:szCs w:val="18"/>
          <w:color w:val="auto"/>
        </w:rPr>
        <w:t>5,202,298</w:t>
      </w:r>
    </w:p>
    <w:p>
      <w:pPr>
        <w:spacing w:after="0" w:line="179" w:lineRule="exact"/>
        <w:rPr>
          <w:sz w:val="20"/>
          <w:szCs w:val="20"/>
          <w:color w:val="auto"/>
        </w:rPr>
      </w:pPr>
    </w:p>
    <w:tbl>
      <w:tblPr>
        <w:tblLayout w:type="fixed"/>
        <w:tblInd w:w="440" w:type="dxa"/>
        <w:tblCellMar>
          <w:top w:w="0" w:type="dxa"/>
          <w:left w:w="0" w:type="dxa"/>
          <w:bottom w:w="0" w:type="dxa"/>
          <w:right w:w="0" w:type="dxa"/>
        </w:tblCellMar>
      </w:tblPr>
      <w:tr>
        <w:trPr>
          <w:trHeight w:val="283"/>
        </w:trPr>
        <w:tc>
          <w:tcPr>
            <w:tcW w:w="440" w:type="dxa"/>
            <w:vAlign w:val="bottom"/>
          </w:tcPr>
          <w:p>
            <w:pPr>
              <w:jc w:val="right"/>
              <w:ind w:right="170"/>
              <w:spacing w:after="0"/>
              <w:rPr>
                <w:sz w:val="20"/>
                <w:szCs w:val="20"/>
                <w:color w:val="auto"/>
              </w:rPr>
            </w:pPr>
            <w:r>
              <w:rPr>
                <w:rFonts w:ascii="Arial" w:cs="Arial" w:eastAsia="Arial" w:hAnsi="Arial"/>
                <w:sz w:val="18"/>
                <w:szCs w:val="18"/>
                <w:color w:val="auto"/>
                <w:w w:val="79"/>
              </w:rPr>
              <w:t>12</w:t>
            </w:r>
          </w:p>
        </w:tc>
        <w:tc>
          <w:tcPr>
            <w:tcW w:w="9140" w:type="dxa"/>
            <w:vAlign w:val="bottom"/>
          </w:tcPr>
          <w:p>
            <w:pPr>
              <w:ind w:left="260"/>
              <w:spacing w:after="0"/>
              <w:rPr>
                <w:sz w:val="20"/>
                <w:szCs w:val="20"/>
                <w:color w:val="auto"/>
              </w:rPr>
            </w:pPr>
            <w:r>
              <w:rPr>
                <w:rFonts w:ascii="Arial" w:cs="Arial" w:eastAsia="Arial" w:hAnsi="Arial"/>
                <w:sz w:val="18"/>
                <w:szCs w:val="18"/>
                <w:color w:val="auto"/>
                <w:w w:val="99"/>
              </w:rPr>
              <w:t>CHECK BOX IF THE AGGREGATE AMOUNT IN ROW (11) EXCLUDES CERTAIN SHARES (See Instructions)</w:t>
            </w:r>
          </w:p>
        </w:tc>
        <w:tc>
          <w:tcPr>
            <w:tcW w:w="580" w:type="dxa"/>
            <w:vAlign w:val="bottom"/>
          </w:tcPr>
          <w:p>
            <w:pPr>
              <w:ind w:left="420"/>
              <w:spacing w:after="0" w:line="181" w:lineRule="exact"/>
              <w:rPr>
                <w:sz w:val="20"/>
                <w:szCs w:val="20"/>
                <w:color w:val="auto"/>
              </w:rPr>
            </w:pPr>
            <w:r>
              <w:rPr>
                <w:rFonts w:ascii="MS PGothic" w:cs="MS PGothic" w:eastAsia="MS PGothic" w:hAnsi="MS PGothic"/>
                <w:sz w:val="18"/>
                <w:szCs w:val="18"/>
                <w:color w:val="auto"/>
                <w:w w:val="77"/>
              </w:rPr>
              <w:t>☐</w:t>
            </w:r>
          </w:p>
        </w:tc>
      </w:tr>
    </w:tbl>
    <w:p>
      <w:pPr>
        <w:spacing w:after="0" w:line="209" w:lineRule="exact"/>
        <w:rPr>
          <w:sz w:val="20"/>
          <w:szCs w:val="20"/>
          <w:color w:val="auto"/>
        </w:rPr>
      </w:pPr>
    </w:p>
    <w:p>
      <w:pPr>
        <w:ind w:left="1140" w:right="4960" w:hanging="709"/>
        <w:spacing w:after="0" w:line="182" w:lineRule="auto"/>
        <w:tabs>
          <w:tab w:leader="none" w:pos="1140" w:val="left"/>
        </w:tabs>
        <w:numPr>
          <w:ilvl w:val="0"/>
          <w:numId w:val="5"/>
        </w:numPr>
        <w:rPr>
          <w:rFonts w:ascii="Arial" w:cs="Arial" w:eastAsia="Arial" w:hAnsi="Arial"/>
          <w:sz w:val="34"/>
          <w:szCs w:val="34"/>
          <w:color w:val="auto"/>
          <w:vertAlign w:val="subscript"/>
        </w:rPr>
      </w:pPr>
      <w:r>
        <w:rPr>
          <w:rFonts w:ascii="Arial" w:cs="Arial" w:eastAsia="Arial" w:hAnsi="Arial"/>
          <w:sz w:val="17"/>
          <w:szCs w:val="17"/>
          <w:color w:val="auto"/>
        </w:rPr>
        <w:t>PERCENT OF CLASS REPRESENTED BY AMOUNT IN ROW (11) 26.39%</w:t>
      </w:r>
    </w:p>
    <w:p>
      <w:pPr>
        <w:spacing w:after="0" w:line="188" w:lineRule="exact"/>
        <w:rPr>
          <w:sz w:val="20"/>
          <w:szCs w:val="20"/>
          <w:color w:val="auto"/>
        </w:rPr>
      </w:pPr>
    </w:p>
    <w:p>
      <w:pPr>
        <w:ind w:left="1140"/>
        <w:spacing w:after="0"/>
        <w:rPr>
          <w:sz w:val="20"/>
          <w:szCs w:val="20"/>
          <w:color w:val="auto"/>
        </w:rPr>
      </w:pPr>
      <w:r>
        <w:rPr>
          <w:rFonts w:ascii="Arial" w:cs="Arial" w:eastAsia="Arial" w:hAnsi="Arial"/>
          <w:sz w:val="18"/>
          <w:szCs w:val="18"/>
          <w:color w:val="auto"/>
        </w:rPr>
        <w:t>TYPE OF REPORTING PERSON (See Instructions)</w:t>
      </w:r>
    </w:p>
    <w:p>
      <w:pPr>
        <w:ind w:left="440"/>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p>
    <w:p>
      <w:pPr>
        <w:ind w:left="1140"/>
        <w:spacing w:after="0"/>
        <w:rPr>
          <w:sz w:val="20"/>
          <w:szCs w:val="20"/>
          <w:color w:val="auto"/>
        </w:rPr>
      </w:pPr>
      <w:r>
        <w:rPr>
          <w:rFonts w:ascii="Arial" w:cs="Arial" w:eastAsia="Arial" w:hAnsi="Arial"/>
          <w:sz w:val="18"/>
          <w:szCs w:val="18"/>
          <w:color w:val="auto"/>
        </w:rPr>
        <w:t>PN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648970</wp:posOffset>
            </wp:positionV>
            <wp:extent cx="713232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1016" w:right="339" w:bottom="1440" w:gutter="0" w:footer="0" w:header="0"/>
        </w:sectPr>
      </w:pPr>
    </w:p>
    <w:bookmarkStart w:id="2" w:name="page3"/>
    <w:bookmarkEnd w:id="2"/>
    <w:p>
      <w:pPr>
        <w:ind w:left="114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208280</wp:posOffset>
            </wp:positionH>
            <wp:positionV relativeFrom="page">
              <wp:posOffset>723265</wp:posOffset>
            </wp:positionV>
            <wp:extent cx="7132320" cy="66351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6635115"/>
                    </a:xfrm>
                    <a:prstGeom prst="rect">
                      <a:avLst/>
                    </a:prstGeom>
                    <a:noFill/>
                  </pic:spPr>
                </pic:pic>
              </a:graphicData>
            </a:graphic>
          </wp:anchor>
        </w:drawing>
        <w:t>NAME OF REPORTING PERSONS</w:t>
      </w:r>
    </w:p>
    <w:p>
      <w:pPr>
        <w:spacing w:after="0" w:line="23" w:lineRule="exact"/>
        <w:rPr>
          <w:sz w:val="20"/>
          <w:szCs w:val="20"/>
          <w:color w:val="auto"/>
        </w:rPr>
      </w:pPr>
    </w:p>
    <w:p>
      <w:pPr>
        <w:ind w:left="1140" w:right="4520" w:hanging="664"/>
        <w:spacing w:after="0" w:line="271" w:lineRule="auto"/>
        <w:tabs>
          <w:tab w:leader="none" w:pos="1140" w:val="left"/>
        </w:tabs>
        <w:numPr>
          <w:ilvl w:val="0"/>
          <w:numId w:val="6"/>
        </w:numPr>
        <w:rPr>
          <w:rFonts w:ascii="Arial" w:cs="Arial" w:eastAsia="Arial" w:hAnsi="Arial"/>
          <w:sz w:val="36"/>
          <w:szCs w:val="36"/>
          <w:color w:val="auto"/>
          <w:vertAlign w:val="subscript"/>
        </w:rPr>
      </w:pPr>
      <w:r>
        <w:rPr>
          <w:rFonts w:ascii="Arial" w:cs="Arial" w:eastAsia="Arial" w:hAnsi="Arial"/>
          <w:sz w:val="18"/>
          <w:szCs w:val="18"/>
          <w:color w:val="auto"/>
        </w:rPr>
        <w:t>I.R.S. IDENTIFICATION NOS. OF ABOVE PERSONS (ENTITIES ONLY) Isidoro Alfonso Quiroga Cortés</w:t>
      </w:r>
    </w:p>
    <w:p>
      <w:pPr>
        <w:spacing w:after="0" w:line="135" w:lineRule="exact"/>
        <w:rPr>
          <w:sz w:val="20"/>
          <w:szCs w:val="20"/>
          <w:color w:val="auto"/>
        </w:rPr>
      </w:pPr>
    </w:p>
    <w:p>
      <w:pPr>
        <w:ind w:left="1140"/>
        <w:spacing w:after="0"/>
        <w:rPr>
          <w:sz w:val="20"/>
          <w:szCs w:val="20"/>
          <w:color w:val="auto"/>
        </w:rPr>
      </w:pPr>
      <w:r>
        <w:rPr>
          <w:rFonts w:ascii="Arial" w:cs="Arial" w:eastAsia="Arial" w:hAnsi="Arial"/>
          <w:sz w:val="18"/>
          <w:szCs w:val="18"/>
          <w:color w:val="auto"/>
        </w:rPr>
        <w:t>CHECK THE APPROPRIATE BOX IF A MEMBER OF A GROUP (See Instructions)</w:t>
      </w:r>
    </w:p>
    <w:p>
      <w:pPr>
        <w:ind w:left="1140" w:hanging="664"/>
        <w:spacing w:after="0" w:line="241" w:lineRule="exact"/>
        <w:tabs>
          <w:tab w:leader="none" w:pos="1140" w:val="left"/>
        </w:tabs>
        <w:numPr>
          <w:ilvl w:val="0"/>
          <w:numId w:val="7"/>
        </w:numPr>
        <w:rPr>
          <w:rFonts w:ascii="Arial" w:cs="Arial" w:eastAsia="Arial" w:hAnsi="Arial"/>
          <w:sz w:val="27"/>
          <w:szCs w:val="27"/>
          <w:color w:val="auto"/>
          <w:vertAlign w:val="subscript"/>
        </w:rPr>
      </w:pPr>
      <w:r>
        <w:rPr>
          <w:rFonts w:ascii="Arial" w:cs="Arial" w:eastAsia="Arial" w:hAnsi="Arial"/>
          <w:sz w:val="15"/>
          <w:szCs w:val="15"/>
          <w:color w:val="auto"/>
        </w:rPr>
        <w:t xml:space="preserve">(a) </w:t>
      </w:r>
      <w:r>
        <w:rPr>
          <w:rFonts w:ascii="MS PGothic" w:cs="MS PGothic" w:eastAsia="MS PGothic" w:hAnsi="MS PGothic"/>
          <w:sz w:val="15"/>
          <w:szCs w:val="15"/>
          <w:color w:val="auto"/>
        </w:rPr>
        <w:t>☐</w:t>
      </w:r>
    </w:p>
    <w:p>
      <w:pPr>
        <w:ind w:left="1140"/>
        <w:spacing w:after="0" w:line="207" w:lineRule="exact"/>
        <w:rPr>
          <w:rFonts w:ascii="Arial" w:cs="Arial" w:eastAsia="Arial" w:hAnsi="Arial"/>
          <w:sz w:val="27"/>
          <w:szCs w:val="27"/>
          <w:color w:val="auto"/>
          <w:vertAlign w:val="subscript"/>
        </w:rPr>
      </w:pPr>
      <w:r>
        <w:rPr>
          <w:rFonts w:ascii="Arial" w:cs="Arial" w:eastAsia="Arial" w:hAnsi="Arial"/>
          <w:sz w:val="18"/>
          <w:szCs w:val="18"/>
          <w:color w:val="auto"/>
        </w:rPr>
        <w:t xml:space="preserve">(b) </w:t>
      </w:r>
      <w:r>
        <w:rPr>
          <w:rFonts w:ascii="MS PGothic" w:cs="MS PGothic" w:eastAsia="MS PGothic" w:hAnsi="MS PGothic"/>
          <w:sz w:val="18"/>
          <w:szCs w:val="18"/>
          <w:color w:val="auto"/>
        </w:rPr>
        <w:t>☐</w:t>
      </w:r>
    </w:p>
    <w:p>
      <w:pPr>
        <w:spacing w:after="0" w:line="228" w:lineRule="exact"/>
        <w:rPr>
          <w:sz w:val="20"/>
          <w:szCs w:val="20"/>
          <w:color w:val="auto"/>
        </w:rPr>
      </w:pPr>
    </w:p>
    <w:p>
      <w:pPr>
        <w:ind w:left="1140" w:hanging="664"/>
        <w:spacing w:after="0"/>
        <w:tabs>
          <w:tab w:leader="none" w:pos="1140" w:val="left"/>
        </w:tabs>
        <w:numPr>
          <w:ilvl w:val="0"/>
          <w:numId w:val="8"/>
        </w:numPr>
        <w:rPr>
          <w:rFonts w:ascii="Arial" w:cs="Arial" w:eastAsia="Arial" w:hAnsi="Arial"/>
          <w:sz w:val="36"/>
          <w:szCs w:val="36"/>
          <w:color w:val="auto"/>
          <w:vertAlign w:val="subscript"/>
        </w:rPr>
      </w:pPr>
      <w:r>
        <w:rPr>
          <w:rFonts w:ascii="Arial" w:cs="Arial" w:eastAsia="Arial" w:hAnsi="Arial"/>
          <w:sz w:val="18"/>
          <w:szCs w:val="18"/>
          <w:color w:val="auto"/>
        </w:rPr>
        <w:t>SEC USE ONLY</w:t>
      </w:r>
    </w:p>
    <w:p>
      <w:pPr>
        <w:spacing w:after="0" w:line="200" w:lineRule="exact"/>
        <w:rPr>
          <w:sz w:val="20"/>
          <w:szCs w:val="20"/>
          <w:color w:val="auto"/>
        </w:rPr>
      </w:pP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620" w:type="dxa"/>
            <w:vAlign w:val="bottom"/>
            <w:vMerge w:val="restart"/>
          </w:tcPr>
          <w:p>
            <w:pPr>
              <w:jc w:val="right"/>
              <w:spacing w:after="0"/>
              <w:rPr>
                <w:sz w:val="20"/>
                <w:szCs w:val="20"/>
                <w:color w:val="auto"/>
              </w:rPr>
            </w:pPr>
            <w:r>
              <w:rPr>
                <w:rFonts w:ascii="Arial" w:cs="Arial" w:eastAsia="Arial" w:hAnsi="Arial"/>
                <w:sz w:val="18"/>
                <w:szCs w:val="18"/>
                <w:color w:val="auto"/>
              </w:rPr>
              <w:t>4</w:t>
            </w:r>
          </w:p>
        </w:tc>
        <w:tc>
          <w:tcPr>
            <w:tcW w:w="9460" w:type="dxa"/>
            <w:vAlign w:val="bottom"/>
            <w:gridSpan w:val="3"/>
          </w:tcPr>
          <w:p>
            <w:pPr>
              <w:ind w:left="520"/>
              <w:spacing w:after="0"/>
              <w:rPr>
                <w:sz w:val="20"/>
                <w:szCs w:val="20"/>
                <w:color w:val="auto"/>
              </w:rPr>
            </w:pPr>
            <w:r>
              <w:rPr>
                <w:rFonts w:ascii="Arial" w:cs="Arial" w:eastAsia="Arial" w:hAnsi="Arial"/>
                <w:sz w:val="18"/>
                <w:szCs w:val="18"/>
                <w:color w:val="auto"/>
              </w:rPr>
              <w:t>SOURCE OF FUNDS (See Instructions)</w:t>
            </w:r>
          </w:p>
        </w:tc>
        <w:tc>
          <w:tcPr>
            <w:tcW w:w="11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89"/>
        </w:trPr>
        <w:tc>
          <w:tcPr>
            <w:tcW w:w="620" w:type="dxa"/>
            <w:vAlign w:val="bottom"/>
            <w:vMerge w:val="continue"/>
          </w:tcPr>
          <w:p>
            <w:pPr>
              <w:spacing w:after="0"/>
              <w:rPr>
                <w:sz w:val="16"/>
                <w:szCs w:val="16"/>
                <w:color w:val="auto"/>
              </w:rPr>
            </w:pPr>
          </w:p>
        </w:tc>
        <w:tc>
          <w:tcPr>
            <w:tcW w:w="200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656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43"/>
        </w:trPr>
        <w:tc>
          <w:tcPr>
            <w:tcW w:w="620" w:type="dxa"/>
            <w:vAlign w:val="bottom"/>
          </w:tcPr>
          <w:p>
            <w:pPr>
              <w:spacing w:after="0"/>
              <w:rPr>
                <w:sz w:val="21"/>
                <w:szCs w:val="21"/>
                <w:color w:val="auto"/>
              </w:rPr>
            </w:pPr>
          </w:p>
        </w:tc>
        <w:tc>
          <w:tcPr>
            <w:tcW w:w="2000" w:type="dxa"/>
            <w:vAlign w:val="bottom"/>
          </w:tcPr>
          <w:p>
            <w:pPr>
              <w:ind w:left="520"/>
              <w:spacing w:after="0"/>
              <w:rPr>
                <w:sz w:val="20"/>
                <w:szCs w:val="20"/>
                <w:color w:val="auto"/>
              </w:rPr>
            </w:pPr>
            <w:r>
              <w:rPr>
                <w:rFonts w:ascii="Arial" w:cs="Arial" w:eastAsia="Arial" w:hAnsi="Arial"/>
                <w:sz w:val="18"/>
                <w:szCs w:val="18"/>
                <w:color w:val="auto"/>
              </w:rPr>
              <w:t>OO</w:t>
            </w:r>
          </w:p>
        </w:tc>
        <w:tc>
          <w:tcPr>
            <w:tcW w:w="900" w:type="dxa"/>
            <w:vAlign w:val="bottom"/>
          </w:tcPr>
          <w:p>
            <w:pPr>
              <w:spacing w:after="0"/>
              <w:rPr>
                <w:sz w:val="21"/>
                <w:szCs w:val="21"/>
                <w:color w:val="auto"/>
              </w:rPr>
            </w:pPr>
          </w:p>
        </w:tc>
        <w:tc>
          <w:tcPr>
            <w:tcW w:w="656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94"/>
        </w:trPr>
        <w:tc>
          <w:tcPr>
            <w:tcW w:w="620" w:type="dxa"/>
            <w:vAlign w:val="bottom"/>
            <w:tcBorders>
              <w:bottom w:val="single" w:sz="8" w:color="auto"/>
            </w:tcBorders>
          </w:tcPr>
          <w:p>
            <w:pPr>
              <w:spacing w:after="0"/>
              <w:rPr>
                <w:sz w:val="8"/>
                <w:szCs w:val="8"/>
                <w:color w:val="auto"/>
              </w:rPr>
            </w:pPr>
          </w:p>
        </w:tc>
        <w:tc>
          <w:tcPr>
            <w:tcW w:w="9460" w:type="dxa"/>
            <w:vAlign w:val="bottom"/>
            <w:tcBorders>
              <w:bottom w:val="single" w:sz="8" w:color="auto"/>
            </w:tcBorders>
            <w:gridSpan w:val="3"/>
          </w:tcPr>
          <w:p>
            <w:pPr>
              <w:spacing w:after="0"/>
              <w:rPr>
                <w:sz w:val="8"/>
                <w:szCs w:val="8"/>
                <w:color w:val="auto"/>
              </w:rPr>
            </w:pPr>
          </w:p>
        </w:tc>
        <w:tc>
          <w:tcPr>
            <w:tcW w:w="1160" w:type="dxa"/>
            <w:vAlign w:val="bottom"/>
            <w:tcBorders>
              <w:bottom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24"/>
        </w:trPr>
        <w:tc>
          <w:tcPr>
            <w:tcW w:w="620" w:type="dxa"/>
            <w:vAlign w:val="bottom"/>
            <w:vMerge w:val="restart"/>
          </w:tcPr>
          <w:p>
            <w:pPr>
              <w:jc w:val="right"/>
              <w:spacing w:after="0"/>
              <w:rPr>
                <w:sz w:val="20"/>
                <w:szCs w:val="20"/>
                <w:color w:val="auto"/>
              </w:rPr>
            </w:pPr>
            <w:r>
              <w:rPr>
                <w:rFonts w:ascii="Arial" w:cs="Arial" w:eastAsia="Arial" w:hAnsi="Arial"/>
                <w:sz w:val="18"/>
                <w:szCs w:val="18"/>
                <w:color w:val="auto"/>
              </w:rPr>
              <w:t>5</w:t>
            </w:r>
          </w:p>
        </w:tc>
        <w:tc>
          <w:tcPr>
            <w:tcW w:w="9460" w:type="dxa"/>
            <w:vAlign w:val="bottom"/>
            <w:gridSpan w:val="3"/>
          </w:tcPr>
          <w:p>
            <w:pPr>
              <w:ind w:left="520"/>
              <w:spacing w:after="0"/>
              <w:rPr>
                <w:sz w:val="20"/>
                <w:szCs w:val="20"/>
                <w:color w:val="auto"/>
              </w:rPr>
            </w:pPr>
            <w:r>
              <w:rPr>
                <w:rFonts w:ascii="Arial" w:cs="Arial" w:eastAsia="Arial" w:hAnsi="Arial"/>
                <w:sz w:val="18"/>
                <w:szCs w:val="18"/>
                <w:color w:val="auto"/>
              </w:rPr>
              <w:t>CHECK BOX IF DISCLOSURE OF LEGAL PROCEEDINGS IS REQUIRED PURSUANT TO ITEMS 2(d) or 2(e)</w:t>
            </w:r>
          </w:p>
        </w:tc>
        <w:tc>
          <w:tcPr>
            <w:tcW w:w="1160" w:type="dxa"/>
            <w:vAlign w:val="bottom"/>
          </w:tcPr>
          <w:p>
            <w:pPr>
              <w:ind w:left="460"/>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61"/>
        </w:trPr>
        <w:tc>
          <w:tcPr>
            <w:tcW w:w="620" w:type="dxa"/>
            <w:vAlign w:val="bottom"/>
            <w:vMerge w:val="continue"/>
          </w:tcPr>
          <w:p>
            <w:pPr>
              <w:spacing w:after="0"/>
              <w:rPr>
                <w:sz w:val="5"/>
                <w:szCs w:val="5"/>
                <w:color w:val="auto"/>
              </w:rPr>
            </w:pPr>
          </w:p>
        </w:tc>
        <w:tc>
          <w:tcPr>
            <w:tcW w:w="2000" w:type="dxa"/>
            <w:vAlign w:val="bottom"/>
          </w:tcPr>
          <w:p>
            <w:pPr>
              <w:spacing w:after="0"/>
              <w:rPr>
                <w:sz w:val="5"/>
                <w:szCs w:val="5"/>
                <w:color w:val="auto"/>
              </w:rPr>
            </w:pPr>
          </w:p>
        </w:tc>
        <w:tc>
          <w:tcPr>
            <w:tcW w:w="900" w:type="dxa"/>
            <w:vAlign w:val="bottom"/>
          </w:tcPr>
          <w:p>
            <w:pPr>
              <w:spacing w:after="0"/>
              <w:rPr>
                <w:sz w:val="5"/>
                <w:szCs w:val="5"/>
                <w:color w:val="auto"/>
              </w:rPr>
            </w:pPr>
          </w:p>
        </w:tc>
        <w:tc>
          <w:tcPr>
            <w:tcW w:w="6560" w:type="dxa"/>
            <w:vAlign w:val="bottom"/>
          </w:tcPr>
          <w:p>
            <w:pPr>
              <w:spacing w:after="0"/>
              <w:rPr>
                <w:sz w:val="5"/>
                <w:szCs w:val="5"/>
                <w:color w:val="auto"/>
              </w:rPr>
            </w:pPr>
          </w:p>
        </w:tc>
        <w:tc>
          <w:tcPr>
            <w:tcW w:w="11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29"/>
        </w:trPr>
        <w:tc>
          <w:tcPr>
            <w:tcW w:w="620" w:type="dxa"/>
            <w:vAlign w:val="bottom"/>
            <w:tcBorders>
              <w:bottom w:val="single" w:sz="8" w:color="auto"/>
            </w:tcBorders>
          </w:tcPr>
          <w:p>
            <w:pPr>
              <w:spacing w:after="0"/>
              <w:rPr>
                <w:sz w:val="19"/>
                <w:szCs w:val="19"/>
                <w:color w:val="auto"/>
              </w:rPr>
            </w:pPr>
          </w:p>
        </w:tc>
        <w:tc>
          <w:tcPr>
            <w:tcW w:w="9460" w:type="dxa"/>
            <w:vAlign w:val="bottom"/>
            <w:tcBorders>
              <w:bottom w:val="single" w:sz="8" w:color="auto"/>
            </w:tcBorders>
            <w:gridSpan w:val="3"/>
          </w:tcPr>
          <w:p>
            <w:pPr>
              <w:spacing w:after="0"/>
              <w:rPr>
                <w:sz w:val="19"/>
                <w:szCs w:val="19"/>
                <w:color w:val="auto"/>
              </w:rPr>
            </w:pPr>
          </w:p>
        </w:tc>
        <w:tc>
          <w:tcPr>
            <w:tcW w:w="116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304"/>
        </w:trPr>
        <w:tc>
          <w:tcPr>
            <w:tcW w:w="620" w:type="dxa"/>
            <w:vAlign w:val="bottom"/>
            <w:vMerge w:val="restart"/>
          </w:tcPr>
          <w:p>
            <w:pPr>
              <w:jc w:val="right"/>
              <w:spacing w:after="0"/>
              <w:rPr>
                <w:sz w:val="20"/>
                <w:szCs w:val="20"/>
                <w:color w:val="auto"/>
              </w:rPr>
            </w:pPr>
            <w:r>
              <w:rPr>
                <w:rFonts w:ascii="Arial" w:cs="Arial" w:eastAsia="Arial" w:hAnsi="Arial"/>
                <w:sz w:val="18"/>
                <w:szCs w:val="18"/>
                <w:color w:val="auto"/>
              </w:rPr>
              <w:t>6</w:t>
            </w:r>
          </w:p>
        </w:tc>
        <w:tc>
          <w:tcPr>
            <w:tcW w:w="9460" w:type="dxa"/>
            <w:vAlign w:val="bottom"/>
            <w:gridSpan w:val="3"/>
          </w:tcPr>
          <w:p>
            <w:pPr>
              <w:ind w:left="520"/>
              <w:spacing w:after="0"/>
              <w:rPr>
                <w:sz w:val="20"/>
                <w:szCs w:val="20"/>
                <w:color w:val="auto"/>
              </w:rPr>
            </w:pPr>
            <w:r>
              <w:rPr>
                <w:rFonts w:ascii="Arial" w:cs="Arial" w:eastAsia="Arial" w:hAnsi="Arial"/>
                <w:sz w:val="18"/>
                <w:szCs w:val="18"/>
                <w:color w:val="auto"/>
              </w:rPr>
              <w:t>CITIZENSHIP OR PLACE OF ORGANIZATION</w:t>
            </w: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9"/>
        </w:trPr>
        <w:tc>
          <w:tcPr>
            <w:tcW w:w="620" w:type="dxa"/>
            <w:vAlign w:val="bottom"/>
            <w:vMerge w:val="continue"/>
          </w:tcPr>
          <w:p>
            <w:pPr>
              <w:spacing w:after="0"/>
              <w:rPr>
                <w:sz w:val="16"/>
                <w:szCs w:val="16"/>
                <w:color w:val="auto"/>
              </w:rPr>
            </w:pPr>
          </w:p>
        </w:tc>
        <w:tc>
          <w:tcPr>
            <w:tcW w:w="200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656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43"/>
        </w:trPr>
        <w:tc>
          <w:tcPr>
            <w:tcW w:w="620" w:type="dxa"/>
            <w:vAlign w:val="bottom"/>
          </w:tcPr>
          <w:p>
            <w:pPr>
              <w:spacing w:after="0"/>
              <w:rPr>
                <w:sz w:val="21"/>
                <w:szCs w:val="21"/>
                <w:color w:val="auto"/>
              </w:rPr>
            </w:pPr>
          </w:p>
        </w:tc>
        <w:tc>
          <w:tcPr>
            <w:tcW w:w="2000" w:type="dxa"/>
            <w:vAlign w:val="bottom"/>
          </w:tcPr>
          <w:p>
            <w:pPr>
              <w:ind w:left="520"/>
              <w:spacing w:after="0"/>
              <w:rPr>
                <w:sz w:val="20"/>
                <w:szCs w:val="20"/>
                <w:color w:val="auto"/>
              </w:rPr>
            </w:pPr>
            <w:r>
              <w:rPr>
                <w:rFonts w:ascii="Arial" w:cs="Arial" w:eastAsia="Arial" w:hAnsi="Arial"/>
                <w:sz w:val="18"/>
                <w:szCs w:val="18"/>
                <w:color w:val="auto"/>
              </w:rPr>
              <w:t>Chile</w:t>
            </w:r>
          </w:p>
        </w:tc>
        <w:tc>
          <w:tcPr>
            <w:tcW w:w="900" w:type="dxa"/>
            <w:vAlign w:val="bottom"/>
          </w:tcPr>
          <w:p>
            <w:pPr>
              <w:spacing w:after="0"/>
              <w:rPr>
                <w:sz w:val="21"/>
                <w:szCs w:val="21"/>
                <w:color w:val="auto"/>
              </w:rPr>
            </w:pPr>
          </w:p>
        </w:tc>
        <w:tc>
          <w:tcPr>
            <w:tcW w:w="656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94"/>
        </w:trPr>
        <w:tc>
          <w:tcPr>
            <w:tcW w:w="620" w:type="dxa"/>
            <w:vAlign w:val="bottom"/>
            <w:tcBorders>
              <w:bottom w:val="single" w:sz="8" w:color="auto"/>
            </w:tcBorders>
          </w:tcPr>
          <w:p>
            <w:pPr>
              <w:spacing w:after="0"/>
              <w:rPr>
                <w:sz w:val="8"/>
                <w:szCs w:val="8"/>
                <w:color w:val="auto"/>
              </w:rPr>
            </w:pPr>
          </w:p>
        </w:tc>
        <w:tc>
          <w:tcPr>
            <w:tcW w:w="2000" w:type="dxa"/>
            <w:vAlign w:val="bottom"/>
            <w:tcBorders>
              <w:bottom w:val="single" w:sz="8" w:color="auto"/>
            </w:tcBorders>
          </w:tcPr>
          <w:p>
            <w:pPr>
              <w:spacing w:after="0"/>
              <w:rPr>
                <w:sz w:val="8"/>
                <w:szCs w:val="8"/>
                <w:color w:val="auto"/>
              </w:rPr>
            </w:pPr>
          </w:p>
        </w:tc>
        <w:tc>
          <w:tcPr>
            <w:tcW w:w="900" w:type="dxa"/>
            <w:vAlign w:val="bottom"/>
            <w:tcBorders>
              <w:bottom w:val="single" w:sz="8" w:color="auto"/>
            </w:tcBorders>
          </w:tcPr>
          <w:p>
            <w:pPr>
              <w:spacing w:after="0"/>
              <w:rPr>
                <w:sz w:val="8"/>
                <w:szCs w:val="8"/>
                <w:color w:val="auto"/>
              </w:rPr>
            </w:pPr>
          </w:p>
        </w:tc>
        <w:tc>
          <w:tcPr>
            <w:tcW w:w="6560" w:type="dxa"/>
            <w:vAlign w:val="bottom"/>
            <w:tcBorders>
              <w:bottom w:val="single" w:sz="8" w:color="auto"/>
            </w:tcBorders>
          </w:tcPr>
          <w:p>
            <w:pPr>
              <w:spacing w:after="0"/>
              <w:rPr>
                <w:sz w:val="8"/>
                <w:szCs w:val="8"/>
                <w:color w:val="auto"/>
              </w:rPr>
            </w:pPr>
          </w:p>
        </w:tc>
        <w:tc>
          <w:tcPr>
            <w:tcW w:w="1160" w:type="dxa"/>
            <w:vAlign w:val="bottom"/>
            <w:tcBorders>
              <w:bottom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90"/>
        </w:trPr>
        <w:tc>
          <w:tcPr>
            <w:tcW w:w="620" w:type="dxa"/>
            <w:vAlign w:val="bottom"/>
          </w:tcPr>
          <w:p>
            <w:pPr>
              <w:spacing w:after="0"/>
              <w:rPr>
                <w:sz w:val="24"/>
                <w:szCs w:val="24"/>
                <w:color w:val="auto"/>
              </w:rPr>
            </w:pPr>
          </w:p>
        </w:tc>
        <w:tc>
          <w:tcPr>
            <w:tcW w:w="2000" w:type="dxa"/>
            <w:vAlign w:val="bottom"/>
            <w:tcBorders>
              <w:right w:val="single" w:sz="8" w:color="auto"/>
            </w:tcBorders>
          </w:tcPr>
          <w:p>
            <w:pPr>
              <w:spacing w:after="0"/>
              <w:rPr>
                <w:sz w:val="24"/>
                <w:szCs w:val="24"/>
                <w:color w:val="auto"/>
              </w:rPr>
            </w:pPr>
          </w:p>
        </w:tc>
        <w:tc>
          <w:tcPr>
            <w:tcW w:w="9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79"/>
              </w:rPr>
              <w:t>7</w:t>
            </w:r>
          </w:p>
        </w:tc>
        <w:tc>
          <w:tcPr>
            <w:tcW w:w="6560" w:type="dxa"/>
            <w:vAlign w:val="bottom"/>
          </w:tcPr>
          <w:p>
            <w:pPr>
              <w:ind w:left="100"/>
              <w:spacing w:after="0"/>
              <w:rPr>
                <w:sz w:val="20"/>
                <w:szCs w:val="20"/>
                <w:color w:val="auto"/>
              </w:rPr>
            </w:pPr>
            <w:r>
              <w:rPr>
                <w:rFonts w:ascii="Arial" w:cs="Arial" w:eastAsia="Arial" w:hAnsi="Arial"/>
                <w:sz w:val="18"/>
                <w:szCs w:val="18"/>
                <w:color w:val="auto"/>
              </w:rPr>
              <w:t>SOLE VOTING POWER</w:t>
            </w: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2"/>
        </w:trPr>
        <w:tc>
          <w:tcPr>
            <w:tcW w:w="620" w:type="dxa"/>
            <w:vAlign w:val="bottom"/>
          </w:tcPr>
          <w:p>
            <w:pPr>
              <w:spacing w:after="0"/>
              <w:rPr>
                <w:sz w:val="10"/>
                <w:szCs w:val="10"/>
                <w:color w:val="auto"/>
              </w:rPr>
            </w:pPr>
          </w:p>
        </w:tc>
        <w:tc>
          <w:tcPr>
            <w:tcW w:w="2000" w:type="dxa"/>
            <w:vAlign w:val="bottom"/>
            <w:tcBorders>
              <w:right w:val="single" w:sz="8" w:color="auto"/>
            </w:tcBorders>
            <w:vMerge w:val="restart"/>
          </w:tcPr>
          <w:p>
            <w:pPr>
              <w:jc w:val="center"/>
              <w:ind w:right="530"/>
              <w:spacing w:after="0"/>
              <w:rPr>
                <w:sz w:val="20"/>
                <w:szCs w:val="20"/>
                <w:color w:val="auto"/>
              </w:rPr>
            </w:pPr>
            <w:r>
              <w:rPr>
                <w:rFonts w:ascii="Arial" w:cs="Arial" w:eastAsia="Arial" w:hAnsi="Arial"/>
                <w:sz w:val="18"/>
                <w:szCs w:val="18"/>
                <w:color w:val="auto"/>
                <w:w w:val="98"/>
              </w:rPr>
              <w:t>NUMBER OF</w:t>
            </w:r>
          </w:p>
        </w:tc>
        <w:tc>
          <w:tcPr>
            <w:tcW w:w="900" w:type="dxa"/>
            <w:vAlign w:val="bottom"/>
            <w:tcBorders>
              <w:right w:val="single" w:sz="8" w:color="auto"/>
            </w:tcBorders>
            <w:vMerge w:val="continue"/>
          </w:tcPr>
          <w:p>
            <w:pPr>
              <w:spacing w:after="0"/>
              <w:rPr>
                <w:sz w:val="10"/>
                <w:szCs w:val="10"/>
                <w:color w:val="auto"/>
              </w:rPr>
            </w:pPr>
          </w:p>
        </w:tc>
        <w:tc>
          <w:tcPr>
            <w:tcW w:w="6560" w:type="dxa"/>
            <w:vAlign w:val="bottom"/>
            <w:vMerge w:val="restart"/>
          </w:tcPr>
          <w:p>
            <w:pPr>
              <w:ind w:left="100"/>
              <w:spacing w:after="0"/>
              <w:rPr>
                <w:sz w:val="20"/>
                <w:szCs w:val="20"/>
                <w:color w:val="auto"/>
              </w:rPr>
            </w:pPr>
            <w:r>
              <w:rPr>
                <w:rFonts w:ascii="Arial" w:cs="Arial" w:eastAsia="Arial" w:hAnsi="Arial"/>
                <w:sz w:val="18"/>
                <w:szCs w:val="18"/>
                <w:color w:val="auto"/>
              </w:rPr>
              <w:t>5,202,298</w:t>
            </w:r>
          </w:p>
        </w:tc>
        <w:tc>
          <w:tcPr>
            <w:tcW w:w="11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8"/>
        </w:trPr>
        <w:tc>
          <w:tcPr>
            <w:tcW w:w="620" w:type="dxa"/>
            <w:vAlign w:val="bottom"/>
          </w:tcPr>
          <w:p>
            <w:pPr>
              <w:spacing w:after="0"/>
              <w:rPr>
                <w:sz w:val="9"/>
                <w:szCs w:val="9"/>
                <w:color w:val="auto"/>
              </w:rPr>
            </w:pPr>
          </w:p>
        </w:tc>
        <w:tc>
          <w:tcPr>
            <w:tcW w:w="2000" w:type="dxa"/>
            <w:vAlign w:val="bottom"/>
            <w:tcBorders>
              <w:right w:val="single" w:sz="8" w:color="auto"/>
            </w:tcBorders>
            <w:vMerge w:val="continue"/>
          </w:tcPr>
          <w:p>
            <w:pPr>
              <w:spacing w:after="0"/>
              <w:rPr>
                <w:sz w:val="9"/>
                <w:szCs w:val="9"/>
                <w:color w:val="auto"/>
              </w:rPr>
            </w:pPr>
          </w:p>
        </w:tc>
        <w:tc>
          <w:tcPr>
            <w:tcW w:w="900" w:type="dxa"/>
            <w:vAlign w:val="bottom"/>
            <w:tcBorders>
              <w:right w:val="single" w:sz="8" w:color="auto"/>
            </w:tcBorders>
          </w:tcPr>
          <w:p>
            <w:pPr>
              <w:spacing w:after="0"/>
              <w:rPr>
                <w:sz w:val="9"/>
                <w:szCs w:val="9"/>
                <w:color w:val="auto"/>
              </w:rPr>
            </w:pPr>
          </w:p>
        </w:tc>
        <w:tc>
          <w:tcPr>
            <w:tcW w:w="6560" w:type="dxa"/>
            <w:vAlign w:val="bottom"/>
            <w:vMerge w:val="continue"/>
          </w:tcPr>
          <w:p>
            <w:pPr>
              <w:spacing w:after="0"/>
              <w:rPr>
                <w:sz w:val="9"/>
                <w:szCs w:val="9"/>
                <w:color w:val="auto"/>
              </w:rPr>
            </w:pPr>
          </w:p>
        </w:tc>
        <w:tc>
          <w:tcPr>
            <w:tcW w:w="11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7"/>
        </w:trPr>
        <w:tc>
          <w:tcPr>
            <w:tcW w:w="620" w:type="dxa"/>
            <w:vAlign w:val="bottom"/>
          </w:tcPr>
          <w:p>
            <w:pPr>
              <w:spacing w:after="0"/>
              <w:rPr>
                <w:sz w:val="5"/>
                <w:szCs w:val="5"/>
                <w:color w:val="auto"/>
              </w:rPr>
            </w:pPr>
          </w:p>
        </w:tc>
        <w:tc>
          <w:tcPr>
            <w:tcW w:w="2000" w:type="dxa"/>
            <w:vAlign w:val="bottom"/>
            <w:tcBorders>
              <w:right w:val="single" w:sz="8" w:color="auto"/>
            </w:tcBorders>
            <w:vMerge w:val="continue"/>
          </w:tcPr>
          <w:p>
            <w:pPr>
              <w:spacing w:after="0"/>
              <w:rPr>
                <w:sz w:val="5"/>
                <w:szCs w:val="5"/>
                <w:color w:val="auto"/>
              </w:rPr>
            </w:pPr>
          </w:p>
        </w:tc>
        <w:tc>
          <w:tcPr>
            <w:tcW w:w="900" w:type="dxa"/>
            <w:vAlign w:val="bottom"/>
            <w:tcBorders>
              <w:right w:val="single" w:sz="8" w:color="auto"/>
            </w:tcBorders>
          </w:tcPr>
          <w:p>
            <w:pPr>
              <w:spacing w:after="0"/>
              <w:rPr>
                <w:sz w:val="5"/>
                <w:szCs w:val="5"/>
                <w:color w:val="auto"/>
              </w:rPr>
            </w:pPr>
          </w:p>
        </w:tc>
        <w:tc>
          <w:tcPr>
            <w:tcW w:w="6560" w:type="dxa"/>
            <w:vAlign w:val="bottom"/>
          </w:tcPr>
          <w:p>
            <w:pPr>
              <w:spacing w:after="0"/>
              <w:rPr>
                <w:sz w:val="5"/>
                <w:szCs w:val="5"/>
                <w:color w:val="auto"/>
              </w:rPr>
            </w:pPr>
          </w:p>
        </w:tc>
        <w:tc>
          <w:tcPr>
            <w:tcW w:w="11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8"/>
        </w:trPr>
        <w:tc>
          <w:tcPr>
            <w:tcW w:w="620" w:type="dxa"/>
            <w:vAlign w:val="bottom"/>
          </w:tcPr>
          <w:p>
            <w:pPr>
              <w:spacing w:after="0"/>
              <w:rPr>
                <w:sz w:val="2"/>
                <w:szCs w:val="2"/>
                <w:color w:val="auto"/>
              </w:rPr>
            </w:pPr>
          </w:p>
        </w:tc>
        <w:tc>
          <w:tcPr>
            <w:tcW w:w="2000" w:type="dxa"/>
            <w:vAlign w:val="bottom"/>
            <w:tcBorders>
              <w:right w:val="single" w:sz="8" w:color="auto"/>
            </w:tcBorders>
            <w:vMerge w:val="restart"/>
          </w:tcPr>
          <w:p>
            <w:pPr>
              <w:jc w:val="center"/>
              <w:ind w:right="530"/>
              <w:spacing w:after="0"/>
              <w:rPr>
                <w:sz w:val="20"/>
                <w:szCs w:val="20"/>
                <w:color w:val="auto"/>
              </w:rPr>
            </w:pPr>
            <w:r>
              <w:rPr>
                <w:rFonts w:ascii="Arial" w:cs="Arial" w:eastAsia="Arial" w:hAnsi="Arial"/>
                <w:sz w:val="18"/>
                <w:szCs w:val="18"/>
                <w:color w:val="auto"/>
                <w:w w:val="94"/>
              </w:rPr>
              <w:t>SHARES</w:t>
            </w:r>
          </w:p>
        </w:tc>
        <w:tc>
          <w:tcPr>
            <w:tcW w:w="900" w:type="dxa"/>
            <w:vAlign w:val="bottom"/>
            <w:tcBorders>
              <w:bottom w:val="single" w:sz="8" w:color="auto"/>
              <w:right w:val="single" w:sz="8" w:color="auto"/>
            </w:tcBorders>
          </w:tcPr>
          <w:p>
            <w:pPr>
              <w:spacing w:after="0"/>
              <w:rPr>
                <w:sz w:val="2"/>
                <w:szCs w:val="2"/>
                <w:color w:val="auto"/>
              </w:rPr>
            </w:pPr>
          </w:p>
        </w:tc>
        <w:tc>
          <w:tcPr>
            <w:tcW w:w="656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68"/>
        </w:trPr>
        <w:tc>
          <w:tcPr>
            <w:tcW w:w="620" w:type="dxa"/>
            <w:vAlign w:val="bottom"/>
          </w:tcPr>
          <w:p>
            <w:pPr>
              <w:spacing w:after="0"/>
              <w:rPr>
                <w:sz w:val="14"/>
                <w:szCs w:val="14"/>
                <w:color w:val="auto"/>
              </w:rPr>
            </w:pPr>
          </w:p>
        </w:tc>
        <w:tc>
          <w:tcPr>
            <w:tcW w:w="2000" w:type="dxa"/>
            <w:vAlign w:val="bottom"/>
            <w:tcBorders>
              <w:right w:val="single" w:sz="8" w:color="auto"/>
            </w:tcBorders>
            <w:vMerge w:val="continue"/>
          </w:tcPr>
          <w:p>
            <w:pPr>
              <w:spacing w:after="0"/>
              <w:rPr>
                <w:sz w:val="14"/>
                <w:szCs w:val="14"/>
                <w:color w:val="auto"/>
              </w:rPr>
            </w:pPr>
          </w:p>
        </w:tc>
        <w:tc>
          <w:tcPr>
            <w:tcW w:w="900" w:type="dxa"/>
            <w:vAlign w:val="bottom"/>
            <w:tcBorders>
              <w:right w:val="single" w:sz="8" w:color="auto"/>
            </w:tcBorders>
          </w:tcPr>
          <w:p>
            <w:pPr>
              <w:spacing w:after="0"/>
              <w:rPr>
                <w:sz w:val="14"/>
                <w:szCs w:val="14"/>
                <w:color w:val="auto"/>
              </w:rPr>
            </w:pPr>
          </w:p>
        </w:tc>
        <w:tc>
          <w:tcPr>
            <w:tcW w:w="6560" w:type="dxa"/>
            <w:vAlign w:val="bottom"/>
            <w:vMerge w:val="restart"/>
          </w:tcPr>
          <w:p>
            <w:pPr>
              <w:ind w:left="100"/>
              <w:spacing w:after="0"/>
              <w:rPr>
                <w:sz w:val="20"/>
                <w:szCs w:val="20"/>
                <w:color w:val="auto"/>
              </w:rPr>
            </w:pPr>
            <w:r>
              <w:rPr>
                <w:rFonts w:ascii="Arial" w:cs="Arial" w:eastAsia="Arial" w:hAnsi="Arial"/>
                <w:sz w:val="18"/>
                <w:szCs w:val="18"/>
                <w:color w:val="auto"/>
              </w:rPr>
              <w:t>SHARED VOTING POWER</w:t>
            </w:r>
          </w:p>
        </w:tc>
        <w:tc>
          <w:tcPr>
            <w:tcW w:w="1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2"/>
        </w:trPr>
        <w:tc>
          <w:tcPr>
            <w:tcW w:w="620" w:type="dxa"/>
            <w:vAlign w:val="bottom"/>
          </w:tcPr>
          <w:p>
            <w:pPr>
              <w:spacing w:after="0"/>
              <w:rPr>
                <w:sz w:val="10"/>
                <w:szCs w:val="10"/>
                <w:color w:val="auto"/>
              </w:rPr>
            </w:pPr>
          </w:p>
        </w:tc>
        <w:tc>
          <w:tcPr>
            <w:tcW w:w="2000" w:type="dxa"/>
            <w:vAlign w:val="bottom"/>
            <w:tcBorders>
              <w:right w:val="single" w:sz="8" w:color="auto"/>
            </w:tcBorders>
            <w:vMerge w:val="restart"/>
          </w:tcPr>
          <w:p>
            <w:pPr>
              <w:jc w:val="center"/>
              <w:ind w:right="530"/>
              <w:spacing w:after="0"/>
              <w:rPr>
                <w:sz w:val="20"/>
                <w:szCs w:val="20"/>
                <w:color w:val="auto"/>
              </w:rPr>
            </w:pPr>
            <w:r>
              <w:rPr>
                <w:rFonts w:ascii="Arial" w:cs="Arial" w:eastAsia="Arial" w:hAnsi="Arial"/>
                <w:sz w:val="18"/>
                <w:szCs w:val="18"/>
                <w:color w:val="auto"/>
                <w:w w:val="99"/>
              </w:rPr>
              <w:t>BENEFICIALLY</w:t>
            </w:r>
          </w:p>
        </w:tc>
        <w:tc>
          <w:tcPr>
            <w:tcW w:w="9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79"/>
              </w:rPr>
              <w:t>8</w:t>
            </w:r>
          </w:p>
        </w:tc>
        <w:tc>
          <w:tcPr>
            <w:tcW w:w="6560" w:type="dxa"/>
            <w:vAlign w:val="bottom"/>
            <w:vMerge w:val="continue"/>
          </w:tcPr>
          <w:p>
            <w:pPr>
              <w:spacing w:after="0"/>
              <w:rPr>
                <w:sz w:val="10"/>
                <w:szCs w:val="10"/>
                <w:color w:val="auto"/>
              </w:rPr>
            </w:pPr>
          </w:p>
        </w:tc>
        <w:tc>
          <w:tcPr>
            <w:tcW w:w="11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4"/>
        </w:trPr>
        <w:tc>
          <w:tcPr>
            <w:tcW w:w="620" w:type="dxa"/>
            <w:vAlign w:val="bottom"/>
          </w:tcPr>
          <w:p>
            <w:pPr>
              <w:spacing w:after="0"/>
              <w:rPr>
                <w:sz w:val="8"/>
                <w:szCs w:val="8"/>
                <w:color w:val="auto"/>
              </w:rPr>
            </w:pPr>
          </w:p>
        </w:tc>
        <w:tc>
          <w:tcPr>
            <w:tcW w:w="2000" w:type="dxa"/>
            <w:vAlign w:val="bottom"/>
            <w:tcBorders>
              <w:right w:val="single" w:sz="8" w:color="auto"/>
            </w:tcBorders>
            <w:vMerge w:val="continue"/>
          </w:tcPr>
          <w:p>
            <w:pPr>
              <w:spacing w:after="0"/>
              <w:rPr>
                <w:sz w:val="8"/>
                <w:szCs w:val="8"/>
                <w:color w:val="auto"/>
              </w:rPr>
            </w:pPr>
          </w:p>
        </w:tc>
        <w:tc>
          <w:tcPr>
            <w:tcW w:w="900" w:type="dxa"/>
            <w:vAlign w:val="bottom"/>
            <w:tcBorders>
              <w:right w:val="single" w:sz="8" w:color="auto"/>
            </w:tcBorders>
            <w:vMerge w:val="continue"/>
          </w:tcPr>
          <w:p>
            <w:pPr>
              <w:spacing w:after="0"/>
              <w:rPr>
                <w:sz w:val="8"/>
                <w:szCs w:val="8"/>
                <w:color w:val="auto"/>
              </w:rPr>
            </w:pPr>
          </w:p>
        </w:tc>
        <w:tc>
          <w:tcPr>
            <w:tcW w:w="6560" w:type="dxa"/>
            <w:vAlign w:val="bottom"/>
            <w:vMerge w:val="restart"/>
          </w:tcPr>
          <w:p>
            <w:pPr>
              <w:ind w:left="100"/>
              <w:spacing w:after="0"/>
              <w:rPr>
                <w:sz w:val="20"/>
                <w:szCs w:val="20"/>
                <w:color w:val="auto"/>
              </w:rPr>
            </w:pPr>
            <w:r>
              <w:rPr>
                <w:rFonts w:ascii="Arial" w:cs="Arial" w:eastAsia="Arial" w:hAnsi="Arial"/>
                <w:sz w:val="18"/>
                <w:szCs w:val="18"/>
                <w:color w:val="auto"/>
              </w:rPr>
              <w:t>0</w:t>
            </w:r>
          </w:p>
        </w:tc>
        <w:tc>
          <w:tcPr>
            <w:tcW w:w="11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6"/>
        </w:trPr>
        <w:tc>
          <w:tcPr>
            <w:tcW w:w="620" w:type="dxa"/>
            <w:vAlign w:val="bottom"/>
          </w:tcPr>
          <w:p>
            <w:pPr>
              <w:spacing w:after="0"/>
              <w:rPr>
                <w:sz w:val="11"/>
                <w:szCs w:val="11"/>
                <w:color w:val="auto"/>
              </w:rPr>
            </w:pPr>
          </w:p>
        </w:tc>
        <w:tc>
          <w:tcPr>
            <w:tcW w:w="2000" w:type="dxa"/>
            <w:vAlign w:val="bottom"/>
            <w:tcBorders>
              <w:right w:val="single" w:sz="8" w:color="auto"/>
            </w:tcBorders>
            <w:vMerge w:val="restart"/>
          </w:tcPr>
          <w:p>
            <w:pPr>
              <w:jc w:val="center"/>
              <w:ind w:right="530"/>
              <w:spacing w:after="0"/>
              <w:rPr>
                <w:sz w:val="20"/>
                <w:szCs w:val="20"/>
                <w:color w:val="auto"/>
              </w:rPr>
            </w:pPr>
            <w:r>
              <w:rPr>
                <w:rFonts w:ascii="Arial" w:cs="Arial" w:eastAsia="Arial" w:hAnsi="Arial"/>
                <w:sz w:val="18"/>
                <w:szCs w:val="18"/>
                <w:color w:val="auto"/>
                <w:w w:val="99"/>
              </w:rPr>
              <w:t>OWNED BY</w:t>
            </w:r>
          </w:p>
        </w:tc>
        <w:tc>
          <w:tcPr>
            <w:tcW w:w="900" w:type="dxa"/>
            <w:vAlign w:val="bottom"/>
            <w:tcBorders>
              <w:right w:val="single" w:sz="8" w:color="auto"/>
            </w:tcBorders>
          </w:tcPr>
          <w:p>
            <w:pPr>
              <w:spacing w:after="0"/>
              <w:rPr>
                <w:sz w:val="11"/>
                <w:szCs w:val="11"/>
                <w:color w:val="auto"/>
              </w:rPr>
            </w:pPr>
          </w:p>
        </w:tc>
        <w:tc>
          <w:tcPr>
            <w:tcW w:w="6560" w:type="dxa"/>
            <w:vAlign w:val="bottom"/>
            <w:vMerge w:val="continue"/>
          </w:tcPr>
          <w:p>
            <w:pPr>
              <w:spacing w:after="0"/>
              <w:rPr>
                <w:sz w:val="11"/>
                <w:szCs w:val="11"/>
                <w:color w:val="auto"/>
              </w:rPr>
            </w:pPr>
          </w:p>
        </w:tc>
        <w:tc>
          <w:tcPr>
            <w:tcW w:w="1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4"/>
        </w:trPr>
        <w:tc>
          <w:tcPr>
            <w:tcW w:w="620" w:type="dxa"/>
            <w:vAlign w:val="bottom"/>
          </w:tcPr>
          <w:p>
            <w:pPr>
              <w:spacing w:after="0"/>
              <w:rPr>
                <w:sz w:val="8"/>
                <w:szCs w:val="8"/>
                <w:color w:val="auto"/>
              </w:rPr>
            </w:pPr>
          </w:p>
        </w:tc>
        <w:tc>
          <w:tcPr>
            <w:tcW w:w="2000" w:type="dxa"/>
            <w:vAlign w:val="bottom"/>
            <w:tcBorders>
              <w:right w:val="single" w:sz="8" w:color="auto"/>
            </w:tcBorders>
            <w:vMerge w:val="continue"/>
          </w:tcPr>
          <w:p>
            <w:pPr>
              <w:spacing w:after="0"/>
              <w:rPr>
                <w:sz w:val="8"/>
                <w:szCs w:val="8"/>
                <w:color w:val="auto"/>
              </w:rPr>
            </w:pPr>
          </w:p>
        </w:tc>
        <w:tc>
          <w:tcPr>
            <w:tcW w:w="900" w:type="dxa"/>
            <w:vAlign w:val="bottom"/>
            <w:tcBorders>
              <w:bottom w:val="single" w:sz="8" w:color="auto"/>
              <w:right w:val="single" w:sz="8" w:color="auto"/>
            </w:tcBorders>
          </w:tcPr>
          <w:p>
            <w:pPr>
              <w:spacing w:after="0"/>
              <w:rPr>
                <w:sz w:val="8"/>
                <w:szCs w:val="8"/>
                <w:color w:val="auto"/>
              </w:rPr>
            </w:pPr>
          </w:p>
        </w:tc>
        <w:tc>
          <w:tcPr>
            <w:tcW w:w="6560" w:type="dxa"/>
            <w:vAlign w:val="bottom"/>
            <w:tcBorders>
              <w:bottom w:val="single" w:sz="8" w:color="auto"/>
            </w:tcBorders>
          </w:tcPr>
          <w:p>
            <w:pPr>
              <w:spacing w:after="0"/>
              <w:rPr>
                <w:sz w:val="8"/>
                <w:szCs w:val="8"/>
                <w:color w:val="auto"/>
              </w:rPr>
            </w:pPr>
          </w:p>
        </w:tc>
        <w:tc>
          <w:tcPr>
            <w:tcW w:w="1160" w:type="dxa"/>
            <w:vAlign w:val="bottom"/>
            <w:tcBorders>
              <w:bottom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82"/>
        </w:trPr>
        <w:tc>
          <w:tcPr>
            <w:tcW w:w="620" w:type="dxa"/>
            <w:vAlign w:val="bottom"/>
          </w:tcPr>
          <w:p>
            <w:pPr>
              <w:spacing w:after="0"/>
              <w:rPr>
                <w:sz w:val="15"/>
                <w:szCs w:val="15"/>
                <w:color w:val="auto"/>
              </w:rPr>
            </w:pPr>
          </w:p>
        </w:tc>
        <w:tc>
          <w:tcPr>
            <w:tcW w:w="2000" w:type="dxa"/>
            <w:vAlign w:val="bottom"/>
            <w:tcBorders>
              <w:right w:val="single" w:sz="8" w:color="auto"/>
            </w:tcBorders>
          </w:tcPr>
          <w:p>
            <w:pPr>
              <w:jc w:val="center"/>
              <w:ind w:right="530"/>
              <w:spacing w:after="0" w:line="182" w:lineRule="exact"/>
              <w:rPr>
                <w:sz w:val="20"/>
                <w:szCs w:val="20"/>
                <w:color w:val="auto"/>
              </w:rPr>
            </w:pPr>
            <w:r>
              <w:rPr>
                <w:rFonts w:ascii="Arial" w:cs="Arial" w:eastAsia="Arial" w:hAnsi="Arial"/>
                <w:sz w:val="18"/>
                <w:szCs w:val="18"/>
                <w:color w:val="auto"/>
                <w:w w:val="99"/>
              </w:rPr>
              <w:t>EACH</w:t>
            </w:r>
          </w:p>
        </w:tc>
        <w:tc>
          <w:tcPr>
            <w:tcW w:w="900" w:type="dxa"/>
            <w:vAlign w:val="bottom"/>
            <w:tcBorders>
              <w:right w:val="single" w:sz="8" w:color="auto"/>
            </w:tcBorders>
          </w:tcPr>
          <w:p>
            <w:pPr>
              <w:spacing w:after="0"/>
              <w:rPr>
                <w:sz w:val="15"/>
                <w:szCs w:val="15"/>
                <w:color w:val="auto"/>
              </w:rPr>
            </w:pPr>
          </w:p>
        </w:tc>
        <w:tc>
          <w:tcPr>
            <w:tcW w:w="6560" w:type="dxa"/>
            <w:vAlign w:val="bottom"/>
            <w:vMerge w:val="restart"/>
          </w:tcPr>
          <w:p>
            <w:pPr>
              <w:ind w:left="100"/>
              <w:spacing w:after="0"/>
              <w:rPr>
                <w:sz w:val="20"/>
                <w:szCs w:val="20"/>
                <w:color w:val="auto"/>
              </w:rPr>
            </w:pPr>
            <w:r>
              <w:rPr>
                <w:rFonts w:ascii="Arial" w:cs="Arial" w:eastAsia="Arial" w:hAnsi="Arial"/>
                <w:sz w:val="18"/>
                <w:szCs w:val="18"/>
                <w:color w:val="auto"/>
              </w:rPr>
              <w:t>SOLE DISPOSITIVE POWER</w:t>
            </w:r>
          </w:p>
        </w:tc>
        <w:tc>
          <w:tcPr>
            <w:tcW w:w="11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8"/>
        </w:trPr>
        <w:tc>
          <w:tcPr>
            <w:tcW w:w="620" w:type="dxa"/>
            <w:vAlign w:val="bottom"/>
          </w:tcPr>
          <w:p>
            <w:pPr>
              <w:spacing w:after="0"/>
              <w:rPr>
                <w:sz w:val="9"/>
                <w:szCs w:val="9"/>
                <w:color w:val="auto"/>
              </w:rPr>
            </w:pPr>
          </w:p>
        </w:tc>
        <w:tc>
          <w:tcPr>
            <w:tcW w:w="2000" w:type="dxa"/>
            <w:vAlign w:val="bottom"/>
            <w:tcBorders>
              <w:right w:val="single" w:sz="8" w:color="auto"/>
            </w:tcBorders>
            <w:vMerge w:val="restart"/>
          </w:tcPr>
          <w:p>
            <w:pPr>
              <w:jc w:val="center"/>
              <w:ind w:right="510"/>
              <w:spacing w:after="0"/>
              <w:rPr>
                <w:sz w:val="20"/>
                <w:szCs w:val="20"/>
                <w:color w:val="auto"/>
              </w:rPr>
            </w:pPr>
            <w:r>
              <w:rPr>
                <w:rFonts w:ascii="Arial" w:cs="Arial" w:eastAsia="Arial" w:hAnsi="Arial"/>
                <w:sz w:val="18"/>
                <w:szCs w:val="18"/>
                <w:color w:val="auto"/>
                <w:w w:val="93"/>
              </w:rPr>
              <w:t>REPORTING</w:t>
            </w:r>
          </w:p>
        </w:tc>
        <w:tc>
          <w:tcPr>
            <w:tcW w:w="9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79"/>
              </w:rPr>
              <w:t>9</w:t>
            </w:r>
          </w:p>
        </w:tc>
        <w:tc>
          <w:tcPr>
            <w:tcW w:w="6560" w:type="dxa"/>
            <w:vAlign w:val="bottom"/>
            <w:vMerge w:val="continue"/>
          </w:tcPr>
          <w:p>
            <w:pPr>
              <w:spacing w:after="0"/>
              <w:rPr>
                <w:sz w:val="9"/>
                <w:szCs w:val="9"/>
                <w:color w:val="auto"/>
              </w:rPr>
            </w:pPr>
          </w:p>
        </w:tc>
        <w:tc>
          <w:tcPr>
            <w:tcW w:w="11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8"/>
        </w:trPr>
        <w:tc>
          <w:tcPr>
            <w:tcW w:w="620" w:type="dxa"/>
            <w:vAlign w:val="bottom"/>
          </w:tcPr>
          <w:p>
            <w:pPr>
              <w:spacing w:after="0"/>
              <w:rPr>
                <w:sz w:val="9"/>
                <w:szCs w:val="9"/>
                <w:color w:val="auto"/>
              </w:rPr>
            </w:pPr>
          </w:p>
        </w:tc>
        <w:tc>
          <w:tcPr>
            <w:tcW w:w="2000" w:type="dxa"/>
            <w:vAlign w:val="bottom"/>
            <w:tcBorders>
              <w:right w:val="single" w:sz="8" w:color="auto"/>
            </w:tcBorders>
            <w:vMerge w:val="continue"/>
          </w:tcPr>
          <w:p>
            <w:pPr>
              <w:spacing w:after="0"/>
              <w:rPr>
                <w:sz w:val="9"/>
                <w:szCs w:val="9"/>
                <w:color w:val="auto"/>
              </w:rPr>
            </w:pPr>
          </w:p>
        </w:tc>
        <w:tc>
          <w:tcPr>
            <w:tcW w:w="900" w:type="dxa"/>
            <w:vAlign w:val="bottom"/>
            <w:tcBorders>
              <w:right w:val="single" w:sz="8" w:color="auto"/>
            </w:tcBorders>
            <w:vMerge w:val="continue"/>
          </w:tcPr>
          <w:p>
            <w:pPr>
              <w:spacing w:after="0"/>
              <w:rPr>
                <w:sz w:val="9"/>
                <w:szCs w:val="9"/>
                <w:color w:val="auto"/>
              </w:rPr>
            </w:pPr>
          </w:p>
        </w:tc>
        <w:tc>
          <w:tcPr>
            <w:tcW w:w="6560" w:type="dxa"/>
            <w:vAlign w:val="bottom"/>
            <w:vMerge w:val="restart"/>
          </w:tcPr>
          <w:p>
            <w:pPr>
              <w:ind w:left="100"/>
              <w:spacing w:after="0"/>
              <w:rPr>
                <w:sz w:val="20"/>
                <w:szCs w:val="20"/>
                <w:color w:val="auto"/>
              </w:rPr>
            </w:pPr>
            <w:r>
              <w:rPr>
                <w:rFonts w:ascii="Arial" w:cs="Arial" w:eastAsia="Arial" w:hAnsi="Arial"/>
                <w:sz w:val="18"/>
                <w:szCs w:val="18"/>
                <w:color w:val="auto"/>
              </w:rPr>
              <w:t>5,202,298</w:t>
            </w:r>
          </w:p>
        </w:tc>
        <w:tc>
          <w:tcPr>
            <w:tcW w:w="11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22"/>
        </w:trPr>
        <w:tc>
          <w:tcPr>
            <w:tcW w:w="620" w:type="dxa"/>
            <w:vAlign w:val="bottom"/>
          </w:tcPr>
          <w:p>
            <w:pPr>
              <w:spacing w:after="0"/>
              <w:rPr>
                <w:sz w:val="10"/>
                <w:szCs w:val="10"/>
                <w:color w:val="auto"/>
              </w:rPr>
            </w:pPr>
          </w:p>
        </w:tc>
        <w:tc>
          <w:tcPr>
            <w:tcW w:w="2000" w:type="dxa"/>
            <w:vAlign w:val="bottom"/>
            <w:tcBorders>
              <w:right w:val="single" w:sz="8" w:color="auto"/>
            </w:tcBorders>
            <w:vMerge w:val="restart"/>
          </w:tcPr>
          <w:p>
            <w:pPr>
              <w:jc w:val="center"/>
              <w:ind w:right="530"/>
              <w:spacing w:after="0"/>
              <w:rPr>
                <w:sz w:val="20"/>
                <w:szCs w:val="20"/>
                <w:color w:val="auto"/>
              </w:rPr>
            </w:pPr>
            <w:r>
              <w:rPr>
                <w:rFonts w:ascii="Arial" w:cs="Arial" w:eastAsia="Arial" w:hAnsi="Arial"/>
                <w:sz w:val="18"/>
                <w:szCs w:val="18"/>
                <w:color w:val="auto"/>
                <w:w w:val="92"/>
              </w:rPr>
              <w:t>PERSON</w:t>
            </w:r>
          </w:p>
        </w:tc>
        <w:tc>
          <w:tcPr>
            <w:tcW w:w="900" w:type="dxa"/>
            <w:vAlign w:val="bottom"/>
            <w:tcBorders>
              <w:right w:val="single" w:sz="8" w:color="auto"/>
            </w:tcBorders>
          </w:tcPr>
          <w:p>
            <w:pPr>
              <w:spacing w:after="0"/>
              <w:rPr>
                <w:sz w:val="10"/>
                <w:szCs w:val="10"/>
                <w:color w:val="auto"/>
              </w:rPr>
            </w:pPr>
          </w:p>
        </w:tc>
        <w:tc>
          <w:tcPr>
            <w:tcW w:w="6560" w:type="dxa"/>
            <w:vAlign w:val="bottom"/>
            <w:vMerge w:val="continue"/>
          </w:tcPr>
          <w:p>
            <w:pPr>
              <w:spacing w:after="0"/>
              <w:rPr>
                <w:sz w:val="10"/>
                <w:szCs w:val="10"/>
                <w:color w:val="auto"/>
              </w:rPr>
            </w:pPr>
          </w:p>
        </w:tc>
        <w:tc>
          <w:tcPr>
            <w:tcW w:w="11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5"/>
        </w:trPr>
        <w:tc>
          <w:tcPr>
            <w:tcW w:w="620" w:type="dxa"/>
            <w:vAlign w:val="bottom"/>
          </w:tcPr>
          <w:p>
            <w:pPr>
              <w:spacing w:after="0"/>
              <w:rPr>
                <w:sz w:val="8"/>
                <w:szCs w:val="8"/>
                <w:color w:val="auto"/>
              </w:rPr>
            </w:pPr>
          </w:p>
        </w:tc>
        <w:tc>
          <w:tcPr>
            <w:tcW w:w="2000" w:type="dxa"/>
            <w:vAlign w:val="bottom"/>
            <w:tcBorders>
              <w:right w:val="single" w:sz="8" w:color="auto"/>
            </w:tcBorders>
            <w:vMerge w:val="continue"/>
          </w:tcPr>
          <w:p>
            <w:pPr>
              <w:spacing w:after="0"/>
              <w:rPr>
                <w:sz w:val="8"/>
                <w:szCs w:val="8"/>
                <w:color w:val="auto"/>
              </w:rPr>
            </w:pPr>
          </w:p>
        </w:tc>
        <w:tc>
          <w:tcPr>
            <w:tcW w:w="900" w:type="dxa"/>
            <w:vAlign w:val="bottom"/>
            <w:tcBorders>
              <w:bottom w:val="single" w:sz="8" w:color="auto"/>
              <w:right w:val="single" w:sz="8" w:color="auto"/>
            </w:tcBorders>
          </w:tcPr>
          <w:p>
            <w:pPr>
              <w:spacing w:after="0"/>
              <w:rPr>
                <w:sz w:val="8"/>
                <w:szCs w:val="8"/>
                <w:color w:val="auto"/>
              </w:rPr>
            </w:pPr>
          </w:p>
        </w:tc>
        <w:tc>
          <w:tcPr>
            <w:tcW w:w="6560" w:type="dxa"/>
            <w:vAlign w:val="bottom"/>
            <w:tcBorders>
              <w:bottom w:val="single" w:sz="8" w:color="auto"/>
            </w:tcBorders>
          </w:tcPr>
          <w:p>
            <w:pPr>
              <w:spacing w:after="0"/>
              <w:rPr>
                <w:sz w:val="8"/>
                <w:szCs w:val="8"/>
                <w:color w:val="auto"/>
              </w:rPr>
            </w:pPr>
          </w:p>
        </w:tc>
        <w:tc>
          <w:tcPr>
            <w:tcW w:w="1160" w:type="dxa"/>
            <w:vAlign w:val="bottom"/>
            <w:tcBorders>
              <w:bottom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90"/>
        </w:trPr>
        <w:tc>
          <w:tcPr>
            <w:tcW w:w="620" w:type="dxa"/>
            <w:vAlign w:val="bottom"/>
          </w:tcPr>
          <w:p>
            <w:pPr>
              <w:spacing w:after="0"/>
              <w:rPr>
                <w:sz w:val="24"/>
                <w:szCs w:val="24"/>
                <w:color w:val="auto"/>
              </w:rPr>
            </w:pPr>
          </w:p>
        </w:tc>
        <w:tc>
          <w:tcPr>
            <w:tcW w:w="2000" w:type="dxa"/>
            <w:vAlign w:val="bottom"/>
            <w:tcBorders>
              <w:right w:val="single" w:sz="8" w:color="auto"/>
            </w:tcBorders>
          </w:tcPr>
          <w:p>
            <w:pPr>
              <w:spacing w:after="0"/>
              <w:rPr>
                <w:sz w:val="24"/>
                <w:szCs w:val="24"/>
                <w:color w:val="auto"/>
              </w:rPr>
            </w:pPr>
          </w:p>
        </w:tc>
        <w:tc>
          <w:tcPr>
            <w:tcW w:w="9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89"/>
              </w:rPr>
              <w:t>10</w:t>
            </w:r>
          </w:p>
        </w:tc>
        <w:tc>
          <w:tcPr>
            <w:tcW w:w="6560" w:type="dxa"/>
            <w:vAlign w:val="bottom"/>
          </w:tcPr>
          <w:p>
            <w:pPr>
              <w:ind w:left="100"/>
              <w:spacing w:after="0"/>
              <w:rPr>
                <w:sz w:val="20"/>
                <w:szCs w:val="20"/>
                <w:color w:val="auto"/>
              </w:rPr>
            </w:pPr>
            <w:r>
              <w:rPr>
                <w:rFonts w:ascii="Arial" w:cs="Arial" w:eastAsia="Arial" w:hAnsi="Arial"/>
                <w:sz w:val="18"/>
                <w:szCs w:val="18"/>
                <w:color w:val="auto"/>
              </w:rPr>
              <w:t>SHARED DISPOSITIVE POWER</w:t>
            </w: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2"/>
        </w:trPr>
        <w:tc>
          <w:tcPr>
            <w:tcW w:w="620" w:type="dxa"/>
            <w:vAlign w:val="bottom"/>
          </w:tcPr>
          <w:p>
            <w:pPr>
              <w:spacing w:after="0"/>
              <w:rPr>
                <w:sz w:val="10"/>
                <w:szCs w:val="10"/>
                <w:color w:val="auto"/>
              </w:rPr>
            </w:pPr>
          </w:p>
        </w:tc>
        <w:tc>
          <w:tcPr>
            <w:tcW w:w="2000" w:type="dxa"/>
            <w:vAlign w:val="bottom"/>
            <w:tcBorders>
              <w:right w:val="single" w:sz="8" w:color="auto"/>
            </w:tcBorders>
          </w:tcPr>
          <w:p>
            <w:pPr>
              <w:spacing w:after="0"/>
              <w:rPr>
                <w:sz w:val="10"/>
                <w:szCs w:val="10"/>
                <w:color w:val="auto"/>
              </w:rPr>
            </w:pPr>
          </w:p>
        </w:tc>
        <w:tc>
          <w:tcPr>
            <w:tcW w:w="900" w:type="dxa"/>
            <w:vAlign w:val="bottom"/>
            <w:tcBorders>
              <w:right w:val="single" w:sz="8" w:color="auto"/>
            </w:tcBorders>
            <w:vMerge w:val="continue"/>
          </w:tcPr>
          <w:p>
            <w:pPr>
              <w:spacing w:after="0"/>
              <w:rPr>
                <w:sz w:val="10"/>
                <w:szCs w:val="10"/>
                <w:color w:val="auto"/>
              </w:rPr>
            </w:pPr>
          </w:p>
        </w:tc>
        <w:tc>
          <w:tcPr>
            <w:tcW w:w="6560" w:type="dxa"/>
            <w:vAlign w:val="bottom"/>
            <w:vMerge w:val="restart"/>
          </w:tcPr>
          <w:p>
            <w:pPr>
              <w:ind w:left="100"/>
              <w:spacing w:after="0"/>
              <w:rPr>
                <w:sz w:val="20"/>
                <w:szCs w:val="20"/>
                <w:color w:val="auto"/>
              </w:rPr>
            </w:pPr>
            <w:r>
              <w:rPr>
                <w:rFonts w:ascii="Arial" w:cs="Arial" w:eastAsia="Arial" w:hAnsi="Arial"/>
                <w:sz w:val="18"/>
                <w:szCs w:val="18"/>
                <w:color w:val="auto"/>
              </w:rPr>
              <w:t>0</w:t>
            </w:r>
          </w:p>
        </w:tc>
        <w:tc>
          <w:tcPr>
            <w:tcW w:w="11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8"/>
        </w:trPr>
        <w:tc>
          <w:tcPr>
            <w:tcW w:w="620" w:type="dxa"/>
            <w:vAlign w:val="bottom"/>
          </w:tcPr>
          <w:p>
            <w:pPr>
              <w:spacing w:after="0"/>
              <w:rPr>
                <w:sz w:val="9"/>
                <w:szCs w:val="9"/>
                <w:color w:val="auto"/>
              </w:rPr>
            </w:pPr>
          </w:p>
        </w:tc>
        <w:tc>
          <w:tcPr>
            <w:tcW w:w="2000" w:type="dxa"/>
            <w:vAlign w:val="bottom"/>
            <w:tcBorders>
              <w:right w:val="single" w:sz="8" w:color="auto"/>
            </w:tcBorders>
          </w:tcPr>
          <w:p>
            <w:pPr>
              <w:spacing w:after="0"/>
              <w:rPr>
                <w:sz w:val="9"/>
                <w:szCs w:val="9"/>
                <w:color w:val="auto"/>
              </w:rPr>
            </w:pPr>
          </w:p>
        </w:tc>
        <w:tc>
          <w:tcPr>
            <w:tcW w:w="900" w:type="dxa"/>
            <w:vAlign w:val="bottom"/>
            <w:tcBorders>
              <w:right w:val="single" w:sz="8" w:color="auto"/>
            </w:tcBorders>
          </w:tcPr>
          <w:p>
            <w:pPr>
              <w:spacing w:after="0"/>
              <w:rPr>
                <w:sz w:val="9"/>
                <w:szCs w:val="9"/>
                <w:color w:val="auto"/>
              </w:rPr>
            </w:pPr>
          </w:p>
        </w:tc>
        <w:tc>
          <w:tcPr>
            <w:tcW w:w="6560" w:type="dxa"/>
            <w:vAlign w:val="bottom"/>
            <w:vMerge w:val="continue"/>
          </w:tcPr>
          <w:p>
            <w:pPr>
              <w:spacing w:after="0"/>
              <w:rPr>
                <w:sz w:val="9"/>
                <w:szCs w:val="9"/>
                <w:color w:val="auto"/>
              </w:rPr>
            </w:pPr>
          </w:p>
        </w:tc>
        <w:tc>
          <w:tcPr>
            <w:tcW w:w="11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94"/>
        </w:trPr>
        <w:tc>
          <w:tcPr>
            <w:tcW w:w="620" w:type="dxa"/>
            <w:vAlign w:val="bottom"/>
            <w:tcBorders>
              <w:bottom w:val="single" w:sz="8" w:color="auto"/>
            </w:tcBorders>
          </w:tcPr>
          <w:p>
            <w:pPr>
              <w:spacing w:after="0"/>
              <w:rPr>
                <w:sz w:val="8"/>
                <w:szCs w:val="8"/>
                <w:color w:val="auto"/>
              </w:rPr>
            </w:pPr>
          </w:p>
        </w:tc>
        <w:tc>
          <w:tcPr>
            <w:tcW w:w="2000" w:type="dxa"/>
            <w:vAlign w:val="bottom"/>
            <w:tcBorders>
              <w:bottom w:val="single" w:sz="8" w:color="auto"/>
              <w:right w:val="single" w:sz="8" w:color="auto"/>
            </w:tcBorders>
          </w:tcPr>
          <w:p>
            <w:pPr>
              <w:spacing w:after="0"/>
              <w:rPr>
                <w:sz w:val="8"/>
                <w:szCs w:val="8"/>
                <w:color w:val="auto"/>
              </w:rPr>
            </w:pPr>
          </w:p>
        </w:tc>
        <w:tc>
          <w:tcPr>
            <w:tcW w:w="900" w:type="dxa"/>
            <w:vAlign w:val="bottom"/>
            <w:tcBorders>
              <w:bottom w:val="single" w:sz="8" w:color="auto"/>
              <w:right w:val="single" w:sz="8" w:color="auto"/>
            </w:tcBorders>
          </w:tcPr>
          <w:p>
            <w:pPr>
              <w:spacing w:after="0"/>
              <w:rPr>
                <w:sz w:val="8"/>
                <w:szCs w:val="8"/>
                <w:color w:val="auto"/>
              </w:rPr>
            </w:pPr>
          </w:p>
        </w:tc>
        <w:tc>
          <w:tcPr>
            <w:tcW w:w="6560" w:type="dxa"/>
            <w:vAlign w:val="bottom"/>
            <w:tcBorders>
              <w:bottom w:val="single" w:sz="8" w:color="auto"/>
            </w:tcBorders>
          </w:tcPr>
          <w:p>
            <w:pPr>
              <w:spacing w:after="0"/>
              <w:rPr>
                <w:sz w:val="8"/>
                <w:szCs w:val="8"/>
                <w:color w:val="auto"/>
              </w:rPr>
            </w:pPr>
          </w:p>
        </w:tc>
        <w:tc>
          <w:tcPr>
            <w:tcW w:w="1160" w:type="dxa"/>
            <w:vAlign w:val="bottom"/>
            <w:tcBorders>
              <w:bottom w:val="single" w:sz="8" w:color="auto"/>
            </w:tcBorders>
          </w:tcPr>
          <w:p>
            <w:pPr>
              <w:spacing w:after="0"/>
              <w:rPr>
                <w:sz w:val="8"/>
                <w:szCs w:val="8"/>
                <w:color w:val="auto"/>
              </w:rPr>
            </w:pPr>
          </w:p>
        </w:tc>
        <w:tc>
          <w:tcPr>
            <w:tcW w:w="0" w:type="dxa"/>
            <w:vAlign w:val="bottom"/>
          </w:tcPr>
          <w:p>
            <w:pPr>
              <w:spacing w:after="0"/>
              <w:rPr>
                <w:sz w:val="1"/>
                <w:szCs w:val="1"/>
                <w:color w:val="auto"/>
              </w:rPr>
            </w:pPr>
          </w:p>
        </w:tc>
      </w:tr>
    </w:tbl>
    <w:p>
      <w:pPr>
        <w:spacing w:after="0" w:line="78" w:lineRule="exact"/>
        <w:rPr>
          <w:sz w:val="20"/>
          <w:szCs w:val="20"/>
          <w:color w:val="auto"/>
        </w:rPr>
      </w:pPr>
    </w:p>
    <w:p>
      <w:pPr>
        <w:ind w:left="1140"/>
        <w:spacing w:after="0"/>
        <w:rPr>
          <w:sz w:val="20"/>
          <w:szCs w:val="20"/>
          <w:color w:val="auto"/>
        </w:rPr>
      </w:pPr>
      <w:r>
        <w:rPr>
          <w:rFonts w:ascii="Arial" w:cs="Arial" w:eastAsia="Arial" w:hAnsi="Arial"/>
          <w:sz w:val="18"/>
          <w:szCs w:val="18"/>
          <w:color w:val="auto"/>
        </w:rPr>
        <w:t>AGGREGATE AMOUNT BENEFICIALLY OWNED BY EACH REPORTING PERSON</w:t>
      </w:r>
    </w:p>
    <w:p>
      <w:pPr>
        <w:ind w:left="440"/>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p>
    <w:p>
      <w:pPr>
        <w:ind w:left="1140"/>
        <w:spacing w:after="0"/>
        <w:rPr>
          <w:sz w:val="20"/>
          <w:szCs w:val="20"/>
          <w:color w:val="auto"/>
        </w:rPr>
      </w:pPr>
      <w:r>
        <w:rPr>
          <w:rFonts w:ascii="Arial" w:cs="Arial" w:eastAsia="Arial" w:hAnsi="Arial"/>
          <w:sz w:val="18"/>
          <w:szCs w:val="18"/>
          <w:color w:val="auto"/>
        </w:rPr>
        <w:t>5,202,298</w:t>
      </w:r>
    </w:p>
    <w:p>
      <w:pPr>
        <w:spacing w:after="0" w:line="179" w:lineRule="exact"/>
        <w:rPr>
          <w:sz w:val="20"/>
          <w:szCs w:val="20"/>
          <w:color w:val="auto"/>
        </w:rPr>
      </w:pPr>
    </w:p>
    <w:tbl>
      <w:tblPr>
        <w:tblLayout w:type="fixed"/>
        <w:tblInd w:w="440" w:type="dxa"/>
        <w:tblCellMar>
          <w:top w:w="0" w:type="dxa"/>
          <w:left w:w="0" w:type="dxa"/>
          <w:bottom w:w="0" w:type="dxa"/>
          <w:right w:w="0" w:type="dxa"/>
        </w:tblCellMar>
      </w:tblPr>
      <w:tr>
        <w:trPr>
          <w:trHeight w:val="283"/>
        </w:trPr>
        <w:tc>
          <w:tcPr>
            <w:tcW w:w="440" w:type="dxa"/>
            <w:vAlign w:val="bottom"/>
          </w:tcPr>
          <w:p>
            <w:pPr>
              <w:jc w:val="right"/>
              <w:ind w:right="170"/>
              <w:spacing w:after="0"/>
              <w:rPr>
                <w:sz w:val="20"/>
                <w:szCs w:val="20"/>
                <w:color w:val="auto"/>
              </w:rPr>
            </w:pPr>
            <w:r>
              <w:rPr>
                <w:rFonts w:ascii="Arial" w:cs="Arial" w:eastAsia="Arial" w:hAnsi="Arial"/>
                <w:sz w:val="18"/>
                <w:szCs w:val="18"/>
                <w:color w:val="auto"/>
                <w:w w:val="79"/>
              </w:rPr>
              <w:t>12</w:t>
            </w:r>
          </w:p>
        </w:tc>
        <w:tc>
          <w:tcPr>
            <w:tcW w:w="9140" w:type="dxa"/>
            <w:vAlign w:val="bottom"/>
          </w:tcPr>
          <w:p>
            <w:pPr>
              <w:ind w:left="260"/>
              <w:spacing w:after="0"/>
              <w:rPr>
                <w:sz w:val="20"/>
                <w:szCs w:val="20"/>
                <w:color w:val="auto"/>
              </w:rPr>
            </w:pPr>
            <w:r>
              <w:rPr>
                <w:rFonts w:ascii="Arial" w:cs="Arial" w:eastAsia="Arial" w:hAnsi="Arial"/>
                <w:sz w:val="18"/>
                <w:szCs w:val="18"/>
                <w:color w:val="auto"/>
                <w:w w:val="99"/>
              </w:rPr>
              <w:t>CHECK BOX IF THE AGGREGATE AMOUNT IN ROW (11) EXCLUDES CERTAIN SHARES (See Instructions)</w:t>
            </w:r>
          </w:p>
        </w:tc>
        <w:tc>
          <w:tcPr>
            <w:tcW w:w="580" w:type="dxa"/>
            <w:vAlign w:val="bottom"/>
          </w:tcPr>
          <w:p>
            <w:pPr>
              <w:ind w:left="420"/>
              <w:spacing w:after="0" w:line="181" w:lineRule="exact"/>
              <w:rPr>
                <w:sz w:val="20"/>
                <w:szCs w:val="20"/>
                <w:color w:val="auto"/>
              </w:rPr>
            </w:pPr>
            <w:r>
              <w:rPr>
                <w:rFonts w:ascii="MS PGothic" w:cs="MS PGothic" w:eastAsia="MS PGothic" w:hAnsi="MS PGothic"/>
                <w:sz w:val="18"/>
                <w:szCs w:val="18"/>
                <w:color w:val="auto"/>
                <w:w w:val="77"/>
              </w:rPr>
              <w:t>☐</w:t>
            </w:r>
          </w:p>
        </w:tc>
      </w:tr>
    </w:tbl>
    <w:p>
      <w:pPr>
        <w:spacing w:after="0" w:line="209" w:lineRule="exact"/>
        <w:rPr>
          <w:sz w:val="20"/>
          <w:szCs w:val="20"/>
          <w:color w:val="auto"/>
        </w:rPr>
      </w:pPr>
    </w:p>
    <w:p>
      <w:pPr>
        <w:ind w:left="1140" w:right="4960" w:hanging="709"/>
        <w:spacing w:after="0" w:line="182" w:lineRule="auto"/>
        <w:tabs>
          <w:tab w:leader="none" w:pos="1140" w:val="left"/>
        </w:tabs>
        <w:numPr>
          <w:ilvl w:val="0"/>
          <w:numId w:val="9"/>
        </w:numPr>
        <w:rPr>
          <w:rFonts w:ascii="Arial" w:cs="Arial" w:eastAsia="Arial" w:hAnsi="Arial"/>
          <w:sz w:val="34"/>
          <w:szCs w:val="34"/>
          <w:color w:val="auto"/>
          <w:vertAlign w:val="subscript"/>
        </w:rPr>
      </w:pPr>
      <w:r>
        <w:rPr>
          <w:rFonts w:ascii="Arial" w:cs="Arial" w:eastAsia="Arial" w:hAnsi="Arial"/>
          <w:sz w:val="17"/>
          <w:szCs w:val="17"/>
          <w:color w:val="auto"/>
        </w:rPr>
        <w:t>PERCENT OF CLASS REPRESENTED BY AMOUNT IN ROW (11) 26.39%</w:t>
      </w:r>
    </w:p>
    <w:p>
      <w:pPr>
        <w:spacing w:after="0" w:line="188" w:lineRule="exact"/>
        <w:rPr>
          <w:sz w:val="20"/>
          <w:szCs w:val="20"/>
          <w:color w:val="auto"/>
        </w:rPr>
      </w:pPr>
    </w:p>
    <w:p>
      <w:pPr>
        <w:ind w:left="1140"/>
        <w:spacing w:after="0"/>
        <w:rPr>
          <w:sz w:val="20"/>
          <w:szCs w:val="20"/>
          <w:color w:val="auto"/>
        </w:rPr>
      </w:pPr>
      <w:r>
        <w:rPr>
          <w:rFonts w:ascii="Arial" w:cs="Arial" w:eastAsia="Arial" w:hAnsi="Arial"/>
          <w:sz w:val="18"/>
          <w:szCs w:val="18"/>
          <w:color w:val="auto"/>
        </w:rPr>
        <w:t>TYPE OF REPORTING PERSON (See Instructions)</w:t>
      </w:r>
    </w:p>
    <w:p>
      <w:pPr>
        <w:ind w:left="440"/>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p>
    <w:p>
      <w:pPr>
        <w:ind w:left="1140"/>
        <w:spacing w:after="0"/>
        <w:rPr>
          <w:sz w:val="20"/>
          <w:szCs w:val="20"/>
          <w:color w:val="auto"/>
        </w:rPr>
      </w:pPr>
      <w:r>
        <w:rPr>
          <w:rFonts w:ascii="Arial" w:cs="Arial" w:eastAsia="Arial" w:hAnsi="Arial"/>
          <w:sz w:val="18"/>
          <w:szCs w:val="18"/>
          <w:color w:val="auto"/>
        </w:rPr>
        <w:t>IN, HC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648970</wp:posOffset>
            </wp:positionV>
            <wp:extent cx="713232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1232" w:right="339" w:bottom="1440" w:gutter="0" w:footer="0" w:header="0"/>
        </w:sectPr>
      </w:pPr>
    </w:p>
    <w:bookmarkStart w:id="3" w:name="page4"/>
    <w:bookmarkEnd w:id="3"/>
    <w:p>
      <w:pPr>
        <w:jc w:val="both"/>
        <w:ind w:firstLine="648"/>
        <w:spacing w:after="0" w:line="257" w:lineRule="auto"/>
        <w:rPr>
          <w:sz w:val="20"/>
          <w:szCs w:val="20"/>
          <w:color w:val="auto"/>
        </w:rPr>
      </w:pPr>
      <w:r>
        <w:rPr>
          <w:rFonts w:ascii="Arial" w:cs="Arial" w:eastAsia="Arial" w:hAnsi="Arial"/>
          <w:sz w:val="18"/>
          <w:szCs w:val="18"/>
          <w:color w:val="auto"/>
        </w:rPr>
        <w:t>Aequanimitas Limited Partnership (“</w:t>
      </w:r>
      <w:r>
        <w:rPr>
          <w:rFonts w:ascii="Arial" w:cs="Arial" w:eastAsia="Arial" w:hAnsi="Arial"/>
          <w:sz w:val="18"/>
          <w:szCs w:val="18"/>
          <w:u w:val="single" w:color="auto"/>
          <w:color w:val="auto"/>
        </w:rPr>
        <w:t>Aequanimitas</w:t>
      </w:r>
      <w:r>
        <w:rPr>
          <w:rFonts w:ascii="Arial" w:cs="Arial" w:eastAsia="Arial" w:hAnsi="Arial"/>
          <w:sz w:val="18"/>
          <w:szCs w:val="18"/>
          <w:color w:val="auto"/>
        </w:rPr>
        <w:t>”) previously filed Statement on Schedule 13D filed on August 9, 2021 (the “</w:t>
      </w:r>
      <w:r>
        <w:rPr>
          <w:rFonts w:ascii="Arial" w:cs="Arial" w:eastAsia="Arial" w:hAnsi="Arial"/>
          <w:sz w:val="18"/>
          <w:szCs w:val="18"/>
          <w:u w:val="single" w:color="auto"/>
          <w:color w:val="auto"/>
        </w:rPr>
        <w:t>Original</w:t>
      </w:r>
      <w:r>
        <w:rPr>
          <w:rFonts w:ascii="Arial" w:cs="Arial" w:eastAsia="Arial" w:hAnsi="Arial"/>
          <w:sz w:val="18"/>
          <w:szCs w:val="18"/>
          <w:color w:val="auto"/>
        </w:rPr>
        <w:t xml:space="preserve"> </w:t>
      </w:r>
      <w:r>
        <w:rPr>
          <w:rFonts w:ascii="Arial" w:cs="Arial" w:eastAsia="Arial" w:hAnsi="Arial"/>
          <w:sz w:val="18"/>
          <w:szCs w:val="18"/>
          <w:u w:val="single" w:color="auto"/>
          <w:color w:val="auto"/>
        </w:rPr>
        <w:t>Statement</w:t>
      </w:r>
      <w:r>
        <w:rPr>
          <w:rFonts w:ascii="Arial" w:cs="Arial" w:eastAsia="Arial" w:hAnsi="Arial"/>
          <w:sz w:val="18"/>
          <w:szCs w:val="18"/>
          <w:color w:val="auto"/>
        </w:rPr>
        <w:t>”) jointly with Isidoro Quiroga Moreno (“</w:t>
      </w:r>
      <w:r>
        <w:rPr>
          <w:rFonts w:ascii="Arial" w:cs="Arial" w:eastAsia="Arial" w:hAnsi="Arial"/>
          <w:sz w:val="18"/>
          <w:szCs w:val="18"/>
          <w:u w:val="single" w:color="auto"/>
          <w:color w:val="auto"/>
        </w:rPr>
        <w:t>Quiroga Moreno</w:t>
      </w:r>
      <w:r>
        <w:rPr>
          <w:rFonts w:ascii="Arial" w:cs="Arial" w:eastAsia="Arial" w:hAnsi="Arial"/>
          <w:sz w:val="18"/>
          <w:szCs w:val="18"/>
          <w:color w:val="auto"/>
        </w:rPr>
        <w:t>”), South Cone Investments Limited Partnership (“</w:t>
      </w:r>
      <w:r>
        <w:rPr>
          <w:rFonts w:ascii="Arial" w:cs="Arial" w:eastAsia="Arial" w:hAnsi="Arial"/>
          <w:sz w:val="18"/>
          <w:szCs w:val="18"/>
          <w:u w:val="single" w:color="auto"/>
          <w:color w:val="auto"/>
        </w:rPr>
        <w:t>South Cone</w:t>
      </w:r>
      <w:r>
        <w:rPr>
          <w:rFonts w:ascii="Arial" w:cs="Arial" w:eastAsia="Arial" w:hAnsi="Arial"/>
          <w:sz w:val="18"/>
          <w:szCs w:val="18"/>
          <w:color w:val="auto"/>
        </w:rPr>
        <w:t>”) and South Lake One LLC (“</w:t>
      </w:r>
      <w:r>
        <w:rPr>
          <w:rFonts w:ascii="Arial" w:cs="Arial" w:eastAsia="Arial" w:hAnsi="Arial"/>
          <w:sz w:val="18"/>
          <w:szCs w:val="18"/>
          <w:u w:val="single" w:color="auto"/>
          <w:color w:val="auto"/>
        </w:rPr>
        <w:t>South Lake One</w:t>
      </w:r>
      <w:r>
        <w:rPr>
          <w:rFonts w:ascii="Arial" w:cs="Arial" w:eastAsia="Arial" w:hAnsi="Arial"/>
          <w:sz w:val="18"/>
          <w:szCs w:val="18"/>
          <w:color w:val="auto"/>
        </w:rPr>
        <w:t>”, and together with Quiroga Moreno, South Cone and Aequanimitas, the “</w:t>
      </w:r>
      <w:r>
        <w:rPr>
          <w:rFonts w:ascii="Arial" w:cs="Arial" w:eastAsia="Arial" w:hAnsi="Arial"/>
          <w:sz w:val="18"/>
          <w:szCs w:val="18"/>
          <w:u w:val="single" w:color="auto"/>
          <w:color w:val="auto"/>
        </w:rPr>
        <w:t>Prior Reporting Persons</w:t>
      </w:r>
      <w:r>
        <w:rPr>
          <w:rFonts w:ascii="Arial" w:cs="Arial" w:eastAsia="Arial" w:hAnsi="Arial"/>
          <w:sz w:val="18"/>
          <w:szCs w:val="18"/>
          <w:color w:val="auto"/>
        </w:rPr>
        <w:t>”) relating to the beneficial ownership of certain shares Class A common stock, $0.0001 par value per share (the “</w:t>
      </w:r>
      <w:r>
        <w:rPr>
          <w:rFonts w:ascii="Arial" w:cs="Arial" w:eastAsia="Arial" w:hAnsi="Arial"/>
          <w:sz w:val="18"/>
          <w:szCs w:val="18"/>
          <w:u w:val="single" w:color="auto"/>
          <w:color w:val="auto"/>
        </w:rPr>
        <w:t>Class A Common Stock</w:t>
      </w:r>
      <w:r>
        <w:rPr>
          <w:rFonts w:ascii="Arial" w:cs="Arial" w:eastAsia="Arial" w:hAnsi="Arial"/>
          <w:sz w:val="18"/>
          <w:szCs w:val="18"/>
          <w:color w:val="auto"/>
        </w:rPr>
        <w:t>”), of Rani Therapeutics Holdings, Inc. (the “</w:t>
      </w:r>
      <w:r>
        <w:rPr>
          <w:rFonts w:ascii="Arial" w:cs="Arial" w:eastAsia="Arial" w:hAnsi="Arial"/>
          <w:sz w:val="18"/>
          <w:szCs w:val="18"/>
          <w:u w:val="single" w:color="auto"/>
          <w:color w:val="auto"/>
        </w:rPr>
        <w:t>Issuer</w:t>
      </w:r>
      <w:r>
        <w:rPr>
          <w:rFonts w:ascii="Arial" w:cs="Arial" w:eastAsia="Arial" w:hAnsi="Arial"/>
          <w:sz w:val="18"/>
          <w:szCs w:val="18"/>
          <w:color w:val="auto"/>
        </w:rPr>
        <w:t>”), a Delaware corporation.</w:t>
      </w:r>
    </w:p>
    <w:p>
      <w:pPr>
        <w:spacing w:after="0" w:line="188"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On August 30, 2021, Aequanimitas’ former general partner, South Lake Three LLC (“</w:t>
      </w:r>
      <w:r>
        <w:rPr>
          <w:rFonts w:ascii="Arial" w:cs="Arial" w:eastAsia="Arial" w:hAnsi="Arial"/>
          <w:sz w:val="18"/>
          <w:szCs w:val="18"/>
          <w:u w:val="single" w:color="auto"/>
          <w:color w:val="auto"/>
        </w:rPr>
        <w:t>South Lake Three</w:t>
      </w:r>
      <w:r>
        <w:rPr>
          <w:rFonts w:ascii="Arial" w:cs="Arial" w:eastAsia="Arial" w:hAnsi="Arial"/>
          <w:sz w:val="18"/>
          <w:szCs w:val="18"/>
          <w:color w:val="auto"/>
        </w:rPr>
        <w:t>”), which, together with South Lake One, are wholly owned subsidiaries of South Cone, which had previously been indirectly controlled by Quiroga Moreno, was replaced as the general partner of Aequanimitas by Aequanimitas Management LLC (the “</w:t>
      </w:r>
      <w:r>
        <w:rPr>
          <w:rFonts w:ascii="Arial" w:cs="Arial" w:eastAsia="Arial" w:hAnsi="Arial"/>
          <w:sz w:val="18"/>
          <w:szCs w:val="18"/>
          <w:u w:val="single" w:color="auto"/>
          <w:color w:val="auto"/>
        </w:rPr>
        <w:t>General Partner</w:t>
      </w:r>
      <w:r>
        <w:rPr>
          <w:rFonts w:ascii="Arial" w:cs="Arial" w:eastAsia="Arial" w:hAnsi="Arial"/>
          <w:sz w:val="18"/>
          <w:szCs w:val="18"/>
          <w:color w:val="auto"/>
        </w:rPr>
        <w:t>”), whose sole and controlling member is Isidoro Alfonso Quiroga Cortés (“</w:t>
      </w:r>
      <w:r>
        <w:rPr>
          <w:rFonts w:ascii="Arial" w:cs="Arial" w:eastAsia="Arial" w:hAnsi="Arial"/>
          <w:sz w:val="18"/>
          <w:szCs w:val="18"/>
          <w:u w:val="single" w:color="auto"/>
          <w:color w:val="auto"/>
        </w:rPr>
        <w:t>Quiroga Cortés</w:t>
      </w:r>
      <w:r>
        <w:rPr>
          <w:rFonts w:ascii="Arial" w:cs="Arial" w:eastAsia="Arial" w:hAnsi="Arial"/>
          <w:sz w:val="18"/>
          <w:szCs w:val="18"/>
          <w:color w:val="auto"/>
        </w:rPr>
        <w:t>”). As a result, South Lake Three no longer controls Aequanimitas and Aequanimitas no longer forms part of a group with the other Prior Reporting Persons.</w:t>
      </w:r>
    </w:p>
    <w:p>
      <w:pPr>
        <w:spacing w:after="0" w:line="188" w:lineRule="exact"/>
        <w:rPr>
          <w:sz w:val="20"/>
          <w:szCs w:val="20"/>
          <w:color w:val="auto"/>
        </w:rPr>
      </w:pPr>
    </w:p>
    <w:p>
      <w:pPr>
        <w:jc w:val="both"/>
        <w:ind w:right="20" w:firstLine="648"/>
        <w:spacing w:after="0" w:line="263" w:lineRule="auto"/>
        <w:rPr>
          <w:sz w:val="20"/>
          <w:szCs w:val="20"/>
          <w:color w:val="auto"/>
        </w:rPr>
      </w:pPr>
      <w:r>
        <w:rPr>
          <w:rFonts w:ascii="Arial" w:cs="Arial" w:eastAsia="Arial" w:hAnsi="Arial"/>
          <w:sz w:val="18"/>
          <w:szCs w:val="18"/>
          <w:color w:val="auto"/>
        </w:rPr>
        <w:t>On February 1, 2022, the Prior Reporting Persons filed an amendment to the Original Statement, which among other things, removed Aequanimitas as a joint filer under the Original Statement. As a result, Aequanimitas and Quiroga Cortés are hereby jointly filing this Statement on Schedule 13D (this “</w:t>
      </w:r>
      <w:r>
        <w:rPr>
          <w:rFonts w:ascii="Arial" w:cs="Arial" w:eastAsia="Arial" w:hAnsi="Arial"/>
          <w:sz w:val="18"/>
          <w:szCs w:val="18"/>
          <w:u w:val="single" w:color="auto"/>
          <w:color w:val="auto"/>
        </w:rPr>
        <w:t>Statement</w:t>
      </w:r>
      <w:r>
        <w:rPr>
          <w:rFonts w:ascii="Arial" w:cs="Arial" w:eastAsia="Arial" w:hAnsi="Arial"/>
          <w:sz w:val="18"/>
          <w:szCs w:val="18"/>
          <w:color w:val="auto"/>
        </w:rPr>
        <w:t>”) to report their beneficial ownership of the Issuer’s Class A Common Stock.</w:t>
      </w:r>
    </w:p>
    <w:p>
      <w:pPr>
        <w:spacing w:after="0" w:line="180" w:lineRule="exact"/>
        <w:rPr>
          <w:sz w:val="20"/>
          <w:szCs w:val="20"/>
          <w:color w:val="auto"/>
        </w:rPr>
      </w:pPr>
    </w:p>
    <w:p>
      <w:pPr>
        <w:spacing w:after="0"/>
        <w:tabs>
          <w:tab w:leader="none" w:pos="960" w:val="left"/>
        </w:tabs>
        <w:rPr>
          <w:sz w:val="20"/>
          <w:szCs w:val="20"/>
          <w:color w:val="auto"/>
        </w:rPr>
      </w:pPr>
      <w:r>
        <w:rPr>
          <w:rFonts w:ascii="Arial" w:cs="Arial" w:eastAsia="Arial" w:hAnsi="Arial"/>
          <w:sz w:val="18"/>
          <w:szCs w:val="18"/>
          <w:b w:val="1"/>
          <w:bCs w:val="1"/>
          <w:color w:val="auto"/>
        </w:rPr>
        <w:t>Item 1.</w:t>
      </w:r>
      <w:r>
        <w:rPr>
          <w:sz w:val="20"/>
          <w:szCs w:val="20"/>
          <w:color w:val="auto"/>
        </w:rPr>
        <w:tab/>
      </w:r>
      <w:r>
        <w:rPr>
          <w:rFonts w:ascii="Arial" w:cs="Arial" w:eastAsia="Arial" w:hAnsi="Arial"/>
          <w:sz w:val="15"/>
          <w:szCs w:val="15"/>
          <w:b w:val="1"/>
          <w:bCs w:val="1"/>
          <w:color w:val="auto"/>
        </w:rPr>
        <w:t>Security and Issuer.</w:t>
      </w:r>
    </w:p>
    <w:p>
      <w:pPr>
        <w:spacing w:after="0" w:line="229"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This Statement relates to the Issuer’s Class A Common Stock. The principal executive offices of the Issuer are located at 2051 Ringwood Avenue, San Jose, California 95131.</w:t>
      </w:r>
    </w:p>
    <w:p>
      <w:pPr>
        <w:spacing w:after="0" w:line="166" w:lineRule="exact"/>
        <w:rPr>
          <w:sz w:val="20"/>
          <w:szCs w:val="20"/>
          <w:color w:val="auto"/>
        </w:rPr>
      </w:pPr>
    </w:p>
    <w:p>
      <w:pPr>
        <w:spacing w:after="0"/>
        <w:tabs>
          <w:tab w:leader="none" w:pos="96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6"/>
          <w:szCs w:val="16"/>
          <w:b w:val="1"/>
          <w:bCs w:val="1"/>
          <w:color w:val="auto"/>
        </w:rPr>
        <w:t>Identity and Background.</w:t>
      </w:r>
    </w:p>
    <w:p>
      <w:pPr>
        <w:spacing w:after="0" w:line="229" w:lineRule="exact"/>
        <w:rPr>
          <w:sz w:val="20"/>
          <w:szCs w:val="20"/>
          <w:color w:val="auto"/>
        </w:rPr>
      </w:pPr>
    </w:p>
    <w:p>
      <w:pPr>
        <w:jc w:val="both"/>
        <w:ind w:left="1300" w:right="20" w:hanging="644"/>
        <w:spacing w:after="0" w:line="263" w:lineRule="auto"/>
        <w:tabs>
          <w:tab w:leader="none" w:pos="13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This Statement is being jointly filed by Aequanimitas Limited Partnership and Isidoro Alfonso Quiroga Cortés (collectively, the “</w:t>
      </w:r>
      <w:r>
        <w:rPr>
          <w:rFonts w:ascii="Arial" w:cs="Arial" w:eastAsia="Arial" w:hAnsi="Arial"/>
          <w:sz w:val="18"/>
          <w:szCs w:val="18"/>
          <w:u w:val="single" w:color="auto"/>
          <w:color w:val="auto"/>
        </w:rPr>
        <w:t>Reporting Persons</w:t>
      </w:r>
      <w:r>
        <w:rPr>
          <w:rFonts w:ascii="Arial" w:cs="Arial" w:eastAsia="Arial" w:hAnsi="Arial"/>
          <w:sz w:val="18"/>
          <w:szCs w:val="18"/>
          <w:color w:val="auto"/>
        </w:rPr>
        <w:t>”), pursuant to Rule 13d-1(k) promulgated by the Securities and Exchange Commission (the “</w:t>
      </w:r>
      <w:r>
        <w:rPr>
          <w:rFonts w:ascii="Arial" w:cs="Arial" w:eastAsia="Arial" w:hAnsi="Arial"/>
          <w:sz w:val="18"/>
          <w:szCs w:val="18"/>
          <w:u w:val="single" w:color="auto"/>
          <w:color w:val="auto"/>
        </w:rPr>
        <w:t>SEC</w:t>
      </w:r>
      <w:r>
        <w:rPr>
          <w:rFonts w:ascii="Arial" w:cs="Arial" w:eastAsia="Arial" w:hAnsi="Arial"/>
          <w:sz w:val="18"/>
          <w:szCs w:val="18"/>
          <w:color w:val="auto"/>
        </w:rPr>
        <w:t>”) pursuant to Section 13 of the Securities Exchange Act of 1934, as amended.</w:t>
      </w:r>
    </w:p>
    <w:p>
      <w:pPr>
        <w:spacing w:after="0" w:line="183" w:lineRule="exact"/>
        <w:rPr>
          <w:rFonts w:ascii="Arial" w:cs="Arial" w:eastAsia="Arial" w:hAnsi="Arial"/>
          <w:sz w:val="18"/>
          <w:szCs w:val="18"/>
          <w:color w:val="auto"/>
        </w:rPr>
      </w:pPr>
    </w:p>
    <w:p>
      <w:pPr>
        <w:ind w:left="1300"/>
        <w:spacing w:after="0" w:line="342" w:lineRule="auto"/>
        <w:rPr>
          <w:rFonts w:ascii="Arial" w:cs="Arial" w:eastAsia="Arial" w:hAnsi="Arial"/>
          <w:sz w:val="18"/>
          <w:szCs w:val="18"/>
          <w:color w:val="auto"/>
        </w:rPr>
      </w:pPr>
      <w:r>
        <w:rPr>
          <w:rFonts w:ascii="Arial" w:cs="Arial" w:eastAsia="Arial" w:hAnsi="Arial"/>
          <w:sz w:val="16"/>
          <w:szCs w:val="16"/>
          <w:color w:val="auto"/>
        </w:rPr>
        <w:t>Quiroga Cortés directly owns 100% of the issued and outstanding interest of the General Partner. The General Partner directly controls Aequanimitas as its general partner with the power to manage Aequanimitas. Quiroga Cortés is the sole limited partner of Aequanimitas.</w:t>
      </w:r>
    </w:p>
    <w:p>
      <w:pPr>
        <w:spacing w:after="0" w:line="123" w:lineRule="exact"/>
        <w:rPr>
          <w:rFonts w:ascii="Arial" w:cs="Arial" w:eastAsia="Arial" w:hAnsi="Arial"/>
          <w:sz w:val="18"/>
          <w:szCs w:val="18"/>
          <w:color w:val="auto"/>
        </w:rPr>
      </w:pPr>
    </w:p>
    <w:p>
      <w:pPr>
        <w:ind w:left="1300" w:right="20" w:hanging="644"/>
        <w:spacing w:after="0" w:line="308" w:lineRule="auto"/>
        <w:tabs>
          <w:tab w:leader="none" w:pos="1300" w:val="left"/>
        </w:tabs>
        <w:numPr>
          <w:ilvl w:val="0"/>
          <w:numId w:val="10"/>
        </w:numPr>
        <w:rPr>
          <w:rFonts w:ascii="Arial" w:cs="Arial" w:eastAsia="Arial" w:hAnsi="Arial"/>
          <w:sz w:val="17"/>
          <w:szCs w:val="17"/>
          <w:color w:val="auto"/>
        </w:rPr>
      </w:pPr>
      <w:r>
        <w:rPr>
          <w:rFonts w:ascii="Arial" w:cs="Arial" w:eastAsia="Arial" w:hAnsi="Arial"/>
          <w:sz w:val="17"/>
          <w:szCs w:val="17"/>
          <w:color w:val="auto"/>
        </w:rPr>
        <w:t>The principal business address of Aequanimitas and the General Partner is Avenida Presidente Riesco 5711 oficina 1603, Las Condes, Santiago, Chile. The residential address of Quiroga Cortés is Leonel Aguirre 1830, apartment 101, Montevideo, Uruguay.</w:t>
      </w:r>
    </w:p>
    <w:p>
      <w:pPr>
        <w:spacing w:after="0" w:line="146" w:lineRule="exact"/>
        <w:rPr>
          <w:rFonts w:ascii="Arial" w:cs="Arial" w:eastAsia="Arial" w:hAnsi="Arial"/>
          <w:sz w:val="17"/>
          <w:szCs w:val="17"/>
          <w:color w:val="auto"/>
        </w:rPr>
      </w:pPr>
    </w:p>
    <w:p>
      <w:pPr>
        <w:jc w:val="both"/>
        <w:ind w:left="1300" w:hanging="644"/>
        <w:spacing w:after="0" w:line="259" w:lineRule="auto"/>
        <w:tabs>
          <w:tab w:leader="none" w:pos="13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The present principal business of Aequanimitas is acting as an investment vehicle to organize its limited partner’s, Quiroga Cortés’, investments in the United States and overseas. The present principal business of the General Partner is managing Quiroga Cortés’, investments in the United States and overseas as the general partner of Aequanimitas. The principal occupation of Quiroga Cortés is a businessman investing in several different companies.</w:t>
      </w:r>
    </w:p>
    <w:p>
      <w:pPr>
        <w:spacing w:after="0" w:line="186" w:lineRule="exact"/>
        <w:rPr>
          <w:rFonts w:ascii="Arial" w:cs="Arial" w:eastAsia="Arial" w:hAnsi="Arial"/>
          <w:sz w:val="18"/>
          <w:szCs w:val="18"/>
          <w:color w:val="auto"/>
        </w:rPr>
      </w:pPr>
    </w:p>
    <w:p>
      <w:pPr>
        <w:jc w:val="both"/>
        <w:ind w:left="1300" w:hanging="644"/>
        <w:spacing w:after="0" w:line="263" w:lineRule="auto"/>
        <w:tabs>
          <w:tab w:leader="none" w:pos="13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None of the Reporting Persons, nor to the knowledge of the Reporting Persons, any of the General Partner, or the executive officers, mangers, directors or partners of the Reporting Persons, has, during the last five years, been convicted in a criminal proceeding (excluding traffic violations or similar misdemeanors).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417195</wp:posOffset>
            </wp:positionV>
            <wp:extent cx="713232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4" w:name="page5"/>
    <w:bookmarkEnd w:id="4"/>
    <w:p>
      <w:pPr>
        <w:jc w:val="both"/>
        <w:ind w:left="1300" w:hanging="644"/>
        <w:spacing w:after="0" w:line="257" w:lineRule="auto"/>
        <w:tabs>
          <w:tab w:leader="none" w:pos="13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Neither the Reporting Persons, nor to the knowledge of the Reporting Persons, any of the General Partner, or the executive officers, mangers, directors or partners of the Reporting Persons, if applicable, was, during the last five years, a party to a civil proceeding of a judicial or administrative body of competent jurisdiction and as a result of such proceeding was or is subject to a judgment, decree or final order enjoining future violations of, or prohibiting or mandating activities subject to, federal or state securities laws or finding any violation with respect to such laws.</w:t>
      </w:r>
    </w:p>
    <w:p>
      <w:pPr>
        <w:spacing w:after="0" w:line="187" w:lineRule="exact"/>
        <w:rPr>
          <w:rFonts w:ascii="Arial" w:cs="Arial" w:eastAsia="Arial" w:hAnsi="Arial"/>
          <w:sz w:val="18"/>
          <w:szCs w:val="18"/>
          <w:color w:val="auto"/>
        </w:rPr>
      </w:pPr>
    </w:p>
    <w:p>
      <w:pPr>
        <w:ind w:left="1300" w:hanging="644"/>
        <w:spacing w:after="0" w:line="277" w:lineRule="auto"/>
        <w:tabs>
          <w:tab w:leader="none" w:pos="13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Aequanimitas is a limited partnership organized under the laws of Ontario, Canada. The General Partner is a limited liability company organized under the laws of the State of Delaware. Quiroga Cortés is an individual resident of Uruguay.</w:t>
      </w:r>
    </w:p>
    <w:p>
      <w:pPr>
        <w:spacing w:after="0" w:line="166" w:lineRule="exact"/>
        <w:rPr>
          <w:sz w:val="20"/>
          <w:szCs w:val="20"/>
          <w:color w:val="auto"/>
        </w:rPr>
      </w:pPr>
    </w:p>
    <w:p>
      <w:pPr>
        <w:spacing w:after="0"/>
        <w:tabs>
          <w:tab w:leader="none" w:pos="96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6"/>
          <w:szCs w:val="16"/>
          <w:b w:val="1"/>
          <w:bCs w:val="1"/>
          <w:color w:val="auto"/>
        </w:rPr>
        <w:t>Source and Amount of Funds or Other Consideration.</w:t>
      </w:r>
    </w:p>
    <w:p>
      <w:pPr>
        <w:spacing w:after="0" w:line="229" w:lineRule="exact"/>
        <w:rPr>
          <w:sz w:val="20"/>
          <w:szCs w:val="20"/>
          <w:color w:val="auto"/>
        </w:rPr>
      </w:pPr>
    </w:p>
    <w:p>
      <w:pPr>
        <w:jc w:val="both"/>
        <w:ind w:firstLine="441"/>
        <w:spacing w:after="0" w:line="268" w:lineRule="auto"/>
        <w:rPr>
          <w:sz w:val="20"/>
          <w:szCs w:val="20"/>
          <w:color w:val="auto"/>
        </w:rPr>
      </w:pPr>
      <w:r>
        <w:rPr>
          <w:rFonts w:ascii="Arial" w:cs="Arial" w:eastAsia="Arial" w:hAnsi="Arial"/>
          <w:sz w:val="17"/>
          <w:szCs w:val="17"/>
          <w:color w:val="auto"/>
        </w:rPr>
        <w:t>Prior to the consummation of the Issuer’s initial public offering of Class A Common Stock (the “</w:t>
      </w:r>
      <w:r>
        <w:rPr>
          <w:rFonts w:ascii="Arial" w:cs="Arial" w:eastAsia="Arial" w:hAnsi="Arial"/>
          <w:sz w:val="17"/>
          <w:szCs w:val="17"/>
          <w:u w:val="single" w:color="auto"/>
          <w:color w:val="auto"/>
        </w:rPr>
        <w:t>IPO</w:t>
      </w:r>
      <w:r>
        <w:rPr>
          <w:rFonts w:ascii="Arial" w:cs="Arial" w:eastAsia="Arial" w:hAnsi="Arial"/>
          <w:sz w:val="17"/>
          <w:szCs w:val="17"/>
          <w:color w:val="auto"/>
        </w:rPr>
        <w:t>”), Aequanimitas subscribed for 2,283,444 Series E preferred units (“</w:t>
      </w:r>
      <w:r>
        <w:rPr>
          <w:rFonts w:ascii="Arial" w:cs="Arial" w:eastAsia="Arial" w:hAnsi="Arial"/>
          <w:sz w:val="17"/>
          <w:szCs w:val="17"/>
          <w:u w:val="single" w:color="auto"/>
          <w:color w:val="auto"/>
        </w:rPr>
        <w:t>Series E Preferred Units</w:t>
      </w:r>
      <w:r>
        <w:rPr>
          <w:rFonts w:ascii="Arial" w:cs="Arial" w:eastAsia="Arial" w:hAnsi="Arial"/>
          <w:sz w:val="17"/>
          <w:szCs w:val="17"/>
          <w:color w:val="auto"/>
        </w:rPr>
        <w:t>”) of Rani Therapeutics, LLC, a California limited liability company (“</w:t>
      </w:r>
      <w:r>
        <w:rPr>
          <w:rFonts w:ascii="Arial" w:cs="Arial" w:eastAsia="Arial" w:hAnsi="Arial"/>
          <w:sz w:val="17"/>
          <w:szCs w:val="17"/>
          <w:u w:val="single" w:color="auto"/>
          <w:color w:val="auto"/>
        </w:rPr>
        <w:t>Rani LLC</w:t>
      </w:r>
      <w:r>
        <w:rPr>
          <w:rFonts w:ascii="Arial" w:cs="Arial" w:eastAsia="Arial" w:hAnsi="Arial"/>
          <w:sz w:val="17"/>
          <w:szCs w:val="17"/>
          <w:color w:val="auto"/>
        </w:rPr>
        <w:t>”), at a price of $7.1471 per unit, for an aggregate purchase price of $16,320,002.61, and purchased 2,100,800 common units (the “</w:t>
      </w:r>
      <w:r>
        <w:rPr>
          <w:rFonts w:ascii="Arial" w:cs="Arial" w:eastAsia="Arial" w:hAnsi="Arial"/>
          <w:sz w:val="17"/>
          <w:szCs w:val="17"/>
          <w:u w:val="single" w:color="auto"/>
          <w:color w:val="auto"/>
        </w:rPr>
        <w:t>Common Units</w:t>
      </w:r>
      <w:r>
        <w:rPr>
          <w:rFonts w:ascii="Arial" w:cs="Arial" w:eastAsia="Arial" w:hAnsi="Arial"/>
          <w:sz w:val="17"/>
          <w:szCs w:val="17"/>
          <w:color w:val="auto"/>
        </w:rPr>
        <w:t>” and together with the Series E Preferred Units, the “</w:t>
      </w:r>
      <w:r>
        <w:rPr>
          <w:rFonts w:ascii="Arial" w:cs="Arial" w:eastAsia="Arial" w:hAnsi="Arial"/>
          <w:sz w:val="17"/>
          <w:szCs w:val="17"/>
          <w:u w:val="single" w:color="auto"/>
          <w:color w:val="auto"/>
        </w:rPr>
        <w:t>Units</w:t>
      </w:r>
      <w:r>
        <w:rPr>
          <w:rFonts w:ascii="Arial" w:cs="Arial" w:eastAsia="Arial" w:hAnsi="Arial"/>
          <w:sz w:val="17"/>
          <w:szCs w:val="17"/>
          <w:color w:val="auto"/>
        </w:rPr>
        <w:t>”) of Rani LLC from InCube Labs, LLC at a price of $7.1471 per unit, for an aggregate purchase price of $15,014,627.68, which Aequanimitas paid for with its working capital. The IPO was conducted through what is commonly referred to as an “Up-C” structure, which is often used by partnerships and limited liability companies when they decide to undertake an initial public offering. To implement the “Up-C” structure, Rani LLC effected certain organizational changes which included the incorporation of the Issuer as a Delaware corporation on April 6, 2021, the amendment and restatement of Rani LLC’s limited liability agreement to (i) appoint the Issuer as the sole managing member of Rani LLC and (ii) effectuate a recapitalization of all outstanding units and profits interests of Rani LLC into a single class of economic nonvoting Class A units (the “</w:t>
      </w:r>
      <w:r>
        <w:rPr>
          <w:rFonts w:ascii="Arial" w:cs="Arial" w:eastAsia="Arial" w:hAnsi="Arial"/>
          <w:sz w:val="17"/>
          <w:szCs w:val="17"/>
          <w:u w:val="single" w:color="auto"/>
          <w:color w:val="auto"/>
        </w:rPr>
        <w:t>Class A Units</w:t>
      </w:r>
      <w:r>
        <w:rPr>
          <w:rFonts w:ascii="Arial" w:cs="Arial" w:eastAsia="Arial" w:hAnsi="Arial"/>
          <w:sz w:val="17"/>
          <w:szCs w:val="17"/>
          <w:color w:val="auto"/>
        </w:rPr>
        <w:t>”) and the exchange of all of the Reporting Person’s Class A Units for 2,316,121 shares of Class A Common Stock of the Issuer. The IPO priced on July 29, 2021 and the shares of Class A Common Stock began trading on the Nasdaq Global Market on July 30, 2021. For more information on the IPO and the “Up-C” structure and the organizational changes undertaken by Rani LLC in connection therewith, see Issuer’s Registration Statement on Form S-1 (File No. 333-257809) (the “</w:t>
      </w:r>
      <w:r>
        <w:rPr>
          <w:rFonts w:ascii="Arial" w:cs="Arial" w:eastAsia="Arial" w:hAnsi="Arial"/>
          <w:sz w:val="17"/>
          <w:szCs w:val="17"/>
          <w:u w:val="single" w:color="auto"/>
          <w:color w:val="auto"/>
        </w:rPr>
        <w:t>Registration Statement</w:t>
      </w:r>
      <w:r>
        <w:rPr>
          <w:rFonts w:ascii="Arial" w:cs="Arial" w:eastAsia="Arial" w:hAnsi="Arial"/>
          <w:sz w:val="17"/>
          <w:szCs w:val="17"/>
          <w:color w:val="auto"/>
        </w:rPr>
        <w:t>”) filed with the SEC.</w:t>
      </w:r>
    </w:p>
    <w:p>
      <w:pPr>
        <w:spacing w:after="0" w:line="186" w:lineRule="exact"/>
        <w:rPr>
          <w:sz w:val="20"/>
          <w:szCs w:val="20"/>
          <w:color w:val="auto"/>
        </w:rPr>
      </w:pPr>
    </w:p>
    <w:p>
      <w:pPr>
        <w:jc w:val="both"/>
        <w:ind w:firstLine="441"/>
        <w:spacing w:after="0" w:line="257" w:lineRule="auto"/>
        <w:rPr>
          <w:sz w:val="20"/>
          <w:szCs w:val="20"/>
          <w:color w:val="auto"/>
        </w:rPr>
      </w:pPr>
      <w:r>
        <w:rPr>
          <w:rFonts w:ascii="Arial" w:cs="Arial" w:eastAsia="Arial" w:hAnsi="Arial"/>
          <w:sz w:val="18"/>
          <w:szCs w:val="18"/>
          <w:color w:val="auto"/>
        </w:rPr>
        <w:t>On July 30, 2021, Aequanimitas purchased 158,904 shares of Class A Common Stock of the Issuer in a single transaction in the open market at a price of $11.2525 per share, for an aggregate purchase price of $1,788,067.26, paid for with its working capital. Additionally, in connection with the IPO, Aequanimitas purchased 2,727,273 shares of Class A Common Stock of the Issuer from the underwriters at a price of $11.00 per share, for an aggregate purchase price of $30,000,003, paid for with its working capital. The shares of Class A Common Stock purchased from the underwriters in the IPO closed and settled on August 3, 2021.</w:t>
      </w:r>
    </w:p>
    <w:p>
      <w:pPr>
        <w:spacing w:after="0" w:line="184" w:lineRule="exact"/>
        <w:rPr>
          <w:sz w:val="20"/>
          <w:szCs w:val="20"/>
          <w:color w:val="auto"/>
        </w:rPr>
      </w:pPr>
    </w:p>
    <w:p>
      <w:pPr>
        <w:spacing w:after="0"/>
        <w:tabs>
          <w:tab w:leader="none" w:pos="96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6"/>
          <w:szCs w:val="16"/>
          <w:b w:val="1"/>
          <w:bCs w:val="1"/>
          <w:color w:val="auto"/>
        </w:rPr>
        <w:t>Purpose of the Transaction.</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information contained above in Item 1 and Item 3 of this Statement is incorporated herein by reference.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443230</wp:posOffset>
            </wp:positionV>
            <wp:extent cx="7132320" cy="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5" w:name="page6"/>
    <w:bookmarkEnd w:id="5"/>
    <w:p>
      <w:pPr>
        <w:jc w:val="both"/>
        <w:ind w:firstLine="648"/>
        <w:spacing w:after="0" w:line="286" w:lineRule="auto"/>
        <w:rPr>
          <w:sz w:val="20"/>
          <w:szCs w:val="20"/>
          <w:color w:val="auto"/>
        </w:rPr>
      </w:pPr>
      <w:r>
        <w:rPr>
          <w:rFonts w:ascii="Arial" w:cs="Arial" w:eastAsia="Arial" w:hAnsi="Arial"/>
          <w:sz w:val="16"/>
          <w:szCs w:val="16"/>
          <w:color w:val="auto"/>
        </w:rPr>
        <w:t>The Reporting Persons intend to review their investment on a regular basis and, as a result thereof, may at any time or from time to time determine to, directly or indirectly (a) acquire additional securities of the Issuer, through open market purchases, privately negotiated transactions or otherwise, (b) dispose of all or a portion of the securities of the Issuer owned by it in the open market, in privately negotiated transactions or otherwise, (c) enter into privately negotiated derivative transactions with institutional counterparties to hedge the market risk of some or all of its positions in the securities of the Issuer or (d) take any other available course of action, which could involve one or more of the types of transactions or have one or more of the results described in clauses (a) through (j) of Item 4 of Schedule 13D. Any such acquisition or disposition or other transaction would be made in compliance with all applicable laws and regulations. Notwithstanding anything contained herein, the Reporting Persons specifically reserve the right to change their intention with respect to any or all of such matters. In reaching any decision as to its course of action (as well as to the specific elements thereof), the Reporting Persons currently expect that it would take into consideration a variety of factors, including, but not limited to, the following: (i) the Issuer’s business and prospects; (ii) other developments concerning the Issuer and its businesses generally; (iii) other business opportunities available to the Reporting Persons; (iv) changes in law and government regulations; (v) general economic conditions; and (vi) financial and stock market conditions, including the market price of the securities of the Issuer. Except as set forth herein, the Reporting Persons have no present plans or proposals that relate to or that would result in any of the actions specified in clauses (a) through (j) of Item 4 of Schedule 13D.</w:t>
      </w:r>
    </w:p>
    <w:p>
      <w:pPr>
        <w:spacing w:after="0" w:line="170" w:lineRule="exact"/>
        <w:rPr>
          <w:sz w:val="20"/>
          <w:szCs w:val="20"/>
          <w:color w:val="auto"/>
        </w:rPr>
      </w:pPr>
    </w:p>
    <w:p>
      <w:pPr>
        <w:spacing w:after="0"/>
        <w:tabs>
          <w:tab w:leader="none" w:pos="960" w:val="left"/>
        </w:tabs>
        <w:rPr>
          <w:sz w:val="20"/>
          <w:szCs w:val="20"/>
          <w:color w:val="auto"/>
        </w:rPr>
      </w:pPr>
      <w:r>
        <w:rPr>
          <w:rFonts w:ascii="Arial" w:cs="Arial" w:eastAsia="Arial" w:hAnsi="Arial"/>
          <w:sz w:val="18"/>
          <w:szCs w:val="18"/>
          <w:b w:val="1"/>
          <w:bCs w:val="1"/>
          <w:color w:val="auto"/>
        </w:rPr>
        <w:t>Item 5.</w:t>
      </w:r>
      <w:r>
        <w:rPr>
          <w:sz w:val="20"/>
          <w:szCs w:val="20"/>
          <w:color w:val="auto"/>
        </w:rPr>
        <w:tab/>
      </w:r>
      <w:r>
        <w:rPr>
          <w:rFonts w:ascii="Arial" w:cs="Arial" w:eastAsia="Arial" w:hAnsi="Arial"/>
          <w:sz w:val="15"/>
          <w:szCs w:val="15"/>
          <w:b w:val="1"/>
          <w:bCs w:val="1"/>
          <w:color w:val="auto"/>
        </w:rPr>
        <w:t>Interest in Securities of the Issuer.</w:t>
      </w:r>
    </w:p>
    <w:p>
      <w:pPr>
        <w:spacing w:after="0" w:line="229" w:lineRule="exact"/>
        <w:rPr>
          <w:sz w:val="20"/>
          <w:szCs w:val="20"/>
          <w:color w:val="auto"/>
        </w:rPr>
      </w:pPr>
    </w:p>
    <w:p>
      <w:pPr>
        <w:ind w:left="1560" w:right="160" w:hanging="904"/>
        <w:spacing w:after="0" w:line="342" w:lineRule="auto"/>
        <w:tabs>
          <w:tab w:leader="none" w:pos="900" w:val="left"/>
        </w:tabs>
        <w:numPr>
          <w:ilvl w:val="0"/>
          <w:numId w:val="12"/>
        </w:numPr>
        <w:rPr>
          <w:rFonts w:ascii="Arial" w:cs="Arial" w:eastAsia="Arial" w:hAnsi="Arial"/>
          <w:sz w:val="16"/>
          <w:szCs w:val="16"/>
          <w:color w:val="auto"/>
        </w:rPr>
      </w:pPr>
      <w:r>
        <w:rPr>
          <w:rFonts w:ascii="Arial" w:cs="Arial" w:eastAsia="Arial" w:hAnsi="Arial"/>
          <w:sz w:val="16"/>
          <w:szCs w:val="16"/>
          <w:color w:val="auto"/>
        </w:rPr>
        <w:t>– (b) Aequanimitas directly holds an aggregate of 5,202,298 shares of Class A Common Stock of the Issuer. Each share of Class A Common Stock is entitled to one vote. Aequanimitas directly owns 26.39% of the outstanding Class A Common Stock of the Issuer.</w:t>
      </w:r>
    </w:p>
    <w:p>
      <w:pPr>
        <w:spacing w:after="0" w:line="124" w:lineRule="exact"/>
        <w:rPr>
          <w:sz w:val="20"/>
          <w:szCs w:val="20"/>
          <w:color w:val="auto"/>
        </w:rPr>
      </w:pPr>
    </w:p>
    <w:p>
      <w:pPr>
        <w:jc w:val="both"/>
        <w:ind w:left="1560"/>
        <w:spacing w:after="0" w:line="263" w:lineRule="auto"/>
        <w:rPr>
          <w:sz w:val="20"/>
          <w:szCs w:val="20"/>
          <w:color w:val="auto"/>
        </w:rPr>
      </w:pPr>
      <w:r>
        <w:rPr>
          <w:rFonts w:ascii="Arial" w:cs="Arial" w:eastAsia="Arial" w:hAnsi="Arial"/>
          <w:sz w:val="18"/>
          <w:szCs w:val="18"/>
          <w:color w:val="auto"/>
        </w:rPr>
        <w:t>Quiroga Cortés indirectly holds an aggregate of 5,202,298 shares of Class A Common Stock of the Issuer. Each share of Class A Common Stock is entitled to one vote. Quiroga Cortés beneficially owns 26.39% of the outstanding Class A Common Stock of the Issuer.</w:t>
      </w:r>
    </w:p>
    <w:p>
      <w:pPr>
        <w:spacing w:after="0" w:line="184" w:lineRule="exact"/>
        <w:rPr>
          <w:sz w:val="20"/>
          <w:szCs w:val="20"/>
          <w:color w:val="auto"/>
        </w:rPr>
      </w:pPr>
    </w:p>
    <w:p>
      <w:pPr>
        <w:jc w:val="both"/>
        <w:ind w:left="1560"/>
        <w:spacing w:after="0" w:line="263" w:lineRule="auto"/>
        <w:rPr>
          <w:sz w:val="20"/>
          <w:szCs w:val="20"/>
          <w:color w:val="auto"/>
        </w:rPr>
      </w:pPr>
      <w:r>
        <w:rPr>
          <w:rFonts w:ascii="Arial" w:cs="Arial" w:eastAsia="Arial" w:hAnsi="Arial"/>
          <w:sz w:val="18"/>
          <w:szCs w:val="18"/>
          <w:color w:val="auto"/>
        </w:rPr>
        <w:t>Quiroga Cortés, through the General Partner, indirectly controls Aequanimitas, which has sole voting power and sole dispositive power with respect to 5,202,298 shares of Class A Common Stock of the Issuer held directly by it. Aequanimitas is controlled by its general partner, the General Partner, which is wholly owned by Quiroga Cortés.</w:t>
      </w:r>
    </w:p>
    <w:p>
      <w:pPr>
        <w:spacing w:after="0" w:line="184" w:lineRule="exact"/>
        <w:rPr>
          <w:sz w:val="20"/>
          <w:szCs w:val="20"/>
          <w:color w:val="auto"/>
        </w:rPr>
      </w:pPr>
    </w:p>
    <w:p>
      <w:pPr>
        <w:jc w:val="both"/>
        <w:ind w:left="1560"/>
        <w:spacing w:after="0" w:line="263" w:lineRule="auto"/>
        <w:rPr>
          <w:sz w:val="20"/>
          <w:szCs w:val="20"/>
          <w:color w:val="auto"/>
        </w:rPr>
      </w:pPr>
      <w:r>
        <w:rPr>
          <w:rFonts w:ascii="Arial" w:cs="Arial" w:eastAsia="Arial" w:hAnsi="Arial"/>
          <w:sz w:val="18"/>
          <w:szCs w:val="18"/>
          <w:color w:val="auto"/>
        </w:rPr>
        <w:t>The shares of Class A Common Stock beneficially and/or directly owned by each Reporting Person as a percentage of the outstanding shares of Class A Common Stock of the Issuer presented in this Statement is based upon 19,714,592 shares of Class A Common Stock outstanding as of December 31, 2021, which was provided by the Issuer.</w:t>
      </w:r>
    </w:p>
    <w:p>
      <w:pPr>
        <w:spacing w:after="0" w:line="184" w:lineRule="exact"/>
        <w:rPr>
          <w:sz w:val="20"/>
          <w:szCs w:val="20"/>
          <w:color w:val="auto"/>
        </w:rPr>
      </w:pPr>
    </w:p>
    <w:p>
      <w:pPr>
        <w:ind w:left="1560" w:hanging="904"/>
        <w:spacing w:after="0"/>
        <w:tabs>
          <w:tab w:leader="none" w:pos="15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information set forth in Item 3 and Item 4 of this Statement is incorporated by reference herein.</w:t>
      </w:r>
    </w:p>
    <w:p>
      <w:pPr>
        <w:spacing w:after="0" w:line="225" w:lineRule="exact"/>
        <w:rPr>
          <w:rFonts w:ascii="Arial" w:cs="Arial" w:eastAsia="Arial" w:hAnsi="Arial"/>
          <w:sz w:val="18"/>
          <w:szCs w:val="18"/>
          <w:color w:val="auto"/>
        </w:rPr>
      </w:pPr>
    </w:p>
    <w:p>
      <w:pPr>
        <w:ind w:left="1560" w:hanging="904"/>
        <w:spacing w:after="0"/>
        <w:tabs>
          <w:tab w:leader="none" w:pos="15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Not applicable.</w:t>
      </w:r>
    </w:p>
    <w:p>
      <w:pPr>
        <w:spacing w:after="0" w:line="225" w:lineRule="exact"/>
        <w:rPr>
          <w:rFonts w:ascii="Arial" w:cs="Arial" w:eastAsia="Arial" w:hAnsi="Arial"/>
          <w:sz w:val="18"/>
          <w:szCs w:val="18"/>
          <w:color w:val="auto"/>
        </w:rPr>
      </w:pPr>
    </w:p>
    <w:p>
      <w:pPr>
        <w:ind w:left="1560" w:hanging="904"/>
        <w:spacing w:after="0"/>
        <w:tabs>
          <w:tab w:leader="none" w:pos="15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Not applicable.</w:t>
      </w:r>
    </w:p>
    <w:p>
      <w:pPr>
        <w:spacing w:after="0" w:line="221" w:lineRule="exact"/>
        <w:rPr>
          <w:sz w:val="20"/>
          <w:szCs w:val="20"/>
          <w:color w:val="auto"/>
        </w:rPr>
      </w:pPr>
    </w:p>
    <w:p>
      <w:pPr>
        <w:spacing w:after="0"/>
        <w:tabs>
          <w:tab w:leader="none" w:pos="960" w:val="left"/>
        </w:tabs>
        <w:rPr>
          <w:sz w:val="20"/>
          <w:szCs w:val="20"/>
          <w:color w:val="auto"/>
        </w:rPr>
      </w:pPr>
      <w:r>
        <w:rPr>
          <w:rFonts w:ascii="Arial" w:cs="Arial" w:eastAsia="Arial" w:hAnsi="Arial"/>
          <w:sz w:val="18"/>
          <w:szCs w:val="18"/>
          <w:b w:val="1"/>
          <w:bCs w:val="1"/>
          <w:color w:val="auto"/>
        </w:rPr>
        <w:t>Item 6.</w:t>
      </w:r>
      <w:r>
        <w:rPr>
          <w:sz w:val="20"/>
          <w:szCs w:val="20"/>
          <w:color w:val="auto"/>
        </w:rPr>
        <w:tab/>
      </w:r>
      <w:r>
        <w:rPr>
          <w:rFonts w:ascii="Arial" w:cs="Arial" w:eastAsia="Arial" w:hAnsi="Arial"/>
          <w:sz w:val="16"/>
          <w:szCs w:val="16"/>
          <w:b w:val="1"/>
          <w:bCs w:val="1"/>
          <w:color w:val="auto"/>
        </w:rPr>
        <w:t>Contracts, Arrangements, Understandings or Relationships with Respect to Securities of the Issuer.</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information set forth in Items 3 and 4 of this Statement is incorporated herein by reference.</w:t>
      </w:r>
    </w:p>
    <w:p>
      <w:pPr>
        <w:spacing w:after="0" w:line="221" w:lineRule="exact"/>
        <w:rPr>
          <w:sz w:val="20"/>
          <w:szCs w:val="20"/>
          <w:color w:val="auto"/>
        </w:rPr>
      </w:pPr>
    </w:p>
    <w:p>
      <w:pPr>
        <w:spacing w:after="0"/>
        <w:tabs>
          <w:tab w:leader="none" w:pos="960" w:val="left"/>
        </w:tabs>
        <w:rPr>
          <w:sz w:val="20"/>
          <w:szCs w:val="20"/>
          <w:color w:val="auto"/>
        </w:rPr>
      </w:pPr>
      <w:r>
        <w:rPr>
          <w:rFonts w:ascii="Arial" w:cs="Arial" w:eastAsia="Arial" w:hAnsi="Arial"/>
          <w:sz w:val="18"/>
          <w:szCs w:val="18"/>
          <w:b w:val="1"/>
          <w:bCs w:val="1"/>
          <w:color w:val="auto"/>
        </w:rPr>
        <w:t>Item 7.</w:t>
      </w:r>
      <w:r>
        <w:rPr>
          <w:sz w:val="20"/>
          <w:szCs w:val="20"/>
          <w:color w:val="auto"/>
        </w:rPr>
        <w:tab/>
      </w:r>
      <w:r>
        <w:rPr>
          <w:rFonts w:ascii="Arial" w:cs="Arial" w:eastAsia="Arial" w:hAnsi="Arial"/>
          <w:sz w:val="16"/>
          <w:szCs w:val="16"/>
          <w:b w:val="1"/>
          <w:bCs w:val="1"/>
          <w:color w:val="auto"/>
        </w:rPr>
        <w:t>Materials to be Filed as Exhibits.</w:t>
      </w:r>
    </w:p>
    <w:p>
      <w:pPr>
        <w:spacing w:after="0" w:line="225" w:lineRule="exact"/>
        <w:rPr>
          <w:sz w:val="20"/>
          <w:szCs w:val="20"/>
          <w:color w:val="auto"/>
        </w:rPr>
      </w:pPr>
    </w:p>
    <w:p>
      <w:pPr>
        <w:ind w:left="660"/>
        <w:spacing w:after="0"/>
        <w:rPr>
          <w:rFonts w:ascii="Arial" w:cs="Arial" w:eastAsia="Arial" w:hAnsi="Arial"/>
          <w:sz w:val="18"/>
          <w:szCs w:val="18"/>
          <w:b w:val="1"/>
          <w:bCs w:val="1"/>
          <w:color w:val="0000EE"/>
        </w:rPr>
      </w:pPr>
      <w:hyperlink w:anchor="page8">
        <w:r>
          <w:rPr>
            <w:rFonts w:ascii="Arial" w:cs="Arial" w:eastAsia="Arial" w:hAnsi="Arial"/>
            <w:sz w:val="18"/>
            <w:szCs w:val="18"/>
            <w:b w:val="1"/>
            <w:bCs w:val="1"/>
            <w:u w:val="single" w:color="auto"/>
            <w:color w:val="0000EE"/>
          </w:rPr>
          <w:t>Exhibit 99.1</w:t>
        </w:r>
        <w:r>
          <w:rPr>
            <w:rFonts w:ascii="Arial" w:cs="Arial" w:eastAsia="Arial" w:hAnsi="Arial"/>
            <w:sz w:val="18"/>
            <w:szCs w:val="18"/>
            <w:b w:val="1"/>
            <w:bCs w:val="1"/>
            <w:color w:val="0000EE"/>
          </w:rPr>
          <w:t xml:space="preserve"> </w:t>
        </w:r>
        <w:r>
          <w:rPr>
            <w:rFonts w:ascii="Arial" w:cs="Arial" w:eastAsia="Arial" w:hAnsi="Arial"/>
            <w:sz w:val="18"/>
            <w:szCs w:val="18"/>
            <w:u w:val="single" w:color="auto"/>
            <w:color w:val="0000EE"/>
          </w:rPr>
          <w:t>— Joint Filing Agreement</w:t>
        </w:r>
      </w:hyperlink>
      <w:r>
        <w:rPr>
          <w:rFonts w:ascii="Arial" w:cs="Arial" w:eastAsia="Arial" w:hAnsi="Arial"/>
          <w:sz w:val="18"/>
          <w:szCs w:val="18"/>
          <w:color w:val="000000"/>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445770</wp:posOffset>
            </wp:positionV>
            <wp:extent cx="7132320" cy="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6" w:name="page7"/>
    <w:bookmarkEnd w:id="6"/>
    <w:p>
      <w:pPr>
        <w:jc w:val="center"/>
        <w:ind w:right="-19"/>
        <w:spacing w:after="0"/>
        <w:rPr>
          <w:sz w:val="20"/>
          <w:szCs w:val="20"/>
          <w:color w:val="auto"/>
        </w:rPr>
      </w:pPr>
      <w:r>
        <w:rPr>
          <w:rFonts w:ascii="Arial" w:cs="Arial" w:eastAsia="Arial" w:hAnsi="Arial"/>
          <w:sz w:val="18"/>
          <w:szCs w:val="18"/>
          <w:b w:val="1"/>
          <w:bCs w:val="1"/>
          <w:color w:val="auto"/>
        </w:rPr>
        <w:t>SIGNATURE</w:t>
      </w:r>
    </w:p>
    <w:p>
      <w:pPr>
        <w:spacing w:after="0" w:line="229"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After reasonable inquiry and to the best of each of the Reporting Person’s knowledge and belief, each of the undersigned certifies that the information set forth in this statement is true, complete and correct.</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Dated: February 1, 2022</w:t>
      </w:r>
    </w:p>
    <w:p>
      <w:pPr>
        <w:spacing w:after="0" w:line="248" w:lineRule="exact"/>
        <w:rPr>
          <w:sz w:val="20"/>
          <w:szCs w:val="20"/>
          <w:color w:val="auto"/>
        </w:rPr>
      </w:pPr>
    </w:p>
    <w:p>
      <w:pPr>
        <w:ind w:left="5640"/>
        <w:spacing w:after="0"/>
        <w:rPr>
          <w:sz w:val="20"/>
          <w:szCs w:val="20"/>
          <w:color w:val="auto"/>
        </w:rPr>
      </w:pPr>
      <w:r>
        <w:rPr>
          <w:rFonts w:ascii="Arial" w:cs="Arial" w:eastAsia="Arial" w:hAnsi="Arial"/>
          <w:sz w:val="18"/>
          <w:szCs w:val="18"/>
          <w:b w:val="1"/>
          <w:bCs w:val="1"/>
          <w:color w:val="auto"/>
        </w:rPr>
        <w:t>Aequanimitas Limited Partnership</w:t>
      </w:r>
    </w:p>
    <w:p>
      <w:pPr>
        <w:spacing w:after="0" w:line="283"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By: /s/ Isidoro Quiroga Cortés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3785235</wp:posOffset>
            </wp:positionH>
            <wp:positionV relativeFrom="paragraph">
              <wp:posOffset>14605</wp:posOffset>
            </wp:positionV>
            <wp:extent cx="3351530" cy="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3351530" cy="8255"/>
                    </a:xfrm>
                    <a:prstGeom prst="rect">
                      <a:avLst/>
                    </a:prstGeom>
                    <a:noFill/>
                  </pic:spPr>
                </pic:pic>
              </a:graphicData>
            </a:graphic>
          </wp:anchor>
        </w:drawing>
      </w:r>
    </w:p>
    <w:p>
      <w:pPr>
        <w:spacing w:after="0" w:line="16"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Name: Isidoro Quiroga Cortés</w:t>
      </w:r>
    </w:p>
    <w:p>
      <w:pPr>
        <w:spacing w:after="0" w:line="36"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Title: Authorized Signatory</w:t>
      </w:r>
    </w:p>
    <w:p>
      <w:pPr>
        <w:spacing w:after="0" w:line="275" w:lineRule="exact"/>
        <w:rPr>
          <w:sz w:val="20"/>
          <w:szCs w:val="20"/>
          <w:color w:val="auto"/>
        </w:rPr>
      </w:pPr>
    </w:p>
    <w:p>
      <w:pPr>
        <w:ind w:left="5640"/>
        <w:spacing w:after="0"/>
        <w:rPr>
          <w:sz w:val="20"/>
          <w:szCs w:val="20"/>
          <w:color w:val="auto"/>
        </w:rPr>
      </w:pPr>
      <w:r>
        <w:rPr>
          <w:rFonts w:ascii="Arial" w:cs="Arial" w:eastAsia="Arial" w:hAnsi="Arial"/>
          <w:sz w:val="18"/>
          <w:szCs w:val="18"/>
          <w:b w:val="1"/>
          <w:bCs w:val="1"/>
          <w:color w:val="auto"/>
        </w:rPr>
        <w:t>Isidoro Quiroga Cortés</w:t>
      </w:r>
    </w:p>
    <w:p>
      <w:pPr>
        <w:spacing w:after="0" w:line="283"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By: /s/ Isidoro Quiroga Cortés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3785235</wp:posOffset>
            </wp:positionH>
            <wp:positionV relativeFrom="paragraph">
              <wp:posOffset>14605</wp:posOffset>
            </wp:positionV>
            <wp:extent cx="3351530"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3351530" cy="8890"/>
                    </a:xfrm>
                    <a:prstGeom prst="rect">
                      <a:avLst/>
                    </a:prstGeom>
                    <a:noFill/>
                  </pic:spPr>
                </pic:pic>
              </a:graphicData>
            </a:graphic>
          </wp:anchor>
        </w:drawing>
      </w:r>
    </w:p>
    <w:p>
      <w:pPr>
        <w:spacing w:after="0" w:line="232" w:lineRule="exact"/>
        <w:rPr>
          <w:sz w:val="20"/>
          <w:szCs w:val="20"/>
          <w:color w:val="auto"/>
        </w:rPr>
      </w:pPr>
    </w:p>
    <w:p>
      <w:pPr>
        <w:jc w:val="center"/>
        <w:ind w:right="-19"/>
        <w:spacing w:after="0"/>
        <w:rPr>
          <w:sz w:val="20"/>
          <w:szCs w:val="20"/>
          <w:color w:val="auto"/>
        </w:rPr>
      </w:pPr>
      <w:r>
        <w:rPr>
          <w:rFonts w:ascii="Arial" w:cs="Arial" w:eastAsia="Arial" w:hAnsi="Arial"/>
          <w:sz w:val="18"/>
          <w:szCs w:val="18"/>
          <w:i w:val="1"/>
          <w:iCs w:val="1"/>
          <w:color w:val="auto"/>
        </w:rPr>
        <w:t>[Signature Page to Schedule 13D]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443230</wp:posOffset>
            </wp:positionV>
            <wp:extent cx="7132320" cy="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20"/>
          </w:cols>
          <w:pgMar w:left="320" w:top="904" w:right="359" w:bottom="1440" w:gutter="0" w:footer="0" w:header="0"/>
        </w:sectPr>
      </w:pPr>
    </w:p>
    <w:bookmarkStart w:id="7" w:name="page8"/>
    <w:bookmarkEnd w:id="7"/>
    <w:p>
      <w:pPr>
        <w:jc w:val="right"/>
        <w:spacing w:after="0"/>
        <w:rPr>
          <w:sz w:val="20"/>
          <w:szCs w:val="20"/>
          <w:color w:val="auto"/>
        </w:rPr>
      </w:pPr>
      <w:r>
        <w:rPr>
          <w:rFonts w:ascii="Arial" w:cs="Arial" w:eastAsia="Arial" w:hAnsi="Arial"/>
          <w:sz w:val="18"/>
          <w:szCs w:val="18"/>
          <w:b w:val="1"/>
          <w:bCs w:val="1"/>
          <w:color w:val="auto"/>
        </w:rPr>
        <w:t>EXHIBIT 99.1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SCHEDULE 13D JOINT FILING AGREEMENT</w:t>
      </w:r>
    </w:p>
    <w:p>
      <w:pPr>
        <w:spacing w:after="0" w:line="229" w:lineRule="exact"/>
        <w:rPr>
          <w:sz w:val="20"/>
          <w:szCs w:val="20"/>
          <w:color w:val="auto"/>
        </w:rPr>
      </w:pPr>
    </w:p>
    <w:p>
      <w:pPr>
        <w:jc w:val="both"/>
        <w:ind w:right="40" w:firstLine="441"/>
        <w:spacing w:after="0" w:line="263" w:lineRule="auto"/>
        <w:rPr>
          <w:sz w:val="20"/>
          <w:szCs w:val="20"/>
          <w:color w:val="auto"/>
        </w:rPr>
      </w:pPr>
      <w:r>
        <w:rPr>
          <w:rFonts w:ascii="Arial" w:cs="Arial" w:eastAsia="Arial" w:hAnsi="Arial"/>
          <w:sz w:val="18"/>
          <w:szCs w:val="18"/>
          <w:color w:val="auto"/>
        </w:rPr>
        <w:t>In accordance with the requirements of Rule 13d-1(k) under the Securities Exchange Act of 1934, as amended, and subject to the limitations set forth therein, the parties set forth below agree to jointly file the Schedule 13D to which this Joint Filing Agreement is attached and have duly executed this Joint Filing Agreement as of February 1, 2022.</w:t>
      </w:r>
    </w:p>
    <w:p>
      <w:pPr>
        <w:spacing w:after="0" w:line="207" w:lineRule="exact"/>
        <w:rPr>
          <w:sz w:val="20"/>
          <w:szCs w:val="20"/>
          <w:color w:val="auto"/>
        </w:rPr>
      </w:pPr>
    </w:p>
    <w:p>
      <w:pPr>
        <w:ind w:left="5640"/>
        <w:spacing w:after="0"/>
        <w:rPr>
          <w:sz w:val="20"/>
          <w:szCs w:val="20"/>
          <w:color w:val="auto"/>
        </w:rPr>
      </w:pPr>
      <w:r>
        <w:rPr>
          <w:rFonts w:ascii="Arial" w:cs="Arial" w:eastAsia="Arial" w:hAnsi="Arial"/>
          <w:sz w:val="18"/>
          <w:szCs w:val="18"/>
          <w:b w:val="1"/>
          <w:bCs w:val="1"/>
          <w:color w:val="auto"/>
        </w:rPr>
        <w:t>Aequanimitas Limited Partnership</w:t>
      </w:r>
    </w:p>
    <w:p>
      <w:pPr>
        <w:spacing w:after="0" w:line="283"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By: /s/ Isidoro Quiroga Cortés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3785235</wp:posOffset>
            </wp:positionH>
            <wp:positionV relativeFrom="paragraph">
              <wp:posOffset>14605</wp:posOffset>
            </wp:positionV>
            <wp:extent cx="3351530" cy="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3351530" cy="8255"/>
                    </a:xfrm>
                    <a:prstGeom prst="rect">
                      <a:avLst/>
                    </a:prstGeom>
                    <a:noFill/>
                  </pic:spPr>
                </pic:pic>
              </a:graphicData>
            </a:graphic>
          </wp:anchor>
        </w:drawing>
      </w:r>
    </w:p>
    <w:p>
      <w:pPr>
        <w:spacing w:after="0" w:line="16"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Name: Isidoro Quiroga Cortés</w:t>
      </w:r>
    </w:p>
    <w:p>
      <w:pPr>
        <w:spacing w:after="0" w:line="36"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Title: Authorized Signatory</w:t>
      </w:r>
    </w:p>
    <w:p>
      <w:pPr>
        <w:spacing w:after="0" w:line="275" w:lineRule="exact"/>
        <w:rPr>
          <w:sz w:val="20"/>
          <w:szCs w:val="20"/>
          <w:color w:val="auto"/>
        </w:rPr>
      </w:pPr>
    </w:p>
    <w:p>
      <w:pPr>
        <w:ind w:left="5640"/>
        <w:spacing w:after="0"/>
        <w:rPr>
          <w:sz w:val="20"/>
          <w:szCs w:val="20"/>
          <w:color w:val="auto"/>
        </w:rPr>
      </w:pPr>
      <w:r>
        <w:rPr>
          <w:rFonts w:ascii="Arial" w:cs="Arial" w:eastAsia="Arial" w:hAnsi="Arial"/>
          <w:sz w:val="18"/>
          <w:szCs w:val="18"/>
          <w:b w:val="1"/>
          <w:bCs w:val="1"/>
          <w:color w:val="auto"/>
        </w:rPr>
        <w:t>Isidoro Quiroga Cortés</w:t>
      </w:r>
    </w:p>
    <w:p>
      <w:pPr>
        <w:spacing w:after="0" w:line="283"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By: /s/ Isidoro Quiroga Cortés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3785235</wp:posOffset>
            </wp:positionH>
            <wp:positionV relativeFrom="paragraph">
              <wp:posOffset>14605</wp:posOffset>
            </wp:positionV>
            <wp:extent cx="3351530" cy="82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335153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452120</wp:posOffset>
            </wp:positionV>
            <wp:extent cx="7132320" cy="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sectPr>
      <w:pgSz w:w="11900" w:h="16838" w:orient="portrait"/>
      <w:cols w:equalWidth="0" w:num="1">
        <w:col w:w="11240"/>
      </w:cols>
      <w:pgMar w:left="320" w:top="364"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1B71EFB"/>
    <w:multiLevelType w:val="hybridMultilevel"/>
    <w:lvl w:ilvl="0">
      <w:lvlJc w:val="left"/>
      <w:lvlText w:val="*"/>
      <w:numFmt w:val="bullet"/>
      <w:start w:val="1"/>
    </w:lvl>
  </w:abstractNum>
  <w:abstractNum w:abstractNumId="1">
    <w:nsid w:val="79E2A9E3"/>
    <w:multiLevelType w:val="hybridMultilevel"/>
    <w:lvl w:ilvl="0">
      <w:lvlJc w:val="left"/>
      <w:lvlText w:val="1"/>
      <w:numFmt w:val="bullet"/>
      <w:start w:val="1"/>
    </w:lvl>
  </w:abstractNum>
  <w:abstractNum w:abstractNumId="2">
    <w:nsid w:val="7545E146"/>
    <w:multiLevelType w:val="hybridMultilevel"/>
    <w:lvl w:ilvl="0">
      <w:lvlJc w:val="left"/>
      <w:lvlText w:val="2"/>
      <w:numFmt w:val="bullet"/>
      <w:start w:val="1"/>
    </w:lvl>
  </w:abstractNum>
  <w:abstractNum w:abstractNumId="3">
    <w:nsid w:val="515F007C"/>
    <w:multiLevelType w:val="hybridMultilevel"/>
    <w:lvl w:ilvl="0">
      <w:lvlJc w:val="left"/>
      <w:lvlText w:val="3"/>
      <w:numFmt w:val="bullet"/>
      <w:start w:val="1"/>
    </w:lvl>
  </w:abstractNum>
  <w:abstractNum w:abstractNumId="4">
    <w:nsid w:val="5BD062C2"/>
    <w:multiLevelType w:val="hybridMultilevel"/>
    <w:lvl w:ilvl="0">
      <w:lvlJc w:val="left"/>
      <w:lvlText w:val="%1"/>
      <w:numFmt w:val="decimal"/>
      <w:start w:val="13"/>
    </w:lvl>
  </w:abstractNum>
  <w:abstractNum w:abstractNumId="5">
    <w:nsid w:val="12200854"/>
    <w:multiLevelType w:val="hybridMultilevel"/>
    <w:lvl w:ilvl="0">
      <w:lvlJc w:val="left"/>
      <w:lvlText w:val="1"/>
      <w:numFmt w:val="bullet"/>
      <w:start w:val="1"/>
    </w:lvl>
  </w:abstractNum>
  <w:abstractNum w:abstractNumId="6">
    <w:nsid w:val="4DB127F8"/>
    <w:multiLevelType w:val="hybridMultilevel"/>
    <w:lvl w:ilvl="0">
      <w:lvlJc w:val="left"/>
      <w:lvlText w:val="2"/>
      <w:numFmt w:val="bullet"/>
      <w:start w:val="1"/>
    </w:lvl>
  </w:abstractNum>
  <w:abstractNum w:abstractNumId="7">
    <w:nsid w:val="216231B"/>
    <w:multiLevelType w:val="hybridMultilevel"/>
    <w:lvl w:ilvl="0">
      <w:lvlJc w:val="left"/>
      <w:lvlText w:val="3"/>
      <w:numFmt w:val="bullet"/>
      <w:start w:val="1"/>
    </w:lvl>
  </w:abstractNum>
  <w:abstractNum w:abstractNumId="8">
    <w:nsid w:val="1F16E9E8"/>
    <w:multiLevelType w:val="hybridMultilevel"/>
    <w:lvl w:ilvl="0">
      <w:lvlJc w:val="left"/>
      <w:lvlText w:val="%1"/>
      <w:numFmt w:val="decimal"/>
      <w:start w:val="13"/>
    </w:lvl>
  </w:abstractNum>
  <w:abstractNum w:abstractNumId="9">
    <w:nsid w:val="1190CDE7"/>
    <w:multiLevelType w:val="hybridMultilevel"/>
    <w:lvl w:ilvl="0">
      <w:lvlJc w:val="left"/>
      <w:lvlText w:val="(%1)"/>
      <w:numFmt w:val="lowerLetter"/>
      <w:start w:val="1"/>
    </w:lvl>
  </w:abstractNum>
  <w:abstractNum w:abstractNumId="10">
    <w:nsid w:val="66EF438D"/>
    <w:multiLevelType w:val="hybridMultilevel"/>
    <w:lvl w:ilvl="0">
      <w:lvlJc w:val="left"/>
      <w:lvlText w:val="(%1)"/>
      <w:numFmt w:val="lowerLetter"/>
      <w:start w:val="5"/>
    </w:lvl>
  </w:abstractNum>
  <w:abstractNum w:abstractNumId="11">
    <w:nsid w:val="140E0F76"/>
    <w:multiLevelType w:val="hybridMultilevel"/>
    <w:lvl w:ilvl="0">
      <w:lvlJc w:val="left"/>
      <w:lvlText w:val="(%1)"/>
      <w:numFmt w:val="lowerLetter"/>
      <w:start w:val="1"/>
    </w:lvl>
  </w:abstractNum>
  <w:abstractNum w:abstractNumId="12">
    <w:nsid w:val="3352255A"/>
    <w:multiLevelType w:val="hybridMultilevel"/>
    <w:lvl w:ilvl="0">
      <w:lvlJc w:val="left"/>
      <w:lvlText w:val="(%1)"/>
      <w:numFmt w:val="lowerLetter"/>
      <w:start w:val="3"/>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2022-02-01T13:33:54Z</dcterms:created>
  <dcterms:modified xsi:type="dcterms:W3CDTF">2022-02-01T13:33:54Z</dcterms:modified>
</cp:coreProperties>
</file>