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753018 100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Isidoro Alfonso Quiroga Cortés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Aequanimitas Limited Partnership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Avenida Presidente Riesco 5711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Oficina 1603,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Condes, Santiago, Chile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 22 798-9600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70"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35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35115"/>
                    </a:xfrm>
                    <a:prstGeom prst="rect">
                      <a:avLst/>
                    </a:prstGeom>
                    <a:noFill/>
                  </pic:spPr>
                </pic:pic>
              </a:graphicData>
            </a:graphic>
          </wp:anchor>
        </w:drawing>
        <w:t>NAME OF REPORTING PERSONS</w:t>
      </w:r>
    </w:p>
    <w:p>
      <w:pPr>
        <w:spacing w:after="0" w:line="23" w:lineRule="exact"/>
        <w:rPr>
          <w:sz w:val="20"/>
          <w:szCs w:val="20"/>
          <w:color w:val="auto"/>
        </w:rPr>
      </w:pPr>
    </w:p>
    <w:p>
      <w:pPr>
        <w:ind w:left="1140" w:right="4520" w:hanging="664"/>
        <w:spacing w:after="0" w:line="271" w:lineRule="auto"/>
        <w:tabs>
          <w:tab w:leader="none" w:pos="1140" w:val="left"/>
        </w:tabs>
        <w:numPr>
          <w:ilvl w:val="0"/>
          <w:numId w:val="2"/>
        </w:numPr>
        <w:rPr>
          <w:rFonts w:ascii="Arial" w:cs="Arial" w:eastAsia="Arial" w:hAnsi="Arial"/>
          <w:sz w:val="36"/>
          <w:szCs w:val="36"/>
          <w:color w:val="auto"/>
          <w:vertAlign w:val="subscript"/>
        </w:rPr>
      </w:pPr>
      <w:r>
        <w:rPr>
          <w:rFonts w:ascii="Arial" w:cs="Arial" w:eastAsia="Arial" w:hAnsi="Arial"/>
          <w:sz w:val="18"/>
          <w:szCs w:val="18"/>
          <w:color w:val="auto"/>
        </w:rPr>
        <w:t>I.R.S. IDENTIFICATION NOS. OF ABOVE PERSONS (ENTITIES ONLY) Aequanimitas Limited Partnership</w:t>
      </w:r>
    </w:p>
    <w:p>
      <w:pPr>
        <w:spacing w:after="0" w:line="1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CHECK THE APPROPRIATE BOX IF A MEMBER OF A GROUP (See Instructions)</w:t>
      </w:r>
    </w:p>
    <w:p>
      <w:pPr>
        <w:ind w:left="1140" w:hanging="664"/>
        <w:spacing w:after="0" w:line="241" w:lineRule="exact"/>
        <w:tabs>
          <w:tab w:leader="none" w:pos="114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p>
      <w:pPr>
        <w:ind w:left="1140"/>
        <w:spacing w:after="0" w:line="207" w:lineRule="exact"/>
        <w:rPr>
          <w:rFonts w:ascii="Arial" w:cs="Arial" w:eastAsia="Arial" w:hAnsi="Arial"/>
          <w:sz w:val="27"/>
          <w:szCs w:val="27"/>
          <w:color w:val="auto"/>
          <w:vertAlign w:val="subscript"/>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65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4"/>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OWNED BY</w:t>
            </w: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30"/>
              <w:spacing w:after="0" w:line="182" w:lineRule="exact"/>
              <w:rPr>
                <w:sz w:val="20"/>
                <w:szCs w:val="20"/>
                <w:color w:val="auto"/>
              </w:rPr>
            </w:pPr>
            <w:r>
              <w:rPr>
                <w:rFonts w:ascii="Arial" w:cs="Arial" w:eastAsia="Arial" w:hAnsi="Arial"/>
                <w:sz w:val="18"/>
                <w:szCs w:val="18"/>
                <w:color w:val="auto"/>
                <w:w w:val="99"/>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tcPr>
          <w:p>
            <w:pPr>
              <w:spacing w:after="0"/>
              <w:rPr>
                <w:sz w:val="10"/>
                <w:szCs w:val="10"/>
                <w:color w:val="auto"/>
              </w:rPr>
            </w:pP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65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AGGREGATE AMOUNT BENEFICIALLY OWNED BY EACH REPORTING PERSON</w:t>
      </w:r>
    </w:p>
    <w:p>
      <w:pPr>
        <w:ind w:lef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5,202,298</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12</w:t>
            </w:r>
          </w:p>
        </w:tc>
        <w:tc>
          <w:tcPr>
            <w:tcW w:w="9140" w:type="dxa"/>
            <w:vAlign w:val="bottom"/>
          </w:tcPr>
          <w:p>
            <w:pPr>
              <w:ind w:left="260"/>
              <w:spacing w:after="0"/>
              <w:rPr>
                <w:sz w:val="20"/>
                <w:szCs w:val="20"/>
                <w:color w:val="auto"/>
              </w:rPr>
            </w:pPr>
            <w:r>
              <w:rPr>
                <w:rFonts w:ascii="Arial" w:cs="Arial" w:eastAsia="Arial" w:hAnsi="Arial"/>
                <w:sz w:val="18"/>
                <w:szCs w:val="18"/>
                <w:color w:val="auto"/>
                <w:w w:val="99"/>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left="1140" w:right="4960" w:hanging="709"/>
        <w:spacing w:after="0" w:line="182" w:lineRule="auto"/>
        <w:tabs>
          <w:tab w:leader="none" w:pos="1140" w:val="left"/>
        </w:tabs>
        <w:numPr>
          <w:ilvl w:val="0"/>
          <w:numId w:val="5"/>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(11) 26.39%</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TYPE OF REPORTING PERSON (See Instructions)</w:t>
      </w:r>
    </w:p>
    <w:p>
      <w:pPr>
        <w:ind w:lef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6635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635115"/>
                    </a:xfrm>
                    <a:prstGeom prst="rect">
                      <a:avLst/>
                    </a:prstGeom>
                    <a:noFill/>
                  </pic:spPr>
                </pic:pic>
              </a:graphicData>
            </a:graphic>
          </wp:anchor>
        </w:drawing>
        <w:t>NAME OF REPORTING PERSONS</w:t>
      </w:r>
    </w:p>
    <w:p>
      <w:pPr>
        <w:spacing w:after="0" w:line="23" w:lineRule="exact"/>
        <w:rPr>
          <w:sz w:val="20"/>
          <w:szCs w:val="20"/>
          <w:color w:val="auto"/>
        </w:rPr>
      </w:pPr>
    </w:p>
    <w:p>
      <w:pPr>
        <w:ind w:left="1140" w:right="4520" w:hanging="664"/>
        <w:spacing w:after="0" w:line="271" w:lineRule="auto"/>
        <w:tabs>
          <w:tab w:leader="none" w:pos="114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I.R.S. IDENTIFICATION NOS. OF ABOVE PERSONS (ENTITIES ONLY) Isidoro Alfonso Quiroga Cortés</w:t>
      </w:r>
    </w:p>
    <w:p>
      <w:pPr>
        <w:spacing w:after="0" w:line="1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CHECK THE APPROPRIATE BOX IF A MEMBER OF A GROUP (See Instructions)</w:t>
      </w:r>
    </w:p>
    <w:p>
      <w:pPr>
        <w:ind w:left="1140" w:hanging="664"/>
        <w:spacing w:after="0" w:line="241" w:lineRule="exact"/>
        <w:tabs>
          <w:tab w:leader="none" w:pos="1140" w:val="left"/>
        </w:tabs>
        <w:numPr>
          <w:ilvl w:val="0"/>
          <w:numId w:val="7"/>
        </w:numPr>
        <w:rPr>
          <w:rFonts w:ascii="Arial" w:cs="Arial" w:eastAsia="Arial" w:hAnsi="Arial"/>
          <w:sz w:val="27"/>
          <w:szCs w:val="27"/>
          <w:color w:val="auto"/>
          <w:vertAlign w:val="subscript"/>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p>
      <w:pPr>
        <w:ind w:left="1140"/>
        <w:spacing w:after="0" w:line="207" w:lineRule="exact"/>
        <w:rPr>
          <w:rFonts w:ascii="Arial" w:cs="Arial" w:eastAsia="Arial" w:hAnsi="Arial"/>
          <w:sz w:val="27"/>
          <w:szCs w:val="27"/>
          <w:color w:val="auto"/>
          <w:vertAlign w:val="subscript"/>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Chile</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65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4"/>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OWNED BY</w:t>
            </w: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30"/>
              <w:spacing w:after="0" w:line="182" w:lineRule="exact"/>
              <w:rPr>
                <w:sz w:val="20"/>
                <w:szCs w:val="20"/>
                <w:color w:val="auto"/>
              </w:rPr>
            </w:pPr>
            <w:r>
              <w:rPr>
                <w:rFonts w:ascii="Arial" w:cs="Arial" w:eastAsia="Arial" w:hAnsi="Arial"/>
                <w:sz w:val="18"/>
                <w:szCs w:val="18"/>
                <w:color w:val="auto"/>
                <w:w w:val="99"/>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tcPr>
          <w:p>
            <w:pPr>
              <w:spacing w:after="0"/>
              <w:rPr>
                <w:sz w:val="10"/>
                <w:szCs w:val="10"/>
                <w:color w:val="auto"/>
              </w:rPr>
            </w:pP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65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AGGREGATE AMOUNT BENEFICIALLY OWNED BY EACH REPORTING PERSON</w:t>
      </w:r>
    </w:p>
    <w:p>
      <w:pPr>
        <w:ind w:lef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5,202,298</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12</w:t>
            </w:r>
          </w:p>
        </w:tc>
        <w:tc>
          <w:tcPr>
            <w:tcW w:w="9140" w:type="dxa"/>
            <w:vAlign w:val="bottom"/>
          </w:tcPr>
          <w:p>
            <w:pPr>
              <w:ind w:left="260"/>
              <w:spacing w:after="0"/>
              <w:rPr>
                <w:sz w:val="20"/>
                <w:szCs w:val="20"/>
                <w:color w:val="auto"/>
              </w:rPr>
            </w:pPr>
            <w:r>
              <w:rPr>
                <w:rFonts w:ascii="Arial" w:cs="Arial" w:eastAsia="Arial" w:hAnsi="Arial"/>
                <w:sz w:val="18"/>
                <w:szCs w:val="18"/>
                <w:color w:val="auto"/>
                <w:w w:val="99"/>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left="1140" w:right="4960" w:hanging="709"/>
        <w:spacing w:after="0" w:line="182" w:lineRule="auto"/>
        <w:tabs>
          <w:tab w:leader="none" w:pos="1140" w:val="left"/>
        </w:tabs>
        <w:numPr>
          <w:ilvl w:val="0"/>
          <w:numId w:val="9"/>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(11) 26.39%</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TYPE OF REPORTING PERSON (See Instructions)</w:t>
      </w:r>
    </w:p>
    <w:p>
      <w:pPr>
        <w:ind w:lef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 w:name="page4"/>
    <w:bookmarkEnd w:id="3"/>
    <w:p>
      <w:pPr>
        <w:jc w:val="both"/>
        <w:ind w:firstLine="648"/>
        <w:spacing w:after="0" w:line="257" w:lineRule="auto"/>
        <w:rPr>
          <w:sz w:val="20"/>
          <w:szCs w:val="20"/>
          <w:color w:val="auto"/>
        </w:rPr>
      </w:pPr>
      <w:r>
        <w:rPr>
          <w:rFonts w:ascii="Arial" w:cs="Arial" w:eastAsia="Arial" w:hAnsi="Arial"/>
          <w:sz w:val="18"/>
          <w:szCs w:val="18"/>
          <w:color w:val="auto"/>
        </w:rPr>
        <w:t>Aequanimitas Limited Partnership (“</w:t>
      </w:r>
      <w:r>
        <w:rPr>
          <w:rFonts w:ascii="Arial" w:cs="Arial" w:eastAsia="Arial" w:hAnsi="Arial"/>
          <w:sz w:val="18"/>
          <w:szCs w:val="18"/>
          <w:u w:val="single" w:color="auto"/>
          <w:color w:val="auto"/>
        </w:rPr>
        <w:t>Aequanimitas</w:t>
      </w:r>
      <w:r>
        <w:rPr>
          <w:rFonts w:ascii="Arial" w:cs="Arial" w:eastAsia="Arial" w:hAnsi="Arial"/>
          <w:sz w:val="18"/>
          <w:szCs w:val="18"/>
          <w:color w:val="auto"/>
        </w:rPr>
        <w:t>”) previously filed Statement on Schedule 13D filed on August 9, 2021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jointly with Isidoro Quiroga Moreno (“</w:t>
      </w:r>
      <w:r>
        <w:rPr>
          <w:rFonts w:ascii="Arial" w:cs="Arial" w:eastAsia="Arial" w:hAnsi="Arial"/>
          <w:sz w:val="18"/>
          <w:szCs w:val="18"/>
          <w:u w:val="single" w:color="auto"/>
          <w:color w:val="auto"/>
        </w:rPr>
        <w:t>Quiroga Moreno</w:t>
      </w:r>
      <w:r>
        <w:rPr>
          <w:rFonts w:ascii="Arial" w:cs="Arial" w:eastAsia="Arial" w:hAnsi="Arial"/>
          <w:sz w:val="18"/>
          <w:szCs w:val="18"/>
          <w:color w:val="auto"/>
        </w:rPr>
        <w:t>”), South Cone Investments Limited Partnership (“</w:t>
      </w:r>
      <w:r>
        <w:rPr>
          <w:rFonts w:ascii="Arial" w:cs="Arial" w:eastAsia="Arial" w:hAnsi="Arial"/>
          <w:sz w:val="18"/>
          <w:szCs w:val="18"/>
          <w:u w:val="single" w:color="auto"/>
          <w:color w:val="auto"/>
        </w:rPr>
        <w:t>South Cone</w:t>
      </w:r>
      <w:r>
        <w:rPr>
          <w:rFonts w:ascii="Arial" w:cs="Arial" w:eastAsia="Arial" w:hAnsi="Arial"/>
          <w:sz w:val="18"/>
          <w:szCs w:val="18"/>
          <w:color w:val="auto"/>
        </w:rPr>
        <w:t>”) and South Lake One LLC (“</w:t>
      </w:r>
      <w:r>
        <w:rPr>
          <w:rFonts w:ascii="Arial" w:cs="Arial" w:eastAsia="Arial" w:hAnsi="Arial"/>
          <w:sz w:val="18"/>
          <w:szCs w:val="18"/>
          <w:u w:val="single" w:color="auto"/>
          <w:color w:val="auto"/>
        </w:rPr>
        <w:t>South Lake One</w:t>
      </w:r>
      <w:r>
        <w:rPr>
          <w:rFonts w:ascii="Arial" w:cs="Arial" w:eastAsia="Arial" w:hAnsi="Arial"/>
          <w:sz w:val="18"/>
          <w:szCs w:val="18"/>
          <w:color w:val="auto"/>
        </w:rPr>
        <w:t>”, and together with Quiroga Moreno, South Cone and Aequanimitas, the “</w:t>
      </w:r>
      <w:r>
        <w:rPr>
          <w:rFonts w:ascii="Arial" w:cs="Arial" w:eastAsia="Arial" w:hAnsi="Arial"/>
          <w:sz w:val="18"/>
          <w:szCs w:val="18"/>
          <w:u w:val="single" w:color="auto"/>
          <w:color w:val="auto"/>
        </w:rPr>
        <w:t>Prior Reporting Persons</w:t>
      </w:r>
      <w:r>
        <w:rPr>
          <w:rFonts w:ascii="Arial" w:cs="Arial" w:eastAsia="Arial" w:hAnsi="Arial"/>
          <w:sz w:val="18"/>
          <w:szCs w:val="18"/>
          <w:color w:val="auto"/>
        </w:rPr>
        <w:t>”) relating to the beneficial ownership of certain shares Class A common stock, $0.0001 par value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of Rani Therapeutics Holdings, Inc. (the “</w:t>
      </w:r>
      <w:r>
        <w:rPr>
          <w:rFonts w:ascii="Arial" w:cs="Arial" w:eastAsia="Arial" w:hAnsi="Arial"/>
          <w:sz w:val="18"/>
          <w:szCs w:val="18"/>
          <w:u w:val="single" w:color="auto"/>
          <w:color w:val="auto"/>
        </w:rPr>
        <w:t>Issuer</w:t>
      </w:r>
      <w:r>
        <w:rPr>
          <w:rFonts w:ascii="Arial" w:cs="Arial" w:eastAsia="Arial" w:hAnsi="Arial"/>
          <w:sz w:val="18"/>
          <w:szCs w:val="18"/>
          <w:color w:val="auto"/>
        </w:rPr>
        <w:t>”), a Delaware corporation.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30, 2021, Aequanimitas’ former general partner, South Lake Three LLC (“</w:t>
      </w:r>
      <w:r>
        <w:rPr>
          <w:rFonts w:ascii="Arial" w:cs="Arial" w:eastAsia="Arial" w:hAnsi="Arial"/>
          <w:sz w:val="18"/>
          <w:szCs w:val="18"/>
          <w:u w:val="single" w:color="auto"/>
          <w:color w:val="auto"/>
        </w:rPr>
        <w:t>South Lake Three</w:t>
      </w:r>
      <w:r>
        <w:rPr>
          <w:rFonts w:ascii="Arial" w:cs="Arial" w:eastAsia="Arial" w:hAnsi="Arial"/>
          <w:sz w:val="18"/>
          <w:szCs w:val="18"/>
          <w:color w:val="auto"/>
        </w:rPr>
        <w:t>”), which, together with South Lake One, are wholly owned subsidiaries of South Cone, which had previously been indirectly controlled by Quiroga Moreno, was replaced as the general partner of Aequanimitas by Aequanimitas Management LLC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whose sole and controlling member is Isidoro Alfonso Quiroga Cortés (“</w:t>
      </w:r>
      <w:r>
        <w:rPr>
          <w:rFonts w:ascii="Arial" w:cs="Arial" w:eastAsia="Arial" w:hAnsi="Arial"/>
          <w:sz w:val="18"/>
          <w:szCs w:val="18"/>
          <w:u w:val="single" w:color="auto"/>
          <w:color w:val="auto"/>
        </w:rPr>
        <w:t>Quiroga Cortés</w:t>
      </w:r>
      <w:r>
        <w:rPr>
          <w:rFonts w:ascii="Arial" w:cs="Arial" w:eastAsia="Arial" w:hAnsi="Arial"/>
          <w:sz w:val="18"/>
          <w:szCs w:val="18"/>
          <w:color w:val="auto"/>
        </w:rPr>
        <w:t>”). As a result, South Lake Three no longer controls Aequanimitas and Aequanimitas no longer forms part of a group with the other Prior Reporting Persons.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February 1, 2022, the Prior Reporting Persons filed an amendment to the Original Statement, which among other things, removed Aequanimitas as a joint filer under the Original Statement. As a result, Aequanimitas and Quiroga Cortés are hereby jointly filing this Statement on Schedule 13D (this “</w:t>
      </w:r>
      <w:r>
        <w:rPr>
          <w:rFonts w:ascii="Arial" w:cs="Arial" w:eastAsia="Arial" w:hAnsi="Arial"/>
          <w:sz w:val="18"/>
          <w:szCs w:val="18"/>
          <w:u w:val="single" w:color="auto"/>
          <w:color w:val="auto"/>
        </w:rPr>
        <w:t>Statement</w:t>
      </w:r>
      <w:r>
        <w:rPr>
          <w:rFonts w:ascii="Arial" w:cs="Arial" w:eastAsia="Arial" w:hAnsi="Arial"/>
          <w:sz w:val="18"/>
          <w:szCs w:val="18"/>
          <w:color w:val="auto"/>
        </w:rPr>
        <w:t>”) to report their beneficial ownership of the Issuer’s Class A Common Stock.</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Statement relates to the Issuer’s Class A Common Stock. The principal executive offices of the Issuer are located at 2051 Ringwood Avenue, San Jose, California 95131.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left="1300" w:right="20" w:hanging="644"/>
        <w:spacing w:after="0" w:line="26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Statement is being jointly filed by Aequanimitas Limited Partnership and Isidoro Alfonso Quiroga Cortés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pursuant to Rule 13d-1(k) promulgated by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pursuant to Section 13 of the Securities Exchange Act of 1934, as amended.</w:t>
      </w:r>
    </w:p>
    <w:p>
      <w:pPr>
        <w:spacing w:after="0" w:line="183" w:lineRule="exact"/>
        <w:rPr>
          <w:rFonts w:ascii="Arial" w:cs="Arial" w:eastAsia="Arial" w:hAnsi="Arial"/>
          <w:sz w:val="18"/>
          <w:szCs w:val="18"/>
          <w:color w:val="auto"/>
        </w:rPr>
      </w:pPr>
    </w:p>
    <w:p>
      <w:pPr>
        <w:ind w:left="1300"/>
        <w:spacing w:after="0" w:line="342" w:lineRule="auto"/>
        <w:rPr>
          <w:rFonts w:ascii="Arial" w:cs="Arial" w:eastAsia="Arial" w:hAnsi="Arial"/>
          <w:sz w:val="18"/>
          <w:szCs w:val="18"/>
          <w:color w:val="auto"/>
        </w:rPr>
      </w:pPr>
      <w:r>
        <w:rPr>
          <w:rFonts w:ascii="Arial" w:cs="Arial" w:eastAsia="Arial" w:hAnsi="Arial"/>
          <w:sz w:val="16"/>
          <w:szCs w:val="16"/>
          <w:color w:val="auto"/>
        </w:rPr>
        <w:t>Quiroga Cortés directly owns 100% of the issued and outstanding interest of the General Partner. The General Partner directly controls Aequanimitas as its general partner with the power to manage Aequanimitas. Quiroga Cortés is the sole limited partner of Aequanimitas.</w:t>
      </w:r>
    </w:p>
    <w:p>
      <w:pPr>
        <w:spacing w:after="0" w:line="123"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principal business address of Aequanimitas and the General Partner is Avenida Presidente Riesco 5711 oficina 1603, Las Condes, Santiago, Chile. The residential address of Quiroga Cortés is Leonel Aguirre 1830, apartment 101, Montevideo, Uruguay.</w:t>
      </w:r>
    </w:p>
    <w:p>
      <w:pPr>
        <w:spacing w:after="0" w:line="14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present principal business of Aequanimitas is acting as an investment vehicle to organize its limited partner’s, Quiroga Cortés’, investments in the United States and overseas. The present principal business of the General Partner is managing Quiroga Cortés’, investments in the United States and overseas as the general partner of Aequanimitas. The principal occupation of Quiroga Cortés is a businessman investing in several different companies.</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 of the Reporting Persons, nor to the knowledge of the Reporting Persons, any of the General Partner, or the executive officers, mangers, directors or partners of the Reporting Persons, has, during the last five years, been convicted in a criminal proceeding (excluding traffic violations or similar misdemeanors).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ind w:left="130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Reporting Persons, nor to the knowledge of the Reporting Persons, any of the General Partner, or the executive officers, mangers, directors or partners of the Reporting Persons, if applicable, was,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Aequanimitas is a limited partnership organized under the laws of Ontario, Canada. The General Partner is a limited liability company organized under the laws of the State of Delaware. Quiroga Cortés is an individual resident of Uruguay.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Prior to the consummation of the Issuer’s initial public offering of Class A Common Stock (the “</w:t>
      </w:r>
      <w:r>
        <w:rPr>
          <w:rFonts w:ascii="Arial" w:cs="Arial" w:eastAsia="Arial" w:hAnsi="Arial"/>
          <w:sz w:val="17"/>
          <w:szCs w:val="17"/>
          <w:u w:val="single" w:color="auto"/>
          <w:color w:val="auto"/>
        </w:rPr>
        <w:t>IPO</w:t>
      </w:r>
      <w:r>
        <w:rPr>
          <w:rFonts w:ascii="Arial" w:cs="Arial" w:eastAsia="Arial" w:hAnsi="Arial"/>
          <w:sz w:val="17"/>
          <w:szCs w:val="17"/>
          <w:color w:val="auto"/>
        </w:rPr>
        <w:t>”), Aequanimitas subscribed for 2,283,444 Series E preferred units (“</w:t>
      </w:r>
      <w:r>
        <w:rPr>
          <w:rFonts w:ascii="Arial" w:cs="Arial" w:eastAsia="Arial" w:hAnsi="Arial"/>
          <w:sz w:val="17"/>
          <w:szCs w:val="17"/>
          <w:u w:val="single" w:color="auto"/>
          <w:color w:val="auto"/>
        </w:rPr>
        <w:t>Series E Preferred Units</w:t>
      </w:r>
      <w:r>
        <w:rPr>
          <w:rFonts w:ascii="Arial" w:cs="Arial" w:eastAsia="Arial" w:hAnsi="Arial"/>
          <w:sz w:val="17"/>
          <w:szCs w:val="17"/>
          <w:color w:val="auto"/>
        </w:rPr>
        <w:t>”) of Rani Therapeutics, LLC, a California limited liability company (“</w:t>
      </w:r>
      <w:r>
        <w:rPr>
          <w:rFonts w:ascii="Arial" w:cs="Arial" w:eastAsia="Arial" w:hAnsi="Arial"/>
          <w:sz w:val="17"/>
          <w:szCs w:val="17"/>
          <w:u w:val="single" w:color="auto"/>
          <w:color w:val="auto"/>
        </w:rPr>
        <w:t>Rani LLC</w:t>
      </w:r>
      <w:r>
        <w:rPr>
          <w:rFonts w:ascii="Arial" w:cs="Arial" w:eastAsia="Arial" w:hAnsi="Arial"/>
          <w:sz w:val="17"/>
          <w:szCs w:val="17"/>
          <w:color w:val="auto"/>
        </w:rPr>
        <w:t>”), at a price of $7.1471 per unit, for an aggregate purchase price of $16,320,002.61, and purchased 2,100,800 common units (the “</w:t>
      </w:r>
      <w:r>
        <w:rPr>
          <w:rFonts w:ascii="Arial" w:cs="Arial" w:eastAsia="Arial" w:hAnsi="Arial"/>
          <w:sz w:val="17"/>
          <w:szCs w:val="17"/>
          <w:u w:val="single" w:color="auto"/>
          <w:color w:val="auto"/>
        </w:rPr>
        <w:t>Common Units</w:t>
      </w:r>
      <w:r>
        <w:rPr>
          <w:rFonts w:ascii="Arial" w:cs="Arial" w:eastAsia="Arial" w:hAnsi="Arial"/>
          <w:sz w:val="17"/>
          <w:szCs w:val="17"/>
          <w:color w:val="auto"/>
        </w:rPr>
        <w:t>” and together with the Series E Preferred Units, the “</w:t>
      </w:r>
      <w:r>
        <w:rPr>
          <w:rFonts w:ascii="Arial" w:cs="Arial" w:eastAsia="Arial" w:hAnsi="Arial"/>
          <w:sz w:val="17"/>
          <w:szCs w:val="17"/>
          <w:u w:val="single" w:color="auto"/>
          <w:color w:val="auto"/>
        </w:rPr>
        <w:t>Units</w:t>
      </w:r>
      <w:r>
        <w:rPr>
          <w:rFonts w:ascii="Arial" w:cs="Arial" w:eastAsia="Arial" w:hAnsi="Arial"/>
          <w:sz w:val="17"/>
          <w:szCs w:val="17"/>
          <w:color w:val="auto"/>
        </w:rPr>
        <w:t>”) of Rani LLC from InCube Labs, LLC at a price of $7.1471 per unit, for an aggregate purchase price of $15,014,627.68, which Aequanimitas paid for with its working capital. The IPO was conducted through what is commonly referred to as an “Up-C” structure, which is often used by partnerships and limited liability companies when they decide to undertake an initial public offering. To implement the “Up-C” structure, Rani LLC effected certain organizational changes which included the incorporation of the Issuer as a Delaware corporation on April 6, 2021, the amendment and restatement of Rani LLC’s limited liability agreement to (i) appoint the Issuer as the sole managing member of Rani LLC and (ii) effectuate a recapitalization of all outstanding units and profits interests of Rani LLC into a single class of economic nonvoting Class A units (the “</w:t>
      </w:r>
      <w:r>
        <w:rPr>
          <w:rFonts w:ascii="Arial" w:cs="Arial" w:eastAsia="Arial" w:hAnsi="Arial"/>
          <w:sz w:val="17"/>
          <w:szCs w:val="17"/>
          <w:u w:val="single" w:color="auto"/>
          <w:color w:val="auto"/>
        </w:rPr>
        <w:t>Class A Units</w:t>
      </w:r>
      <w:r>
        <w:rPr>
          <w:rFonts w:ascii="Arial" w:cs="Arial" w:eastAsia="Arial" w:hAnsi="Arial"/>
          <w:sz w:val="17"/>
          <w:szCs w:val="17"/>
          <w:color w:val="auto"/>
        </w:rPr>
        <w:t>”) and the exchange of all of the Reporting Person’s Class A Units for 2,316,121 shares of Class A Common Stock of the Issuer. The IPO priced on July 29, 2021 and the shares of Class A Common Stock began trading on the Nasdaq Global Market on July 30, 2021. For more information on the IPO and the “Up-C” structure and the organizational changes undertaken by Rani LLC in connection therewith, see Issuer’s Registration Statement on Form S-1 (File No. 333-257809)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w:t>
      </w:r>
    </w:p>
    <w:p>
      <w:pPr>
        <w:spacing w:after="0" w:line="18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On July 30, 2021, Aequanimitas purchased 158,904 shares of Class A Common Stock of the Issuer in a single transaction in the open market at a price of $11.2525 per share, for an aggregate purchase price of $1,788,067.26, paid for with its working capital. Additionally, in connection with the IPO, Aequanimitas purchased 2,727,273 shares of Class A Common Stock of the Issuer from the underwriters at a price of $11.00 per share, for an aggregate purchase price of $30,000,003, paid for with its working capital. The shares of Class A Common Stock purchased from the underwriters in the IPO closed and settled on August 3, 2021.</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above in Item 1 and Item 3 of this Statement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648"/>
        <w:spacing w:after="0" w:line="286" w:lineRule="auto"/>
        <w:rPr>
          <w:sz w:val="20"/>
          <w:szCs w:val="20"/>
          <w:color w:val="auto"/>
        </w:rPr>
      </w:pPr>
      <w:r>
        <w:rPr>
          <w:rFonts w:ascii="Arial" w:cs="Arial" w:eastAsia="Arial" w:hAnsi="Arial"/>
          <w:sz w:val="16"/>
          <w:szCs w:val="16"/>
          <w:color w:val="auto"/>
        </w:rPr>
        <w:t>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 (b) 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 (j) 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 (i) 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 Except as set forth herein, the Reporting Persons have no present plans or proposals that relate to or that would result in any of the actions specified in clauses (a) through (j) of Item 4 of Schedule 13D.</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ind w:left="1560" w:right="160" w:hanging="904"/>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(b) Aequanimitas directly holds an aggregate of 5,202,298 shares of Class A Common Stock of the Issuer. Each share of Class A Common Stock is entitled to one vote. Aequanimitas directly owns 26.39% of the outstanding Class A Common Stock of the Issuer.</w:t>
      </w:r>
    </w:p>
    <w:p>
      <w:pPr>
        <w:spacing w:after="0" w:line="124" w:lineRule="exact"/>
        <w:rPr>
          <w:sz w:val="20"/>
          <w:szCs w:val="20"/>
          <w:color w:val="auto"/>
        </w:rPr>
      </w:pPr>
    </w:p>
    <w:p>
      <w:pPr>
        <w:jc w:val="both"/>
        <w:ind w:left="1560"/>
        <w:spacing w:after="0" w:line="263" w:lineRule="auto"/>
        <w:rPr>
          <w:sz w:val="20"/>
          <w:szCs w:val="20"/>
          <w:color w:val="auto"/>
        </w:rPr>
      </w:pPr>
      <w:r>
        <w:rPr>
          <w:rFonts w:ascii="Arial" w:cs="Arial" w:eastAsia="Arial" w:hAnsi="Arial"/>
          <w:sz w:val="18"/>
          <w:szCs w:val="18"/>
          <w:color w:val="auto"/>
        </w:rPr>
        <w:t>Quiroga Cortés indirectly holds an aggregate of 5,202,298 shares of Class A Common Stock of the Issuer. Each share of Class A Common Stock is entitled to one vote. Quiroga Cortés beneficially owns 26.39% of the outstanding Class A Common Stock of the Issuer.</w:t>
      </w:r>
    </w:p>
    <w:p>
      <w:pPr>
        <w:spacing w:after="0" w:line="184" w:lineRule="exact"/>
        <w:rPr>
          <w:sz w:val="20"/>
          <w:szCs w:val="20"/>
          <w:color w:val="auto"/>
        </w:rPr>
      </w:pPr>
    </w:p>
    <w:p>
      <w:pPr>
        <w:jc w:val="both"/>
        <w:ind w:left="1560"/>
        <w:spacing w:after="0" w:line="263" w:lineRule="auto"/>
        <w:rPr>
          <w:sz w:val="20"/>
          <w:szCs w:val="20"/>
          <w:color w:val="auto"/>
        </w:rPr>
      </w:pPr>
      <w:r>
        <w:rPr>
          <w:rFonts w:ascii="Arial" w:cs="Arial" w:eastAsia="Arial" w:hAnsi="Arial"/>
          <w:sz w:val="18"/>
          <w:szCs w:val="18"/>
          <w:color w:val="auto"/>
        </w:rPr>
        <w:t>Quiroga Cortés, through the General Partner, indirectly controls Aequanimitas, which has sole voting power and sole dispositive power with respect to 5,202,298 shares of Class A Common Stock of the Issuer held directly by it. Aequanimitas is controlled by its general partner, the General Partner, which is wholly owned by Quiroga Cortés.</w:t>
      </w:r>
    </w:p>
    <w:p>
      <w:pPr>
        <w:spacing w:after="0" w:line="184" w:lineRule="exact"/>
        <w:rPr>
          <w:sz w:val="20"/>
          <w:szCs w:val="20"/>
          <w:color w:val="auto"/>
        </w:rPr>
      </w:pPr>
    </w:p>
    <w:p>
      <w:pPr>
        <w:jc w:val="both"/>
        <w:ind w:left="1560"/>
        <w:spacing w:after="0" w:line="263" w:lineRule="auto"/>
        <w:rPr>
          <w:sz w:val="20"/>
          <w:szCs w:val="20"/>
          <w:color w:val="auto"/>
        </w:rPr>
      </w:pPr>
      <w:r>
        <w:rPr>
          <w:rFonts w:ascii="Arial" w:cs="Arial" w:eastAsia="Arial" w:hAnsi="Arial"/>
          <w:sz w:val="18"/>
          <w:szCs w:val="18"/>
          <w:color w:val="auto"/>
        </w:rPr>
        <w:t>The shares of Class A Common Stock beneficially and/or directly owned by each Reporting Person as a percentage of the outstanding shares of Class A Common Stock of the Issuer presented in this Statement is based upon 19,714,592 shares of Class A Common Stock outstanding as of December 31, 2021, which was provided by the Issuer.</w:t>
      </w:r>
    </w:p>
    <w:p>
      <w:pPr>
        <w:spacing w:after="0" w:line="184" w:lineRule="exact"/>
        <w:rPr>
          <w:sz w:val="20"/>
          <w:szCs w:val="20"/>
          <w:color w:val="auto"/>
        </w:rPr>
      </w:pPr>
    </w:p>
    <w:p>
      <w:pPr>
        <w:ind w:left="1560" w:hanging="904"/>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set forth in Item 3 and Item 4 of this Statement is incorporated by reference herein.</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and 4 of this Statement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25" w:lineRule="exact"/>
        <w:rPr>
          <w:sz w:val="20"/>
          <w:szCs w:val="20"/>
          <w:color w:val="auto"/>
        </w:rPr>
      </w:pPr>
    </w:p>
    <w:p>
      <w:pPr>
        <w:ind w:left="660"/>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u w:val="single" w:color="auto"/>
            <w:color w:val="0000EE"/>
          </w:rPr>
          <w:t>Exhibit 99.1</w:t>
        </w:r>
        <w:r>
          <w:rPr>
            <w:rFonts w:ascii="Arial" w:cs="Arial" w:eastAsia="Arial" w:hAnsi="Arial"/>
            <w:sz w:val="18"/>
            <w:szCs w:val="18"/>
            <w:b w:val="1"/>
            <w:bCs w:val="1"/>
            <w:color w:val="0000EE"/>
          </w:rPr>
          <w:t xml:space="preserve"> </w:t>
        </w:r>
        <w:r>
          <w:rPr>
            <w:rFonts w:ascii="Arial" w:cs="Arial" w:eastAsia="Arial" w:hAnsi="Arial"/>
            <w:sz w:val="18"/>
            <w:szCs w:val="18"/>
            <w:u w:val="single" w:color="auto"/>
            <w:color w:val="0000EE"/>
          </w:rPr>
          <w:t>— Joint Filing Agreement</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Reporting Person’s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 2022</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Aequanimitas Limited Partnership</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Cortés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Isidoro Quiroga Cortés</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 JOINT FILING AGREEMENT</w:t>
      </w:r>
    </w:p>
    <w:p>
      <w:pPr>
        <w:spacing w:after="0" w:line="229" w:lineRule="exact"/>
        <w:rPr>
          <w:sz w:val="20"/>
          <w:szCs w:val="20"/>
          <w:color w:val="auto"/>
        </w:rPr>
      </w:pPr>
    </w:p>
    <w:p>
      <w:pPr>
        <w:jc w:val="both"/>
        <w:ind w:right="40" w:firstLine="441"/>
        <w:spacing w:after="0" w:line="263" w:lineRule="auto"/>
        <w:rPr>
          <w:sz w:val="20"/>
          <w:szCs w:val="20"/>
          <w:color w:val="auto"/>
        </w:rPr>
      </w:pPr>
      <w:r>
        <w:rPr>
          <w:rFonts w:ascii="Arial" w:cs="Arial" w:eastAsia="Arial" w:hAnsi="Arial"/>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February 1, 2022.</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Aequanimitas Limited Partnership</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Cortés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Isidoro Quiroga Cortés</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decimal"/>
      <w:start w:val="13"/>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2022-02-01T13:33:54Z</dcterms:created>
  <dcterms:modified xsi:type="dcterms:W3CDTF">2022-02-01T13:33:54Z</dcterms:modified>
</cp:coreProperties>
</file>