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31108.htm"/>
      <w:bookmarkStart w:id="1" w:name="ksrani202311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08, 2023</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80" w:after="283"/>
        <w:ind w:left="0" w:right="0" w:hanging="490"/>
        <w:jc w:val="left"/>
        <w:rPr/>
      </w:pPr>
      <w:r>
        <w:rPr/>
        <w:t>☐</w:t>
      </w:r>
      <w:r>
        <w:rPr>
          <w:rFonts w:ascii="Times New Roman" w:hAnsi="Times New Roman"/>
          <w:b w:val="false"/>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b w:val="false"/>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b w:val="false"/>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Stock Market LLC</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November 8, 2023, Rani Therapeutics Holdings, Inc. (the “Company”) issued a press release providing a corporate update and announcing its financial results for the third quarter ended September 30, 2023. The full text of the press release is furnished as Exhibit 99.1 to this Current Report on Form 8-K and is incorporated herein by reference.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November 7, 2023, the Board of Directors of the Company (the “Board”) approved a reduction in the annual salary of Talat Imran, the Company’s Chief Executive Officer, from his current annual salary of $520,000 to $100,000, effective November 1, 2023 through December 31, 2024 or until such earlier time as the Company receives gross proceeds of $50,000,000 or more, in the aggregate, from equity financing and/or one or more non-dilutive strategic, licensing or partnering transactions. The decreased base salary amends the Amended and Restated Employment Agreement, dated August 31, 2022, by and between Rani Therapeutics, LLC and Mr. Imran, previously filed with the SEC as Exhibit 10.19 to the Company’s Annual Report on Form 10-K for the year ended December 2022.</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99_1.htm">
              <w:r>
                <w:rPr>
                  <w:rStyle w:val="InternetLink"/>
                  <w:rFonts w:ascii="Times New Roman" w:hAnsi="Times New Roman"/>
                  <w:b w:val="false"/>
                  <w:color w:val="0000FF"/>
                  <w:sz w:val="20"/>
                  <w:u w:val="single"/>
                </w:rPr>
                <w:t>Press Release of Rani Therapeutics Holdings, Inc. dated November 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434" w:type="dxa"/>
        <w:jc w:val="left"/>
        <w:tblInd w:w="0" w:type="dxa"/>
        <w:tblLayout w:type="fixed"/>
        <w:tblCellMar>
          <w:top w:w="28" w:type="dxa"/>
          <w:left w:w="28" w:type="dxa"/>
          <w:bottom w:w="28" w:type="dxa"/>
          <w:right w:w="28" w:type="dxa"/>
        </w:tblCellMar>
      </w:tblPr>
      <w:tblGrid>
        <w:gridCol w:w="556"/>
        <w:gridCol w:w="160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val="false"/>
                <w:color w:val="000000"/>
                <w:sz w:val="20"/>
              </w:rPr>
            </w:pPr>
            <w:r>
              <w:rPr>
                <w:rFonts w:ascii="Times New Roman" w:hAnsi="Times New Roman"/>
                <w:b w:val="false"/>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November 8, 2023</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b w:val="false"/>
                <w:color w:val="000000"/>
                <w:sz w:val="20"/>
              </w:rPr>
            </w:pPr>
            <w:r>
              <w:rPr>
                <w:rFonts w:ascii="Times New Roman" w:hAnsi="Times New Roman"/>
                <w:b w:val="false"/>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val="false"/>
                <w:color w:val="000000"/>
                <w:sz w:val="20"/>
              </w:rPr>
            </w:pPr>
            <w:r>
              <w:rPr>
                <w:rFonts w:ascii="Times New Roman" w:hAnsi="Times New Roman"/>
                <w:b w:val="false"/>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ani-ex99_1.htm"/>
      <w:bookmarkStart w:id="3" w:name="ksrani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666875"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38200"/>
                    </a:xfrm>
                    <a:prstGeom prst="rect">
                      <a:avLst/>
                    </a:prstGeom>
                  </pic:spPr>
                </pic:pic>
              </a:graphicData>
            </a:graphic>
          </wp:inline>
        </w:drawing>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Rani Therapeutics Reports Third Quarter 2023 Financial Results; Provides Corporate Update</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Cash runway extended into 2025 -</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Announced strategic program prioritization, expansion of manufacturing and plans to streamline business operations -</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Initiated Phase 1 clinical trial of RT-111, a RaniPill GO containing ustekinumab biosimilar CT-P43, with topline results expected in 1Q 2024 -</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Initiation of Phase 2 clinical trial of RT-102, a RaniPill GO containing teriparatide for osteoporosis, expected by the year-end 2023 -</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Announced RaniPill capsule was well-tolerated in 60-day, repeat oral-administration GLP safety study -</w:t>
      </w:r>
    </w:p>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 Announced successful drug delivery with RaniPill HC high-capacity capsule in multiple preclinical studies with cumulative &gt;90% success rate -</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SAN JOSE, Calif., November 8, 2023 </w:t>
      </w:r>
      <w:r>
        <w:rPr>
          <w:rFonts w:ascii="Times New Roman" w:hAnsi="Times New Roman"/>
          <w:b w:val="false"/>
          <w:color w:val="000000"/>
          <w:sz w:val="20"/>
        </w:rPr>
        <w:t>--Rani Therapeutics Holdings, Inc. (“Rani Therapeutics” or “Rani”) (Nasdaq: RANI), a clinical-stage biotherapeutics company focused on the oral delivery of biologics and drugs, today reported financial results for the third quarter ended September 30, 2023, and provided a corporate update.</w:t>
      </w:r>
    </w:p>
    <w:p>
      <w:pPr>
        <w:pStyle w:val="TextBody"/>
        <w:bidi w:val="0"/>
        <w:spacing w:before="180" w:after="283"/>
        <w:jc w:val="left"/>
        <w:rPr>
          <w:color w:val="000000"/>
        </w:rPr>
      </w:pPr>
      <w:r>
        <w:rPr>
          <w:color w:val="000000"/>
        </w:rPr>
        <w:t>“</w:t>
      </w:r>
      <w:r>
        <w:rPr>
          <w:rFonts w:ascii="Times New Roman" w:hAnsi="Times New Roman"/>
          <w:b w:val="false"/>
          <w:color w:val="000000"/>
          <w:sz w:val="20"/>
        </w:rPr>
        <w:t>In the third quarter, we made important decisions to drive forward our key programs to create long-term value for our shareholders and extend our cash runway into 2025. We announced a strategic prioritization of our RT-102 and RT-111 programs, as well as development of the RaniPill HC to be Phase 1 ready,” said Talat Imran, Chief Executive Officer of Rani Therapeutics. “We are highly encouraged by the continued development of the RaniPill HC, a novel high-capacity capsule capable of delivering up to a 500%-plus higher drug payload than Rani’s existing oral biologics capsule. We have completed multiple preclinical studies of the RaniPill HC with antibodies and other molecules. Our goal is to get this capsule ready for Phase 1 studies in the clinic and we look forward to potential partnering opportunities involving the RaniPill HC.”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Third Quarter or Subsequent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Announced Strategic Program Prioritization, Expansion of Manufacturing and Plans to Streamline Business operations to Support Near-Term Value Drivers and Long-Term Growth of the RaniPill Technology Platform. </w:t>
      </w:r>
      <w:r>
        <w:rPr>
          <w:rFonts w:ascii="Times New Roman" w:hAnsi="Times New Roman"/>
          <w:b w:val="false"/>
          <w:color w:val="000000"/>
          <w:sz w:val="20"/>
        </w:rPr>
        <w:t>The plans include strategic prioritization of its key development programs, RT-102, RT-111 and the RaniPill HC and expansion of its manufacturing footprint to support increased scale and partnerships, and cost reduction initiatives that align with Rani’s near-term goals. Development of RT-101 will be discontinued, while the development of RT-105 and RT-110 programs will be paused. In addition, Rani will reduce its workforce by approximately 25%. Anticipated cost savings are expected to support Rani’s operating plans into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Completed 60-Day, Repeat Oral-Administration GLP Safety Study.</w:t>
      </w:r>
      <w:r>
        <w:rPr>
          <w:color w:val="000000"/>
        </w:rPr>
        <w:t xml:space="preserve"> </w:t>
      </w:r>
      <w:r>
        <w:rPr>
          <w:rFonts w:ascii="Times New Roman" w:hAnsi="Times New Roman"/>
          <w:b w:val="false"/>
          <w:color w:val="000000"/>
          <w:sz w:val="20"/>
        </w:rPr>
        <w:t>In October 2023, Rani announced preclinical data from a 60-day, repeat oral-administration GLP safety study of the RaniPill capsule in healthy animals. The RaniPill capsule was well-tolerated with no treatment-related adverse events and all animals remained clinically healthy throughout the study.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Presented an Abstract on RT-102 at the 2023 Annual Meeting of the American Society for Bone and Mineral Research. </w:t>
      </w:r>
      <w:r>
        <w:rPr>
          <w:rFonts w:ascii="Times New Roman" w:hAnsi="Times New Roman"/>
          <w:b w:val="false"/>
          <w:color w:val="000000"/>
          <w:sz w:val="20"/>
        </w:rPr>
        <w:t>The abstract focused on the safe and reliable delivery of teriparatide with high bioavailability through daily administration of an oral robotic pill (RT-102) in female volunteers.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Initiated Phase 1 Clinical Trial of RT-111 (RaniPill Containing Ustekinumab Biosimilar, CT-P43). </w:t>
      </w:r>
      <w:r>
        <w:rPr>
          <w:rFonts w:ascii="Times New Roman" w:hAnsi="Times New Roman"/>
          <w:b w:val="false"/>
          <w:color w:val="000000"/>
          <w:sz w:val="20"/>
        </w:rPr>
        <w:t xml:space="preserve">In September 2023, Rani announced the initiation of a Phase 1 clinical trial to evaluate the safety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tolerability of RT-111, an orally administered RaniPill GO capsule containing an ustekinumab biosimilar, CT-P43. Currently, ustekinumab is available only as a subcutaneous injection. In preclinical testing of RT-111 in animal models, the RaniPill delivered ustekinumab biosimilar orally with bioavailability comparable to subcutaneous injection. Topline results from this study are expected early in the first quarter of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Announced Successful Drug Delivery of High-Capacity Pill in Preclinical Studies. </w:t>
      </w:r>
      <w:r>
        <w:rPr>
          <w:rFonts w:ascii="Times New Roman" w:hAnsi="Times New Roman"/>
          <w:b w:val="false"/>
          <w:color w:val="000000"/>
          <w:sz w:val="20"/>
        </w:rPr>
        <w:t>In September and October 2023, Rani announced results from multiple preclinical studies of the RaniPill HC, a version of the RaniPill capsule capable of delivering up to a 500%-plus higher drug payload than Rani’s existing oral biologics capsule. In such studies, the RaniPill HC achieved successful drug delivery with a cumulative &gt;90% success rate.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Development Update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Rani has completed two preclinical studies of the RaniPill HC with antibodies, adalimumab and an undisclosed interleukin (“Interleukin”). In the two antibody studies, the RaniPill HC achieved an oral delivery success rate of 100% (10/10). In one study, Rani tracked the serum concentrations of adalimumab, following the oral administration of the enteric-coated, RaniPill HC capsule containing 11mg of Humira (adalimumab) to four canine models. In the second study, Rani tracked the serum concentrations of the Interleukin, following the oral administration of the enteric-coated RaniPill HC capsule containing 16.5mg of Interleukin to six canine models. In both studies, the RaniPill HC was well-tolerated, all animals remained healthy throughout the study period with no clinical findings or adverse events, and all device remnants were excreted normally without sequelae.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Comparing the pharmacokinetic results of 11mg of adalimumab delivered via the RaniPill HC (N=4) with historical pharmacokinetic data generated by Rani with 5mg of an adalimumab biosimilar (GP2017) delivered via subcutaneous injection (N=3), there is a higher estimated bioavailability of adalimumab delivered via the RaniPill HC relative to the subcutaneous injection route.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Adalimumab 11mg via RaniPill HC vs Adalimumab Biosimilar 5mg via Subcutaneous Injection</w:t>
      </w:r>
    </w:p>
    <w:p>
      <w:pPr>
        <w:pStyle w:val="TextBody"/>
        <w:bidi w:val="0"/>
        <w:spacing w:before="180" w:after="283"/>
        <w:jc w:val="center"/>
        <w:rPr/>
      </w:pPr>
      <w:r>
        <w:rPr/>
        <w:drawing>
          <wp:inline distT="0" distB="0" distL="0" distR="0">
            <wp:extent cx="5638800" cy="3562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38800" cy="3562350"/>
                    </a:xfrm>
                    <a:prstGeom prst="rect">
                      <a:avLst/>
                    </a:prstGeom>
                  </pic:spPr>
                </pic:pic>
              </a:graphicData>
            </a:graphic>
          </wp:inline>
        </w:drawing>
      </w:r>
      <w:r>
        <w:rPr/>
        <w:t> </w:t>
      </w:r>
    </w:p>
    <w:p>
      <w:pPr>
        <w:pStyle w:val="TextBody"/>
        <w:bidi w:val="0"/>
        <w:spacing w:before="180" w:after="283"/>
        <w:jc w:val="center"/>
        <w:rPr>
          <w:rFonts w:ascii="Times New Roman" w:hAnsi="Times New Roman"/>
          <w:b w:val="false"/>
          <w:color w:val="000000"/>
          <w:sz w:val="18"/>
        </w:rPr>
      </w:pPr>
      <w:r>
        <w:rPr>
          <w:rFonts w:ascii="Times New Roman" w:hAnsi="Times New Roman"/>
          <w:b w:val="false"/>
          <w:color w:val="000000"/>
          <w:sz w:val="18"/>
        </w:rPr>
        <w:t>All Data are Means ± SE</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Pharmacokinetics of Interleukin (16.5mg) Delivered Orally via RaniPill HC Capsules to Awake Canines (N=6)</w:t>
      </w:r>
    </w:p>
    <w:p>
      <w:pPr>
        <w:pStyle w:val="TextBody"/>
        <w:bidi w:val="0"/>
        <w:spacing w:before="180" w:after="283"/>
        <w:jc w:val="center"/>
        <w:rPr/>
      </w:pPr>
      <w:r>
        <w:rPr/>
        <w:drawing>
          <wp:inline distT="0" distB="0" distL="0" distR="0">
            <wp:extent cx="5667375" cy="3390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67375" cy="3390900"/>
                    </a:xfrm>
                    <a:prstGeom prst="rect">
                      <a:avLst/>
                    </a:prstGeom>
                  </pic:spPr>
                </pic:pic>
              </a:graphicData>
            </a:graphic>
          </wp:inline>
        </w:drawing>
      </w:r>
      <w:r>
        <w:rPr/>
        <w:t> </w:t>
      </w:r>
    </w:p>
    <w:p>
      <w:pPr>
        <w:pStyle w:val="TextBody"/>
        <w:bidi w:val="0"/>
        <w:spacing w:before="180" w:after="283"/>
        <w:jc w:val="center"/>
        <w:rPr>
          <w:rFonts w:ascii="Times New Roman" w:hAnsi="Times New Roman"/>
          <w:b w:val="false"/>
          <w:color w:val="000000"/>
          <w:sz w:val="18"/>
        </w:rPr>
      </w:pPr>
      <w:r>
        <w:rPr>
          <w:rFonts w:ascii="Times New Roman" w:hAnsi="Times New Roman"/>
          <w:b w:val="false"/>
          <w:color w:val="000000"/>
          <w:sz w:val="18"/>
        </w:rPr>
        <w:t>All Data are Means ± 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80" w:after="283"/>
        <w:jc w:val="left"/>
        <w:rPr>
          <w:rFonts w:ascii="Times New Roman" w:hAnsi="Times New Roman"/>
          <w:b w:val="false"/>
          <w:color w:val="000000"/>
          <w:sz w:val="20"/>
        </w:rPr>
      </w:pPr>
      <w:r>
        <w:rPr>
          <w:rFonts w:ascii="Times New Roman" w:hAnsi="Times New Roman"/>
          <w:b w:val="false"/>
          <w:color w:val="000000"/>
          <w:sz w:val="20"/>
        </w:rPr>
        <w:t>Preliminary preclinical testing supports the potential for the RaniPill HC to have high reliability and initial analysis of drug delivery via the RaniPill HC shows a potential for mimicking parenteral (subcutaneous) administration. Rani expects to continue preclinical testing of RaniPill HC to confirm the preliminary reliability rate and optimize device performance with a goal for the RaniPill HC to be ready to advance into the clinic in the second half of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Near-Term Milestone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Initiation of Phase 2 clinical trial of RT-102, a RaniPill GO containing teriparatide for osteoporosis, expected by year-end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Topline results of Phase 1 clinical trial of RT-111, a RaniPill GO containing ustekinumab biosimilar CT-P43, expected in the first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 of RaniPill HC to be ready for potential Phase 1 clinical trials in the second half of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Third Quarter Financial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Cash, cash equivalents and marketable securities </w:t>
      </w:r>
      <w:r>
        <w:rPr>
          <w:rFonts w:ascii="Times New Roman" w:hAnsi="Times New Roman"/>
          <w:b w:val="false"/>
          <w:color w:val="000000"/>
          <w:sz w:val="20"/>
        </w:rPr>
        <w:t>as of September 30, 2023, totaled $60.5 million, compared to cash, cash equivalents and marketable securities of $98.5 million as of December 31, 2022. Rani expects its cash, cash equivalents and marketable securities to be sufficient to fund its operations through at least the next twelve months.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Research and development expenses </w:t>
      </w:r>
      <w:r>
        <w:rPr>
          <w:rFonts w:ascii="Times New Roman" w:hAnsi="Times New Roman"/>
          <w:b w:val="false"/>
          <w:color w:val="000000"/>
          <w:sz w:val="20"/>
        </w:rPr>
        <w:t>were $11.2 million for the three months ended September 30, 2023, compared to $9.1 million for the three months ended September 30, 2022. The increase was primarily attributed to higher third-party services expense of $2.1 million due to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General and administrative expenses </w:t>
      </w:r>
      <w:r>
        <w:rPr>
          <w:rFonts w:ascii="Times New Roman" w:hAnsi="Times New Roman"/>
          <w:b w:val="false"/>
          <w:color w:val="000000"/>
          <w:sz w:val="20"/>
        </w:rPr>
        <w:t>were $6.6 million for the three months ended September 30, 2023, compared to $7.2 million for the three months ended September 30, 2022. The decrease was primarily attributed to third-party services of $0.7 million related to support for compliance with public company requirements.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Net loss</w:t>
      </w:r>
      <w:r>
        <w:rPr>
          <w:color w:val="000000"/>
        </w:rPr>
        <w:t xml:space="preserve"> </w:t>
      </w:r>
      <w:r>
        <w:rPr>
          <w:rFonts w:ascii="Times New Roman" w:hAnsi="Times New Roman"/>
          <w:b w:val="false"/>
          <w:color w:val="000000"/>
          <w:sz w:val="20"/>
        </w:rPr>
        <w:t>for the three months ended September 30, 2023 was $18.3 million, compared to $16.2 million for the comparable period in 2022, including stock-based compensation expense of $5.0 million for the three months ended September 30, 2023 compared to $4.4 million for the comparable period in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About Rani Therapeutics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Rani Therapeutics is a clinical-stage biotherapeutics company focused on advancing technologies to enable the development of orally administered biologics and drugs. Rani has developed the RaniPill</w:t>
      </w:r>
      <w:r>
        <w:rPr>
          <w:rFonts w:ascii="Times New Roman" w:hAnsi="Times New Roman"/>
          <w:color w:val="000000"/>
          <w:sz w:val="20"/>
        </w:rPr>
        <w:t xml:space="preserve"> </w:t>
      </w:r>
      <w:r>
        <w:rPr>
          <w:rFonts w:ascii="Times New Roman" w:hAnsi="Times New Roman"/>
          <w:b w:val="false"/>
          <w:color w:val="000000"/>
          <w:sz w:val="20"/>
        </w:rPr>
        <w:t xml:space="preserve">capsule, which is a novel, proprietary and patented platform technology, intended to replace subcutaneous injection or intravenous infusion of biologics and drugs with oral dosing. Rani is progressing two RaniPill capsules, the RaniPill GO and the RaniPill HC. Rani has successfully conducted several preclinical and clinical studies to evaluate safety, tolerability and bioavailability using RaniPill capsule technology. For more information, visit </w:t>
      </w:r>
      <w:r>
        <w:rPr>
          <w:rFonts w:ascii="Times New Roman" w:hAnsi="Times New Roman"/>
          <w:b w:val="false"/>
          <w:sz w:val="20"/>
        </w:rPr>
        <w:t>ranitherapeutics.com</w:t>
      </w:r>
      <w:r>
        <w:rPr>
          <w:rFonts w:ascii="Times New Roman" w:hAnsi="Times New Roman"/>
          <w:b w:val="false"/>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advancement of Rani’s pipeline and RaniPill platform technology including the RaniPill HC, the potential of the RaniPill HC to deliver 500%-plus higher drug payload than Rani’s existing oral biologics capsule, the expected initiation of a Phase 2 clinical trial of RT-102 in 2023, the ability to confirm preliminary reliability and optimize performance of the RaniPill HC, the expected timing of topline results from the RT-111 Phase 1 clinical trial in the first quarter of 2024, the expected readiness of the RaniPill HC for clinical development in the second half of 2024, the ability of expanded manufacturing footpoint to support scaling of manufacturing and partnering, the ability to streamline its business operations and to realize the cost-savings contemplated by such streamlining of business operations, reduction in workforce and other initiatives announced by Rani, the potential for the RaniPill HC to have high reliability and mimic parenteral (subcutaneous) administration, the potential for partner opportunities with the RaniPill HC, customer acceptance of the RaniPill capsule technology, the potential benefits of the RaniPill capsule technology, cash sufficiency forecast, and Rani’s growth as a company. Because such statements are subject to risks and uncertainties, actual results may differ materially from those expressed or implied by such forward-looking statements. Words such as “capable of,” “potential,” “expects,” “with a goal for,” “anticipate”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2022,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Trademarks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Trade names, trademarks and service marks of other companies appearing in this press release are the property of their respective owners. Solely for convenience, the trademarks and trade names referred to in this press release appear without the ® and  symbols, but those references are not intended to indicate, in any way, that we will not assert, to the fullest extent under applicable law, our rights, or the right of the applicable licensor to these trademarks and tradenames.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160"/>
        <w:jc w:val="both"/>
        <w:rPr>
          <w:rFonts w:ascii="Times New Roman" w:hAnsi="Times New Roman"/>
          <w:b w:val="false"/>
          <w:color w:val="0000FF"/>
          <w:sz w:val="20"/>
          <w:u w:val="single"/>
        </w:rPr>
      </w:pPr>
      <w:r>
        <w:rPr>
          <w:rFonts w:ascii="Times New Roman" w:hAnsi="Times New Roman"/>
          <w:b w:val="false"/>
          <w:color w:val="0000FF"/>
          <w:sz w:val="20"/>
          <w:u w:val="single"/>
        </w:rPr>
        <w:t>investors@ranitherapeutics.com</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160"/>
        <w:jc w:val="both"/>
        <w:rPr>
          <w:rFonts w:ascii="Times New Roman" w:hAnsi="Times New Roman"/>
          <w:b w:val="false"/>
          <w:color w:val="0000FF"/>
          <w:sz w:val="20"/>
          <w:u w:val="single"/>
        </w:rPr>
      </w:pPr>
      <w:r>
        <w:rPr>
          <w:rFonts w:ascii="Times New Roman" w:hAnsi="Times New Roman"/>
          <w:b w:val="false"/>
          <w:color w:val="0000FF"/>
          <w:sz w:val="20"/>
          <w:u w:val="single"/>
        </w:rPr>
        <w:t>media@ranitherapeutics.com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RANI THERAPEUTICS HOLDINGS,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91"/>
        <w:gridCol w:w="146"/>
        <w:gridCol w:w="229"/>
        <w:gridCol w:w="799"/>
        <w:gridCol w:w="166"/>
        <w:gridCol w:w="146"/>
        <w:gridCol w:w="220"/>
        <w:gridCol w:w="815"/>
        <w:gridCol w:w="593"/>
      </w:tblGrid>
      <w:tr>
        <w:trPr/>
        <w:tc>
          <w:tcPr>
            <w:tcW w:w="7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71,475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100,924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operating lease liability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debt, less current portion</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29,149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liability, less current portion</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34,023</w:t>
            </w:r>
          </w:p>
        </w:tc>
        <w:tc>
          <w:tcPr>
            <w:tcW w:w="593" w:type="dxa"/>
            <w:tcBorders/>
            <w:shd w:fill="CFF0FC"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Preferred stock, $0.0001 par value - 20,000 shares authorized; none issued and outstanding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Class A common stock, $0.0001 par value - 800,000 shares authorized; 25,876 and 25,295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93" w:type="dxa"/>
            <w:tcBorders/>
            <w:shd w:fill="FFFFFF" w:val="clear"/>
            <w:vAlign w:val="center"/>
          </w:tcPr>
          <w:p>
            <w:pPr>
              <w:pStyle w:val="TableContents"/>
              <w:bidi w:val="0"/>
              <w:spacing w:before="0" w:after="283"/>
              <w:jc w:val="left"/>
              <w:rPr/>
            </w:pPr>
            <w:r>
              <w:rPr/>
              <w:t> </w:t>
            </w:r>
          </w:p>
        </w:tc>
      </w:tr>
      <w:tr>
        <w:trPr/>
        <w:tc>
          <w:tcPr>
            <w:tcW w:w="70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Class B common stock, $0.0001 par value - 40,000 shares authorized; 24,116 issued and outstanding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593" w:type="dxa"/>
            <w:tcBorders/>
            <w:shd w:fill="CFF0FC" w:val="clear"/>
            <w:vAlign w:val="center"/>
          </w:tcPr>
          <w:p>
            <w:pPr>
              <w:pStyle w:val="TableContents"/>
              <w:bidi w:val="0"/>
              <w:spacing w:before="0" w:after="283"/>
              <w:jc w:val="left"/>
              <w:rPr/>
            </w:pPr>
            <w:r>
              <w:rPr/>
              <w:t> </w:t>
            </w:r>
          </w:p>
        </w:tc>
      </w:tr>
      <w:tr>
        <w:trPr/>
        <w:tc>
          <w:tcPr>
            <w:tcW w:w="70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Class C common stock, $0.0001 par value - 20,000 shares authorized; none issued and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75,842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(38,919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0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equity attributable to Rani Therapeutics Holdings, Inc.</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36,855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Non-controlling interest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37,149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108,027</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RANI THERAPEUTICS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196"/>
        <w:gridCol w:w="146"/>
        <w:gridCol w:w="228"/>
        <w:gridCol w:w="796"/>
        <w:gridCol w:w="179"/>
        <w:gridCol w:w="157"/>
        <w:gridCol w:w="228"/>
        <w:gridCol w:w="796"/>
        <w:gridCol w:w="166"/>
        <w:gridCol w:w="146"/>
        <w:gridCol w:w="225"/>
        <w:gridCol w:w="785"/>
        <w:gridCol w:w="176"/>
        <w:gridCol w:w="155"/>
        <w:gridCol w:w="225"/>
        <w:gridCol w:w="785"/>
        <w:gridCol w:w="816"/>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176"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010" w:type="dxa"/>
            <w:gridSpan w:val="2"/>
            <w:tcBorders/>
            <w:shd w:fill="CFF0FC" w:val="clear"/>
            <w:vAlign w:val="center"/>
          </w:tcPr>
          <w:p>
            <w:pPr>
              <w:pStyle w:val="TableContents"/>
              <w:bidi w:val="0"/>
              <w:spacing w:before="0" w:after="283"/>
              <w:jc w:val="right"/>
              <w:rPr/>
            </w:pPr>
            <w:r>
              <w:rPr/>
              <w:t> </w:t>
            </w:r>
          </w:p>
        </w:tc>
        <w:tc>
          <w:tcPr>
            <w:tcW w:w="816" w:type="dxa"/>
            <w:tcBorders/>
            <w:shd w:fill="CFF0FC" w:val="clear"/>
            <w:vAlign w:val="center"/>
          </w:tcPr>
          <w:p>
            <w:pPr>
              <w:pStyle w:val="TableContents"/>
              <w:bidi w:val="0"/>
              <w:spacing w:before="0" w:after="283"/>
              <w:ind w:left="0" w:right="0" w:firstLine="200"/>
              <w:jc w:val="right"/>
              <w:rPr/>
            </w:pPr>
            <w:r>
              <w:rPr/>
              <w:t> </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11,220</w:t>
            </w:r>
          </w:p>
        </w:tc>
        <w:tc>
          <w:tcPr>
            <w:tcW w:w="17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32,018</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26,221</w:t>
            </w:r>
          </w:p>
        </w:tc>
        <w:tc>
          <w:tcPr>
            <w:tcW w:w="816" w:type="dxa"/>
            <w:tcBorders/>
            <w:shd w:fill="FFFFFF" w:val="clear"/>
            <w:vAlign w:val="center"/>
          </w:tcPr>
          <w:p>
            <w:pPr>
              <w:pStyle w:val="TableContents"/>
              <w:bidi w:val="0"/>
              <w:spacing w:before="0" w:after="283"/>
              <w:ind w:left="0" w:right="0" w:firstLine="200"/>
              <w:jc w:val="left"/>
              <w:rPr/>
            </w:pPr>
            <w:r>
              <w:rPr/>
              <w:t> </w:t>
            </w:r>
          </w:p>
        </w:tc>
      </w:tr>
      <w:tr>
        <w:trPr/>
        <w:tc>
          <w:tcPr>
            <w:tcW w:w="4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6,635</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20,647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19,748</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(17,855</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(52,665</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(45,969</w:t>
            </w:r>
          </w:p>
        </w:tc>
        <w:tc>
          <w:tcPr>
            <w:tcW w:w="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1010" w:type="dxa"/>
            <w:gridSpan w:val="2"/>
            <w:tcBorders/>
            <w:shd w:fill="FFFFFF" w:val="clear"/>
            <w:vAlign w:val="center"/>
          </w:tcPr>
          <w:p>
            <w:pPr>
              <w:pStyle w:val="TableContents"/>
              <w:bidi w:val="0"/>
              <w:spacing w:before="0" w:after="283"/>
              <w:jc w:val="right"/>
              <w:rPr/>
            </w:pPr>
            <w:r>
              <w:rPr/>
              <w:t> </w:t>
            </w:r>
          </w:p>
        </w:tc>
        <w:tc>
          <w:tcPr>
            <w:tcW w:w="816" w:type="dxa"/>
            <w:tcBorders/>
            <w:shd w:fill="FFFFFF" w:val="clear"/>
            <w:vAlign w:val="center"/>
          </w:tcPr>
          <w:p>
            <w:pPr>
              <w:pStyle w:val="TableContents"/>
              <w:bidi w:val="0"/>
              <w:spacing w:before="0" w:after="283"/>
              <w:ind w:left="0" w:right="0" w:firstLine="200"/>
              <w:jc w:val="right"/>
              <w:rPr/>
            </w:pPr>
            <w:r>
              <w:rPr/>
              <w:t> </w:t>
            </w:r>
          </w:p>
        </w:tc>
      </w:tr>
      <w:tr>
        <w:trPr/>
        <w:tc>
          <w:tcPr>
            <w:tcW w:w="4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839</w:t>
            </w:r>
          </w:p>
        </w:tc>
        <w:tc>
          <w:tcPr>
            <w:tcW w:w="179"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2,626</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816" w:type="dxa"/>
            <w:tcBorders/>
            <w:shd w:fill="CFF0FC" w:val="clear"/>
            <w:vAlign w:val="center"/>
          </w:tcPr>
          <w:p>
            <w:pPr>
              <w:pStyle w:val="TableContents"/>
              <w:bidi w:val="0"/>
              <w:spacing w:before="0" w:after="283"/>
              <w:ind w:left="0" w:right="0" w:firstLine="200"/>
              <w:jc w:val="left"/>
              <w:rPr/>
            </w:pPr>
            <w:r>
              <w:rPr/>
              <w:t> </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and other, net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(45,891</w:t>
            </w:r>
          </w:p>
        </w:tc>
        <w:tc>
          <w:tcPr>
            <w:tcW w:w="8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(18,332</w:t>
            </w:r>
          </w:p>
        </w:tc>
        <w:tc>
          <w:tcPr>
            <w:tcW w:w="1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(53,828</w:t>
            </w:r>
          </w:p>
        </w:tc>
        <w:tc>
          <w:tcPr>
            <w:tcW w:w="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(46,002</w:t>
            </w:r>
          </w:p>
        </w:tc>
        <w:tc>
          <w:tcPr>
            <w:tcW w:w="8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(9,135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(26,956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(24,200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Rani Therapeutics Holdings, Inc.</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(21,802</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loss per Class A common share attributable to Rani Therapeutics Holdings, Inc., basic and diluted</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Class A common shares outstanding—basic and diluted</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25,552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25,380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23,449</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2962</Words>
  <Characters>16820</Characters>
  <CharactersWithSpaces>19854</CharactersWithSpaces>
  <Paragraphs>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