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645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4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Hashim Mir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RANI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RANI THERAPEUTICS LLC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2051 RINGWOOD AVE.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03/22/2022</w:t>
            </w:r>
          </w:p>
        </w:tc>
        <w:tc>
          <w:tcPr>
            <w:tcW w:w="6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41,200</w:t>
            </w:r>
          </w:p>
        </w:tc>
        <w:tc>
          <w:tcPr>
            <w:tcW w:w="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158,800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03/21/2032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125,400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restricted stock unit grant vest as follows: 25% of the RSUs shall vest yearly over four years from March 22, 2022.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vest as follows: 1/48th of the shares subject to the option vest monthly over four years from March 22, 2022.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Josh Seidenfeld,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03/24/2022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46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Mir Hashim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866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5891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2022-03-24T20:14:23Z</dcterms:created>
  <dcterms:modified xsi:type="dcterms:W3CDTF">2022-03-24T20:14:23Z</dcterms:modified>
</cp:coreProperties>
</file>