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May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86-3114789</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89"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1840"/>
        <w:spacing w:after="0"/>
        <w:rPr>
          <w:sz w:val="20"/>
          <w:szCs w:val="20"/>
          <w:color w:val="auto"/>
        </w:rPr>
      </w:pPr>
      <w:r>
        <w:rPr>
          <w:rFonts w:ascii="Arial" w:cs="Arial" w:eastAsia="Arial" w:hAnsi="Arial"/>
          <w:sz w:val="16"/>
          <w:szCs w:val="16"/>
          <w:b w:val="1"/>
          <w:bCs w:val="1"/>
          <w:color w:val="auto"/>
        </w:rPr>
        <w:t>2051 Ringwood Avenue</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95131</w:t>
      </w:r>
    </w:p>
    <w:p>
      <w:pPr>
        <w:spacing w:after="0" w:line="62" w:lineRule="exact"/>
        <w:rPr>
          <w:sz w:val="24"/>
          <w:szCs w:val="24"/>
          <w:color w:val="auto"/>
        </w:rPr>
      </w:pPr>
    </w:p>
    <w:p>
      <w:pPr>
        <w:sectPr>
          <w:pgSz w:w="11900" w:h="16838" w:orient="portrait"/>
          <w:cols w:equalWidth="0" w:num="2">
            <w:col w:w="7400" w:space="720"/>
            <w:col w:w="2900"/>
          </w:cols>
          <w:pgMar w:left="440" w:top="368" w:right="43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280" w:space="720"/>
            <w:col w:w="302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RANI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ind w:left="88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167640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4" w:right="140"/>
        <w:spacing w:after="0" w:line="296" w:lineRule="auto"/>
        <w:rPr>
          <w:sz w:val="20"/>
          <w:szCs w:val="20"/>
          <w:color w:val="auto"/>
        </w:rPr>
      </w:pPr>
      <w:r>
        <w:rPr>
          <w:rFonts w:ascii="Arial" w:cs="Arial" w:eastAsia="Arial" w:hAnsi="Arial"/>
          <w:sz w:val="16"/>
          <w:szCs w:val="16"/>
          <w:color w:val="auto"/>
        </w:rPr>
        <w:t>On May 25, 2022, Rani Therapeutics Holdings, Inc. (the “Company”) held its annual meeting of stockholders (“Annual Meeting”). As of March 30, 2022, the record date for the Annual Meeting, there were 24,387,030 shares of Class A common stock outstanding and entitled to vote and 24,773,286 shares of Class B common stock outstanding and entitled to vote at the Annual Meeting. Holders of the Company’s Class A common stock are entitled to one vote per share and holders of the Company’s Class B common stock are entitled to ten votes per share. Holders of Class A common stock and Class B common stock voted together as a single class on all matters submitted to a vote of stockholders at the Annual Meeting.</w:t>
      </w:r>
    </w:p>
    <w:p>
      <w:pPr>
        <w:spacing w:after="0" w:line="161"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following is a summary of the matters voted on at the Annual Meeting based on the report of the voting results by the inspector of election. The Company’s Definitive Proxy Statement on Schedule 14A filed with the Securities and Exchange Commission on April 13, 2022 contains a description of the following proposals considered at the Annual Meeting, each of which were approved by the Company’s stockholders at the Annual Meeting as set forth below:</w:t>
      </w:r>
    </w:p>
    <w:p>
      <w:pPr>
        <w:spacing w:after="0" w:line="187" w:lineRule="exact"/>
        <w:rPr>
          <w:sz w:val="20"/>
          <w:szCs w:val="20"/>
          <w:color w:val="auto"/>
        </w:rPr>
      </w:pPr>
    </w:p>
    <w:p>
      <w:pPr>
        <w:ind w:left="4" w:right="680" w:hanging="4"/>
        <w:spacing w:after="0" w:line="277" w:lineRule="auto"/>
        <w:tabs>
          <w:tab w:leader="none" w:pos="18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stockholders elected by a majority of votes cast the director nominees below, to hold office until the 2023 annual meeting of stockholders or until their successors are duly elected and qualified, as follows:</w:t>
      </w:r>
    </w:p>
    <w:p>
      <w:pPr>
        <w:spacing w:after="0" w:line="176"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For</w:t>
            </w: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Withheld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Broker</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Non-Voted</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Talat Imran</w:t>
            </w: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236,209,213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130,136</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2,702,155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Mir Imran</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236,182,478</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156,871</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2,702,155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Dennis Ausiello</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236,209,217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130,132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2,702,155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Lyn Baranowski</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236,321,656</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17,693</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2,702,155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Jean-Luc Butel</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236,208,740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130,609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2,702,155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Laureen DeBuono</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236,209,217</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130,132</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2,702,155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Andrew Farquharson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236,184,417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154,932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2,702,155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Malik Nanavaty</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236,209,217</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130,132</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2,702,155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Lisa Rometty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236,321,656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17,693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2,702,155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hanging="4"/>
        <w:spacing w:after="0" w:line="277" w:lineRule="auto"/>
        <w:tabs>
          <w:tab w:leader="none" w:pos="18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stockholders ratified the appointment of Ernst &amp; Young, LLP as the Company’s independent registered public accounting firm for the fiscal year ending December 31, 2022, as follows:</w:t>
      </w:r>
    </w:p>
    <w:p>
      <w:pPr>
        <w:spacing w:after="0" w:line="212"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239,007,220</w:t>
            </w: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Against:</w:t>
            </w:r>
          </w:p>
        </w:tc>
        <w:tc>
          <w:tcPr>
            <w:tcW w:w="3880" w:type="dxa"/>
            <w:vAlign w:val="bottom"/>
          </w:tcPr>
          <w:p>
            <w:pPr>
              <w:jc w:val="right"/>
              <w:spacing w:after="0"/>
              <w:rPr>
                <w:sz w:val="20"/>
                <w:szCs w:val="20"/>
                <w:color w:val="auto"/>
              </w:rPr>
            </w:pPr>
            <w:r>
              <w:rPr>
                <w:rFonts w:ascii="Arial" w:cs="Arial" w:eastAsia="Arial" w:hAnsi="Arial"/>
                <w:sz w:val="18"/>
                <w:szCs w:val="18"/>
                <w:color w:val="auto"/>
              </w:rPr>
              <w:t>27,533</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Abstain:</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w:t>
            </w:r>
          </w:p>
        </w:tc>
      </w:tr>
    </w:tbl>
    <w:p>
      <w:pPr>
        <w:sectPr>
          <w:pgSz w:w="11900" w:h="16838" w:orient="portrait"/>
          <w:cols w:equalWidth="0" w:num="1">
            <w:col w:w="10984"/>
          </w:cols>
          <w:pgMar w:left="436" w:top="297" w:right="4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Rani Therapeutics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26,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2022-05-26T15:44:28Z</dcterms:created>
  <dcterms:modified xsi:type="dcterms:W3CDTF">2022-05-26T15:44:28Z</dcterms:modified>
</cp:coreProperties>
</file>