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2.03 Creation of Direct Financial Obligations or an Obligation under an Off-Balance Sheet Arrangement of a Registrant.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29, 2022 (the “Borrowing Date”), Rani Therapeutics Holdings, Inc. (“Rani Holdings”) completed a draw down of $15 million under a Loan and Security Agreement and related Supplement dated August 8, 2022 (the “Loan Agreement”), by and among Rani Holdings, Rani Therapeutics, LLC and Rani Management Services, Inc., and Avenue Venture Opportunities Fund, L.P., a Delaware limited partnership. The Loan Agreement provides for term loans (the “Loans”) in an aggregate principal amount up to $45 million. A Loan of $30 million was committed on August 8, 2022 (the “Closing Date”), with $15 million funded on the Closing Date and $15 million available to be drawn between October 1, 2022 and December 31, 2022 (the “Second Draw”). The draw down on the Borrowing Date was the Second Draw.</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description of the Loan Agreement contained herein does not purport to be complete and is qualified in its entirety by reference to the complete text of the Loan Agreement, a copy of which was filed as Exhibits 10.1 and 10.2 to the Company’s Quarterly Report on Form 10-Q for the quarter ending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2022-12-30T10:59:22Z</dcterms:created>
  <dcterms:modified xsi:type="dcterms:W3CDTF">2022-12-30T10:59:22Z</dcterms:modified>
</cp:coreProperties>
</file>