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Ausiello Dennis 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58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r>
      <w:tr>
        <w:trPr>
          <w:trHeight w:val="25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95131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Rani Therapeutics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RANI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05/29/2024</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05/28/2034</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Company's 2021 Equity Incentive Plan).</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Svai Sanford. Attorney-in-Fact  </w:t>
      </w:r>
      <w:r>
        <w:rPr>
          <w:rFonts w:ascii="Times New Roman" w:cs="Times New Roman" w:eastAsia="Times New Roman" w:hAnsi="Times New Roman"/>
          <w:sz w:val="32"/>
          <w:szCs w:val="32"/>
          <w:color w:val="0000FF"/>
          <w:vertAlign w:val="subscript"/>
        </w:rPr>
        <w:t>05/30/2024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Dennis A Ausiello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42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1994"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2024-05-30T15:31:01Z</dcterms:created>
  <dcterms:modified xsi:type="dcterms:W3CDTF">2024-05-30T15:31:01Z</dcterms:modified>
</cp:coreProperties>
</file>