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20" w:type="dxa"/>
            <w:vAlign w:val="bottom"/>
            <w:gridSpan w:val="3"/>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Javadi Alireza</w:t>
              </w:r>
            </w:hyperlink>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Rani Therapeutics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RANI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C/O RANI THERAPEUTICS LLC</w:t>
            </w:r>
          </w:p>
        </w:tc>
        <w:tc>
          <w:tcPr>
            <w:tcW w:w="1220" w:type="dxa"/>
            <w:vAlign w:val="bottom"/>
          </w:tcPr>
          <w:p>
            <w:pPr>
              <w:spacing w:after="0"/>
              <w:rPr>
                <w:sz w:val="18"/>
                <w:szCs w:val="18"/>
                <w:color w:val="auto"/>
              </w:rPr>
            </w:pPr>
          </w:p>
        </w:tc>
        <w:tc>
          <w:tcPr>
            <w:tcW w:w="284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06/03/2026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2051 RINGWOOD AVE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0"/>
          <w:szCs w:val="20"/>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Technical Officer</w:t>
      </w:r>
    </w:p>
    <w:p>
      <w:pPr>
        <w:spacing w:after="0" w:line="385"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95131</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805,500</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0.875</w:t>
            </w:r>
          </w:p>
        </w:tc>
        <w:tc>
          <w:tcPr>
            <w:tcW w:w="140" w:type="dxa"/>
            <w:vAlign w:val="bottom"/>
          </w:tcPr>
          <w:p>
            <w:pPr>
              <w:spacing w:after="0"/>
              <w:rPr>
                <w:sz w:val="6"/>
                <w:szCs w:val="6"/>
                <w:color w:val="auto"/>
              </w:rPr>
            </w:pPr>
          </w:p>
        </w:tc>
        <w:tc>
          <w:tcPr>
            <w:tcW w:w="1060" w:type="dxa"/>
            <w:vAlign w:val="bottom"/>
            <w:vMerge w:val="restart"/>
          </w:tcPr>
          <w:p>
            <w:pPr>
              <w:ind w:left="240"/>
              <w:spacing w:after="0" w:line="140" w:lineRule="exact"/>
              <w:rPr>
                <w:sz w:val="20"/>
                <w:szCs w:val="20"/>
                <w:color w:val="auto"/>
              </w:rPr>
            </w:pPr>
            <w:r>
              <w:rPr>
                <w:rFonts w:ascii="Times New Roman" w:cs="Times New Roman" w:eastAsia="Times New Roman" w:hAnsi="Times New Roman"/>
                <w:sz w:val="13"/>
                <w:szCs w:val="13"/>
                <w:color w:val="0000FF"/>
              </w:rPr>
              <w:t>06/03/2026</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ind w:left="100"/>
              <w:spacing w:after="0" w:line="140" w:lineRule="exact"/>
              <w:rPr>
                <w:sz w:val="20"/>
                <w:szCs w:val="20"/>
                <w:color w:val="auto"/>
              </w:rPr>
            </w:pPr>
            <w:r>
              <w:rPr>
                <w:rFonts w:ascii="Times New Roman" w:cs="Times New Roman" w:eastAsia="Times New Roman" w:hAnsi="Times New Roman"/>
                <w:sz w:val="13"/>
                <w:szCs w:val="13"/>
                <w:color w:val="0000FF"/>
              </w:rPr>
              <w:t>805,500</w:t>
            </w: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restart"/>
          </w:tcPr>
          <w:p>
            <w:pPr>
              <w:ind w:left="40"/>
              <w:spacing w:after="0" w:line="140" w:lineRule="exact"/>
              <w:rPr>
                <w:sz w:val="20"/>
                <w:szCs w:val="20"/>
                <w:color w:val="auto"/>
              </w:rPr>
            </w:pPr>
            <w:r>
              <w:rPr>
                <w:rFonts w:ascii="Times New Roman" w:cs="Times New Roman" w:eastAsia="Times New Roman" w:hAnsi="Times New Roman"/>
                <w:sz w:val="13"/>
                <w:szCs w:val="13"/>
                <w:color w:val="0000FF"/>
              </w:rPr>
              <w:t>06/02/2036</w:t>
            </w:r>
          </w:p>
        </w:tc>
        <w:tc>
          <w:tcPr>
            <w:tcW w:w="66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20"/>
              <w:spacing w:after="0" w:line="140" w:lineRule="exact"/>
              <w:rPr>
                <w:sz w:val="20"/>
                <w:szCs w:val="20"/>
                <w:color w:val="auto"/>
              </w:rPr>
            </w:pPr>
            <w:r>
              <w:rPr>
                <w:rFonts w:ascii="Times New Roman" w:cs="Times New Roman" w:eastAsia="Times New Roman" w:hAnsi="Times New Roman"/>
                <w:sz w:val="13"/>
                <w:szCs w:val="13"/>
                <w:color w:val="0000FF"/>
              </w:rPr>
              <w:t>805,500</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-1829435</wp:posOffset>
            </wp:positionV>
            <wp:extent cx="28575" cy="1834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345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as follows: 1/48th of the shares subject to the option vest monthly over four years from April 1, 2026, subject to the Reporting Person's Continuous Service (as defined in the Company's 2021 Equity Incentive Plan) through each such vesting date.</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Svai Sanford, Attorney-in-</w:t>
            </w:r>
          </w:p>
        </w:tc>
        <w:tc>
          <w:tcPr>
            <w:tcW w:w="2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06/05/2026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3843" TargetMode="External"/><Relationship Id="rId14"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2026-06-05T17:18:26Z</dcterms:created>
  <dcterms:modified xsi:type="dcterms:W3CDTF">2026-06-05T17:18:26Z</dcterms:modified>
</cp:coreProperties>
</file>