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333-266444</w:t>
      </w:r>
    </w:p>
    <w:p>
      <w:pPr>
        <w:spacing w:after="0" w:line="139" w:lineRule="exact"/>
        <w:rPr>
          <w:sz w:val="24"/>
          <w:szCs w:val="24"/>
          <w:color w:val="auto"/>
        </w:rPr>
      </w:pPr>
    </w:p>
    <w:p>
      <w:pPr>
        <w:ind w:left="120" w:right="60"/>
        <w:spacing w:after="0" w:line="281" w:lineRule="auto"/>
        <w:rPr>
          <w:sz w:val="20"/>
          <w:szCs w:val="20"/>
          <w:color w:val="auto"/>
        </w:rPr>
      </w:pPr>
      <w:r>
        <w:rPr>
          <w:rFonts w:ascii="Arial" w:cs="Arial" w:eastAsia="Arial" w:hAnsi="Arial"/>
          <w:sz w:val="17"/>
          <w:szCs w:val="17"/>
          <w:b w:val="1"/>
          <w:bCs w:val="1"/>
          <w:color w:val="FF4338"/>
        </w:rPr>
        <w:t>The information in this preliminary prospectus supplement is not complete and may be changed. A registration statement relating to the securities offered hereby has been declared effective by the Securities and Exchange Commission under the Securities Act of 1933, as amended. This preliminary prospectus supplement and the accompanying prospectus are not an offer to sell these securities, and we are not soliciting an offer to buy these securities in any jurisdiction where the offer or sale is not permitted.</w:t>
      </w:r>
    </w:p>
    <w:p>
      <w:pPr>
        <w:spacing w:after="0" w:line="9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FF4338"/>
        </w:rPr>
        <w:t>SUBJECT TO COMPLETION, AUGUST 10, 2022</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10, 2022)</w:t>
      </w:r>
    </w:p>
    <w:p>
      <w:pPr>
        <w:spacing w:after="0" w:line="184" w:lineRule="exact"/>
        <w:rPr>
          <w:sz w:val="24"/>
          <w:szCs w:val="24"/>
          <w:color w:val="auto"/>
        </w:rPr>
      </w:pPr>
    </w:p>
    <w:p>
      <w:pPr>
        <w:ind w:left="58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178435</wp:posOffset>
            </wp:positionV>
            <wp:extent cx="2211705" cy="1165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560"/>
        <w:spacing w:after="0"/>
        <w:tabs>
          <w:tab w:leader="none" w:pos="24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6"/>
          <w:szCs w:val="16"/>
          <w:color w:val="auto"/>
        </w:rPr>
        <w:t>shares of our Class A common stock.</w:t>
      </w:r>
    </w:p>
    <w:p>
      <w:pPr>
        <w:spacing w:after="0" w:line="225" w:lineRule="exact"/>
        <w:rPr>
          <w:sz w:val="24"/>
          <w:szCs w:val="24"/>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Class A common stock is listed on the Nasdaq Global Market under the symbol “RANI.” On August 10, 2022, the last sale price of our Class A common stock on the Nasdaq Global Market was $11.10 per share.</w:t>
      </w:r>
    </w:p>
    <w:p>
      <w:pPr>
        <w:spacing w:after="0" w:line="166" w:lineRule="exact"/>
        <w:rPr>
          <w:sz w:val="24"/>
          <w:szCs w:val="24"/>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the U.S. federal securities laws and, as such, may elect to comply with certain reduced public company reporting requirements for this and future filings. See “Prospectus Supplement Summary—Implications of Being an Emerging Growth Company.”</w:t>
      </w:r>
    </w:p>
    <w:p>
      <w:pPr>
        <w:spacing w:after="0" w:line="167" w:lineRule="exact"/>
        <w:rPr>
          <w:sz w:val="24"/>
          <w:szCs w:val="24"/>
          <w:color w:val="auto"/>
        </w:rPr>
      </w:pPr>
    </w:p>
    <w:p>
      <w:pPr>
        <w:ind w:left="120" w:right="940" w:firstLine="440"/>
        <w:spacing w:after="0" w:line="334" w:lineRule="auto"/>
        <w:rPr>
          <w:sz w:val="20"/>
          <w:szCs w:val="20"/>
          <w:color w:val="auto"/>
        </w:rPr>
      </w:pPr>
      <w:r>
        <w:rPr>
          <w:rFonts w:ascii="Arial" w:cs="Arial" w:eastAsia="Arial" w:hAnsi="Arial"/>
          <w:sz w:val="19"/>
          <w:szCs w:val="19"/>
          <w:b w:val="1"/>
          <w:bCs w:val="1"/>
          <w:color w:val="auto"/>
        </w:rPr>
        <w:t>Investing in our Class A common stock involves risks. See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on page S-10 of this prospectus supplement and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Per</w:t>
            </w:r>
          </w:p>
        </w:tc>
        <w:tc>
          <w:tcPr>
            <w:tcW w:w="480" w:type="dxa"/>
            <w:vAlign w:val="bottom"/>
          </w:tcPr>
          <w:p>
            <w:pPr>
              <w:spacing w:after="0"/>
              <w:rPr>
                <w:sz w:val="14"/>
                <w:szCs w:val="1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w:t>
            </w:r>
          </w:p>
        </w:tc>
        <w:tc>
          <w:tcPr>
            <w:tcW w:w="4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23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compensation.</w:t>
      </w:r>
    </w:p>
    <w:p>
      <w:pPr>
        <w:spacing w:after="0" w:line="225" w:lineRule="exact"/>
        <w:rPr>
          <w:sz w:val="24"/>
          <w:szCs w:val="24"/>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underwriters may also exercise their option to purchase up to an additional shares of Class A common stock from us, at the public offering price, less the underwriting discount, for 30 days after the date of this prospectus supplement.</w:t>
      </w:r>
    </w:p>
    <w:p>
      <w:pPr>
        <w:spacing w:after="0" w:line="166" w:lineRule="exact"/>
        <w:rPr>
          <w:sz w:val="24"/>
          <w:szCs w:val="24"/>
          <w:color w:val="auto"/>
        </w:rPr>
      </w:pPr>
    </w:p>
    <w:p>
      <w:pPr>
        <w:jc w:val="both"/>
        <w:ind w:left="120" w:right="16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80"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of Class A common stock to purchasers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20" w:type="dxa"/>
        <w:tblCellMar>
          <w:top w:w="0" w:type="dxa"/>
          <w:left w:w="0" w:type="dxa"/>
          <w:bottom w:w="0" w:type="dxa"/>
          <w:right w:w="0" w:type="dxa"/>
        </w:tblCellMar>
      </w:tblPr>
      <w:tr>
        <w:trPr>
          <w:trHeight w:val="328"/>
        </w:trPr>
        <w:tc>
          <w:tcPr>
            <w:tcW w:w="2560" w:type="dxa"/>
            <w:vAlign w:val="bottom"/>
          </w:tcPr>
          <w:p>
            <w:pPr>
              <w:spacing w:after="0"/>
              <w:rPr>
                <w:sz w:val="20"/>
                <w:szCs w:val="20"/>
                <w:color w:val="auto"/>
              </w:rPr>
            </w:pPr>
            <w:r>
              <w:rPr>
                <w:rFonts w:ascii="Arial" w:cs="Arial" w:eastAsia="Arial" w:hAnsi="Arial"/>
                <w:sz w:val="25"/>
                <w:szCs w:val="25"/>
                <w:b w:val="1"/>
                <w:bCs w:val="1"/>
                <w:color w:val="auto"/>
              </w:rPr>
              <w:t>BofA Securities</w:t>
            </w:r>
          </w:p>
        </w:tc>
        <w:tc>
          <w:tcPr>
            <w:tcW w:w="1780" w:type="dxa"/>
            <w:vAlign w:val="bottom"/>
          </w:tcPr>
          <w:p>
            <w:pPr>
              <w:spacing w:after="0"/>
              <w:rPr>
                <w:sz w:val="24"/>
                <w:szCs w:val="24"/>
                <w:color w:val="auto"/>
              </w:rPr>
            </w:pPr>
          </w:p>
        </w:tc>
        <w:tc>
          <w:tcPr>
            <w:tcW w:w="2320" w:type="dxa"/>
            <w:vAlign w:val="bottom"/>
          </w:tcPr>
          <w:p>
            <w:pPr>
              <w:ind w:left="840"/>
              <w:spacing w:after="0"/>
              <w:rPr>
                <w:sz w:val="20"/>
                <w:szCs w:val="20"/>
                <w:color w:val="auto"/>
              </w:rPr>
            </w:pPr>
            <w:r>
              <w:rPr>
                <w:rFonts w:ascii="Arial" w:cs="Arial" w:eastAsia="Arial" w:hAnsi="Arial"/>
                <w:sz w:val="25"/>
                <w:szCs w:val="25"/>
                <w:b w:val="1"/>
                <w:bCs w:val="1"/>
                <w:color w:val="auto"/>
              </w:rPr>
              <w:t>Cantor</w:t>
            </w:r>
          </w:p>
        </w:tc>
        <w:tc>
          <w:tcPr>
            <w:tcW w:w="4360" w:type="dxa"/>
            <w:vAlign w:val="bottom"/>
          </w:tcPr>
          <w:p>
            <w:pPr>
              <w:jc w:val="right"/>
              <w:spacing w:after="0"/>
              <w:rPr>
                <w:sz w:val="20"/>
                <w:szCs w:val="20"/>
                <w:color w:val="auto"/>
              </w:rPr>
            </w:pPr>
            <w:r>
              <w:rPr>
                <w:rFonts w:ascii="Arial" w:cs="Arial" w:eastAsia="Arial" w:hAnsi="Arial"/>
                <w:sz w:val="25"/>
                <w:szCs w:val="25"/>
                <w:b w:val="1"/>
                <w:bCs w:val="1"/>
                <w:color w:val="auto"/>
              </w:rPr>
              <w:t>UBS Investment Bank</w:t>
            </w:r>
          </w:p>
        </w:tc>
      </w:tr>
      <w:tr>
        <w:trPr>
          <w:trHeight w:val="405"/>
        </w:trPr>
        <w:tc>
          <w:tcPr>
            <w:tcW w:w="2560" w:type="dxa"/>
            <w:vAlign w:val="bottom"/>
          </w:tcPr>
          <w:p>
            <w:pPr>
              <w:spacing w:after="0"/>
              <w:rPr>
                <w:sz w:val="20"/>
                <w:szCs w:val="20"/>
                <w:color w:val="auto"/>
              </w:rPr>
            </w:pPr>
            <w:r>
              <w:rPr>
                <w:rFonts w:ascii="Arial" w:cs="Arial" w:eastAsia="Arial" w:hAnsi="Arial"/>
                <w:sz w:val="25"/>
                <w:szCs w:val="25"/>
                <w:b w:val="1"/>
                <w:bCs w:val="1"/>
                <w:color w:val="auto"/>
              </w:rPr>
              <w:t>BTIG</w:t>
            </w:r>
          </w:p>
        </w:tc>
        <w:tc>
          <w:tcPr>
            <w:tcW w:w="1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25"/>
                <w:szCs w:val="25"/>
                <w:b w:val="1"/>
                <w:bCs w:val="1"/>
                <w:color w:val="auto"/>
              </w:rPr>
              <w:t>H.C. Wainwright &amp; Co.</w:t>
            </w:r>
          </w:p>
        </w:tc>
      </w:tr>
      <w:tr>
        <w:trPr>
          <w:trHeight w:val="342"/>
        </w:trPr>
        <w:tc>
          <w:tcPr>
            <w:tcW w:w="2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2560" w:type="dxa"/>
            <w:vAlign w:val="bottom"/>
          </w:tcPr>
          <w:p>
            <w:pPr>
              <w:spacing w:after="0"/>
              <w:rPr>
                <w:sz w:val="24"/>
                <w:szCs w:val="24"/>
                <w:color w:val="auto"/>
              </w:rPr>
            </w:pPr>
          </w:p>
        </w:tc>
        <w:tc>
          <w:tcPr>
            <w:tcW w:w="4100" w:type="dxa"/>
            <w:vAlign w:val="bottom"/>
            <w:gridSpan w:val="2"/>
          </w:tcPr>
          <w:p>
            <w:pPr>
              <w:ind w:left="920"/>
              <w:spacing w:after="0"/>
              <w:rPr>
                <w:sz w:val="20"/>
                <w:szCs w:val="20"/>
                <w:color w:val="auto"/>
              </w:rPr>
            </w:pPr>
            <w:r>
              <w:rPr>
                <w:rFonts w:ascii="Arial" w:cs="Arial" w:eastAsia="Arial" w:hAnsi="Arial"/>
                <w:sz w:val="18"/>
                <w:szCs w:val="18"/>
                <w:color w:val="auto"/>
                <w:w w:val="94"/>
              </w:rPr>
              <w:t>The date of this prospectus supplement is</w:t>
            </w:r>
          </w:p>
        </w:tc>
        <w:tc>
          <w:tcPr>
            <w:tcW w:w="4360" w:type="dxa"/>
            <w:vAlign w:val="bottom"/>
          </w:tcPr>
          <w:p>
            <w:pPr>
              <w:jc w:val="right"/>
              <w:ind w:right="3366"/>
              <w:spacing w:after="0"/>
              <w:rPr>
                <w:sz w:val="20"/>
                <w:szCs w:val="20"/>
                <w:color w:val="auto"/>
              </w:rPr>
            </w:pPr>
            <w:r>
              <w:rPr>
                <w:rFonts w:ascii="Arial" w:cs="Arial" w:eastAsia="Arial" w:hAnsi="Arial"/>
                <w:sz w:val="18"/>
                <w:szCs w:val="18"/>
                <w:color w:val="auto"/>
              </w:rPr>
              <w:t>, 2022.</w:t>
            </w:r>
          </w:p>
        </w:tc>
      </w:tr>
    </w:tbl>
    <w:p>
      <w:pPr>
        <w:sectPr>
          <w:pgSz w:w="11900" w:h="16838" w:orient="portrait"/>
          <w:cols w:equalWidth="0" w:num="1">
            <w:col w:w="11140"/>
          </w:cols>
          <w:pgMar w:left="320" w:top="230" w:right="439" w:bottom="757"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9"/>
            <w:vMerge w:val="restart"/>
          </w:tcPr>
          <w:p>
            <w:pPr>
              <w:spacing w:after="0"/>
              <w:rPr>
                <w:sz w:val="20"/>
                <w:szCs w:val="20"/>
                <w:color w:val="auto"/>
              </w:rPr>
            </w:pPr>
            <w:r>
              <w:rPr>
                <w:rFonts w:ascii="Arial" w:cs="Arial" w:eastAsia="Arial" w:hAnsi="Arial"/>
                <w:sz w:val="18"/>
                <w:szCs w:val="18"/>
                <w:color w:val="0000EE"/>
              </w:rPr>
              <w:t>PROSPECTUS SUPPLEMENT SUMMARY</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19"/>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RISK FACTORS</w:t>
            </w:r>
          </w:p>
        </w:tc>
        <w:tc>
          <w:tcPr>
            <w:tcW w:w="7280" w:type="dxa"/>
            <w:vAlign w:val="bottom"/>
            <w:gridSpan w:val="5"/>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1"/>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9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DILUTION</w:t>
            </w:r>
          </w:p>
        </w:tc>
        <w:tc>
          <w:tcPr>
            <w:tcW w:w="970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5"/>
              </w:rPr>
              <w:t>MATERIAL U.S. FEDERAL INCOME TAX CONSEQUENCES TO NON-U.S. HOLDERS</w:t>
            </w:r>
          </w:p>
        </w:tc>
        <w:tc>
          <w:tcPr>
            <w:tcW w:w="38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91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gridSpan w:val="4"/>
          </w:tcPr>
          <w:p>
            <w:pPr>
              <w:ind w:left="110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19"/>
          </w:tcPr>
          <w:p>
            <w:pPr>
              <w:spacing w:after="0"/>
              <w:rPr>
                <w:sz w:val="20"/>
                <w:szCs w:val="20"/>
                <w:color w:val="auto"/>
              </w:rPr>
            </w:pPr>
            <w:r>
              <w:rPr>
                <w:rFonts w:ascii="Arial" w:cs="Arial" w:eastAsia="Arial" w:hAnsi="Arial"/>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PROSPECTUS SUMMARY</w:t>
            </w:r>
          </w:p>
        </w:tc>
        <w:tc>
          <w:tcPr>
            <w:tcW w:w="834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848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1"/>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80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LEGAL OWNERSHIP OF SECURITIES</w:t>
            </w:r>
          </w:p>
        </w:tc>
        <w:tc>
          <w:tcPr>
            <w:tcW w:w="754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 this prospectus supplement, the accompanying prospectus and in any free writing prospectus that we have authorized for use in connection with this offering. We have not, and the underwriters have not, authorized anyone to provide you with information that is different. We and the underwriters are offering to sell shares of Class A common stock and seeking offers to buy shares of Class A common stock only in jurisdictions where offers and sales are permitted.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date of those respective documents, regardless of the time of delivery of those respective documents or sale of our Class A common stock.</w:t>
      </w:r>
    </w:p>
    <w:p>
      <w:pPr>
        <w:spacing w:after="0" w:line="172"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b w:val="1"/>
          <w:bCs w:val="1"/>
          <w:color w:val="auto"/>
        </w:rPr>
        <w:t>For investors outside the United States: we have not, and the underwriters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Class A common stock and the distribution of this prospectus supplement, the accompanying prospectus and any free writing prospectus that we have authorized for use in connection with this offering outside the United States.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Class A common stock. Therefore, you should read the entire prospectus supplement and the accompanying prospectus carefully (including the documents incorporated by reference herein and therein), especially the “Risk Factors” section on page S-10 and in the documents incorporated by reference and our consolidated and condensed financial statements and the related notes incorporated by reference in this prospectus supplement and the accompanying prospectus, before deciding to invest in our Class A common stock. Unless the context otherwise requires, we use the terms “Rani,” “Company,” “we,” “us” and “our” in this prospectus supplement and the accompanying prospectus to refer to Rani Therapeutics Holdings, Inc., or Rani Holdings, together with its subsidiaries, Rani Therapeutics, LLC, or Rani LLC, and Rani Management Services, Inc., or RMS.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8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are developing and clinically testing a drug-agnostic oral delivery platform, the RaniPill capsule, which is designed to deliver a wide variety of drug substances,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 Together, we believe that the current RaniPill capsule and RaniPill HC could enable us to deliver most biologics currently on the market via a convenient, oral daily dose.</w:t>
      </w:r>
    </w:p>
    <w:p>
      <w:pPr>
        <w:spacing w:after="0" w:line="17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or IPO, private placements of preferred units, issuance of convertible promissory notes, and contract revenue generated from our evaluation agreements.</w:t>
      </w:r>
    </w:p>
    <w:p>
      <w:pPr>
        <w:spacing w:after="0" w:line="18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3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80"/>
          </w:cols>
          <w:pgMar w:left="320" w:top="459" w:right="6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Clinical Update</w:t>
      </w:r>
    </w:p>
    <w:p>
      <w:pPr>
        <w:spacing w:after="0" w:line="117" w:lineRule="exact"/>
        <w:rPr>
          <w:sz w:val="20"/>
          <w:szCs w:val="20"/>
          <w:color w:val="auto"/>
        </w:rPr>
      </w:pPr>
    </w:p>
    <w:p>
      <w:pPr>
        <w:jc w:val="both"/>
        <w:ind w:left="300" w:right="100" w:firstLine="426"/>
        <w:spacing w:after="0" w:line="301" w:lineRule="auto"/>
        <w:rPr>
          <w:sz w:val="20"/>
          <w:szCs w:val="20"/>
          <w:color w:val="auto"/>
        </w:rPr>
      </w:pPr>
      <w:r>
        <w:rPr>
          <w:rFonts w:ascii="Arial" w:cs="Arial" w:eastAsia="Arial" w:hAnsi="Arial"/>
          <w:sz w:val="16"/>
          <w:szCs w:val="16"/>
          <w:color w:val="auto"/>
        </w:rPr>
        <w:t>We completed the single-ascending dose portion (part 1) of our Phase 1 clinical study of RT-102, a RaniPill capsule containing a proprietary formulation of human parathyroid hormone, or PTH, analog PTH (1-34) for the potential treatment of osteoporosis, or the Study Part 1. The Study Part 1 achieved all of its endpoints, with RT-102 being generally well-tolerated and demonstrating high oral bioavailability of our PTH analog. We have also initiated part two of the clinical study which will involve seven-day repeat dosing of RT-102 in healthy volunteers.</w:t>
      </w:r>
    </w:p>
    <w:p>
      <w:pPr>
        <w:spacing w:after="0" w:line="157"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The single-center, open label, Study Part 1 of RT-102 was conducted in Australia, and evaluated the safety, tolerability, and pharmacokinetics, or PK, of RT-102 in healthy adult female volunteers. Of the 39 participants, 15 were administered RT-102 containing a single 20mg dose of PTH and 14 were administered RT-102 containing a single 80mg dose of PTH, while a control group of ten participants received a single 20mg subcutaneous, or SC, injection of Forteo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(teriparatide), a commercial formulation of PTH for SC administration.</w:t>
      </w:r>
    </w:p>
    <w:p>
      <w:pPr>
        <w:spacing w:after="0" w:line="39"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The endpoints of the Study Part 1 were safety and tolerability, and measurements of serum concentrations of RT-102 in healthy adult female volunteers.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Phase 1 Topline Results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Safety Data</w:t>
      </w:r>
    </w:p>
    <w:p>
      <w:pPr>
        <w:spacing w:after="0" w:line="131" w:lineRule="exact"/>
        <w:rPr>
          <w:sz w:val="20"/>
          <w:szCs w:val="20"/>
          <w:color w:val="auto"/>
        </w:rPr>
      </w:pPr>
    </w:p>
    <w:p>
      <w:pPr>
        <w:ind w:left="1240" w:right="1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RT-102 was generally well-tolerated, with no RaniPill-related adverse events, or AEs, observed in study participants who completed the study:</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0% (0/15) of participants dosed with RT-102 20mg experienced drug-related AEs.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14% (2/14) of participants dosed with of RT-102 80mg experienced drug-related AEs.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50% (5/10) of participants dosed with 20mg of Forteo SC experienced drug-related AEs.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There were no serious adverse events, or SAEs, noted during Study Part 1.</w:t>
      </w:r>
    </w:p>
    <w:p>
      <w:pPr>
        <w:spacing w:after="0" w:line="225"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Per protocol, in instances where the RaniPill capsule did not exit the stomach within seven hours, participants were excluded from the study. Based on the exclusion criteria, three participants were excluded from Study Part 1, one of whom experienced bloating, and one additional subject was excluded due to vomiting the capsule intact. The two events were assessed as probably related and possibly related to the RaniPill, respectively. In all instances, the capsule remnants passed from all participants who ingested the RaniPill capsule.</w:t>
      </w:r>
    </w:p>
    <w:p>
      <w:pPr>
        <w:spacing w:after="0" w:line="171" w:lineRule="exact"/>
        <w:rPr>
          <w:sz w:val="20"/>
          <w:szCs w:val="20"/>
          <w:color w:val="auto"/>
        </w:rPr>
      </w:pPr>
    </w:p>
    <w:p>
      <w:pPr>
        <w:ind w:left="300" w:right="20" w:firstLine="426"/>
        <w:spacing w:after="0" w:line="342" w:lineRule="auto"/>
        <w:rPr>
          <w:sz w:val="20"/>
          <w:szCs w:val="20"/>
          <w:color w:val="auto"/>
        </w:rPr>
      </w:pPr>
      <w:r>
        <w:rPr>
          <w:rFonts w:ascii="Arial" w:cs="Arial" w:eastAsia="Arial" w:hAnsi="Arial"/>
          <w:sz w:val="16"/>
          <w:szCs w:val="16"/>
          <w:color w:val="auto"/>
        </w:rPr>
        <w:t>Across our two clinical studies of the RaniPill platform (Phase 1 clinical study of RT-101, a RaniPill capsule containing octreotide, and Study Part 1 of RT-102), 81 subjects received the RaniPill capsule and no RaniPill-related AEs were observed in participants included in the studies.</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Pharmacokinetics</w:t>
      </w:r>
    </w:p>
    <w:p>
      <w:pPr>
        <w:spacing w:after="0" w:line="131" w:lineRule="exact"/>
        <w:rPr>
          <w:sz w:val="20"/>
          <w:szCs w:val="20"/>
          <w:color w:val="auto"/>
        </w:rPr>
      </w:pPr>
    </w:p>
    <w:p>
      <w:pPr>
        <w:ind w:left="5500" w:right="360" w:hanging="4675"/>
        <w:spacing w:after="0" w:line="653" w:lineRule="auto"/>
        <w:tabs>
          <w:tab w:leader="none" w:pos="12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Oral RT-102 (20mg and 80mg) delivered PTH with 300%-400% greater bioavailability than PTH delivered by Forteo SC (20mg). S-2</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RT-102 20mg delivered PTH with lower, more sustained peak serum levels and higher area under the curve, or AUC, than Forteo SC 20mg.</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Forteo SC 20</w:t>
            </w:r>
            <w:r>
              <w:rPr>
                <w:rFonts w:ascii="Arial" w:cs="Arial" w:eastAsia="Arial" w:hAnsi="Arial"/>
                <w:sz w:val="14"/>
                <w:szCs w:val="14"/>
                <w:color w:val="auto"/>
                <w:w w:val="93"/>
              </w:rPr>
              <w:t>m</w:t>
            </w:r>
            <w:r>
              <w:rPr>
                <w:rFonts w:ascii="Arial" w:cs="Arial" w:eastAsia="Arial" w:hAnsi="Arial"/>
                <w:sz w:val="14"/>
                <w:szCs w:val="14"/>
                <w:b w:val="1"/>
                <w:bCs w:val="1"/>
                <w:color w:val="auto"/>
                <w:w w:val="93"/>
              </w:rPr>
              <w:t>g</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RT-102 20</w:t>
            </w:r>
            <w:r>
              <w:rPr>
                <w:rFonts w:ascii="Arial" w:cs="Arial" w:eastAsia="Arial" w:hAnsi="Arial"/>
                <w:sz w:val="14"/>
                <w:szCs w:val="14"/>
                <w:color w:val="auto"/>
              </w:rPr>
              <w:t>m</w:t>
            </w:r>
            <w:r>
              <w:rPr>
                <w:rFonts w:ascii="Arial" w:cs="Arial" w:eastAsia="Arial" w:hAnsi="Arial"/>
                <w:sz w:val="14"/>
                <w:szCs w:val="14"/>
                <w:b w:val="1"/>
                <w:bCs w:val="1"/>
                <w:color w:val="auto"/>
              </w:rPr>
              <w:t>g</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4"/>
              </w:rPr>
              <w:t>RT-102 80</w:t>
            </w:r>
            <w:r>
              <w:rPr>
                <w:rFonts w:ascii="Arial" w:cs="Arial" w:eastAsia="Arial" w:hAnsi="Arial"/>
                <w:sz w:val="14"/>
                <w:szCs w:val="14"/>
                <w:color w:val="auto"/>
                <w:w w:val="94"/>
              </w:rPr>
              <w:t>m</w:t>
            </w:r>
            <w:r>
              <w:rPr>
                <w:rFonts w:ascii="Arial" w:cs="Arial" w:eastAsia="Arial" w:hAnsi="Arial"/>
                <w:sz w:val="14"/>
                <w:szCs w:val="14"/>
                <w:b w:val="1"/>
                <w:bCs w:val="1"/>
                <w:color w:val="auto"/>
                <w:w w:val="94"/>
              </w:rPr>
              <w:t>g</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Cmax (pg/mL)</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128 ± 20</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98 ± 10</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971 ± 223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Tmax (hr)</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0.217</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1.13</w:t>
            </w:r>
          </w:p>
        </w:tc>
        <w:tc>
          <w:tcPr>
            <w:tcW w:w="4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0.994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AUC (h*pg/mL)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126 ± 64</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 ± 36</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2600 ± 649</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Relative BA (5)</w:t>
            </w: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4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~400%</w:t>
            </w:r>
          </w:p>
        </w:tc>
      </w:tr>
    </w:tbl>
    <w:p>
      <w:pPr>
        <w:spacing w:after="0" w:line="93" w:lineRule="exact"/>
        <w:rPr>
          <w:sz w:val="20"/>
          <w:szCs w:val="20"/>
          <w:color w:val="auto"/>
        </w:rPr>
      </w:pPr>
    </w:p>
    <w:p>
      <w:pPr>
        <w:ind w:left="1240" w:hanging="415"/>
        <w:spacing w:after="0" w:line="211"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the Study Part 1 did not include a head-to-head comparison with abaloparatide (Tymlos</w:t>
      </w:r>
      <w:r>
        <w:rPr>
          <w:rFonts w:ascii="Arial" w:cs="Arial" w:eastAsia="Arial" w:hAnsi="Arial"/>
          <w:sz w:val="26"/>
          <w:szCs w:val="26"/>
          <w:color w:val="auto"/>
          <w:vertAlign w:val="superscript"/>
        </w:rPr>
        <w:t>®</w:t>
      </w:r>
      <w:r>
        <w:rPr>
          <w:rFonts w:ascii="Arial" w:cs="Arial" w:eastAsia="Arial" w:hAnsi="Arial"/>
          <w:sz w:val="18"/>
          <w:szCs w:val="18"/>
          <w:color w:val="auto"/>
        </w:rPr>
        <w:t>), RT-102 80mg demonstrated a PK profile similar to abaloparatide at 80mg as reported in the package insert for Tymlos. Specifically:</w:t>
      </w:r>
    </w:p>
    <w:p>
      <w:pPr>
        <w:spacing w:after="0" w:line="108" w:lineRule="exact"/>
        <w:rPr>
          <w:rFonts w:ascii="Arial" w:cs="Arial" w:eastAsia="Arial" w:hAnsi="Arial"/>
          <w:sz w:val="18"/>
          <w:szCs w:val="18"/>
          <w:color w:val="auto"/>
        </w:rPr>
      </w:pPr>
    </w:p>
    <w:p>
      <w:pPr>
        <w:ind w:left="1640" w:hanging="289"/>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abaloparatide at 80mg has a Cmax of 812 ± 118, while RT-102 80mg had a Cmax of 971 ± 223.</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abaloparatide at 80mg has an AUC of 1622 ± 641, while RT-102 80mg had an AUC of 2600 ± 649.</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Device Performance</w:t>
      </w:r>
    </w:p>
    <w:p>
      <w:pPr>
        <w:spacing w:after="0" w:line="131" w:lineRule="exact"/>
        <w:rPr>
          <w:sz w:val="20"/>
          <w:szCs w:val="20"/>
          <w:color w:val="auto"/>
        </w:rPr>
      </w:pPr>
    </w:p>
    <w:p>
      <w:pPr>
        <w:ind w:left="1240" w:right="12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versions of the RaniPill were used during Study Part 1: Version C, which was used in Rani’s Phase 1 study of octreotide (which also utilized a Version A and Version B); and Version D, the latest iteration of the RaniPill.</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RaniPill Version D demonstrated a higher drug delivery success rate than Version C:</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95% (20/21) of participants received successful drug delivery when ingesting RaniPill Version D.</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75% (6/8) of participants received successful drug delivery when ingesting RaniPill Version C.</w:t>
      </w:r>
    </w:p>
    <w:p>
      <w:pPr>
        <w:spacing w:after="0" w:line="225"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The device performance analysis does not include participants excluded from the study per protocol, as drug delivery was not measured in such participants.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Rodent Study</w:t>
      </w:r>
    </w:p>
    <w:p>
      <w:pPr>
        <w:spacing w:after="0" w:line="117"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color w:val="auto"/>
        </w:rPr>
        <w:t>In addition to Study Part 1 of RT-102, we also conducted a six-week pharmacodynamic, or PD, study of the RT-102 drug substance, or DS, PTH (1-34) to evaluate the effect of daily RT-102 DS intraperitoneal, or IP, injections on bone mineral density, or BMD, in a rodent model of osteoporosis. The study compared two control groups of rodents undergoing sham surgery (N=10) and ovariectomy, or OVX, (N=10) receiving no drug, to three OVX groups each dosed with 5 mcg/kg per day of either RT-102 DS (N=10), teriparatide (N=10), or abaloparatide (N=10).</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study found that, following six weeks of treatment:</w:t>
      </w:r>
    </w:p>
    <w:p>
      <w:pPr>
        <w:spacing w:after="0" w:line="131"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RT-102 DS increased BMD in a rat model of osteoporosis.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RT-102 DS delivered via the RaniPill IP route of administration was biologically active comparable to SC injected PTH analogs.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Rani Holdings was formed as a Delaware corporation in April 2021 for the purpose of facilitating the IPO of our Class A common stock, to facilitate certain organizational transactions, and to operate the business of Rani LLC and its consolidated subsidiary RMS.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and its subsidiary, conducts all of Rani LLC’s business.</w:t>
      </w: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00"/>
          </w:cols>
          <w:pgMar w:left="320" w:top="459" w:right="6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right="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9"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our stockholders, (iii) Class C common stock, which has no voting rights, except as otherwise required by law and (iv) preferred stock.</w:t>
      </w:r>
    </w:p>
    <w:p>
      <w:pPr>
        <w:spacing w:after="0" w:line="92" w:lineRule="exact"/>
        <w:rPr>
          <w:rFonts w:ascii="Arial" w:cs="Arial" w:eastAsia="Arial" w:hAnsi="Arial"/>
          <w:sz w:val="18"/>
          <w:szCs w:val="18"/>
          <w:color w:val="auto"/>
        </w:rPr>
      </w:pPr>
    </w:p>
    <w:p>
      <w:pPr>
        <w:jc w:val="both"/>
        <w:ind w:left="1240" w:right="54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29" w:lineRule="exact"/>
        <w:rPr>
          <w:rFonts w:ascii="Arial" w:cs="Arial" w:eastAsia="Arial" w:hAnsi="Arial"/>
          <w:sz w:val="16"/>
          <w:szCs w:val="16"/>
          <w:color w:val="auto"/>
        </w:rPr>
      </w:pPr>
    </w:p>
    <w:p>
      <w:pPr>
        <w:ind w:left="1240" w:hanging="415"/>
        <w:spacing w:after="0" w:line="254"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100" w:lineRule="exact"/>
        <w:rPr>
          <w:rFonts w:ascii="Arial" w:cs="Arial" w:eastAsia="Arial" w:hAnsi="Arial"/>
          <w:sz w:val="18"/>
          <w:szCs w:val="18"/>
          <w:color w:val="auto"/>
        </w:rPr>
      </w:pPr>
    </w:p>
    <w:p>
      <w:pPr>
        <w:ind w:left="1240" w:right="7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Entered into a registration rights agreement and tax receivable agreement, or Tax Receivable Agreement, with certain of the Continuing LLC Owners.</w:t>
      </w:r>
    </w:p>
    <w:p>
      <w:pPr>
        <w:spacing w:after="0" w:line="170"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All shares of our Class B common stock are held by certain stockholders who held equity in Rani LLC before the IPO. Upon completion of this offering, the shares beneficially owned by the Continuing LLC Owners will represent more than 80% of the total voting power of our outstanding capital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supplement. Some of the principal risks related to our business include the following:</w:t>
      </w:r>
    </w:p>
    <w:p>
      <w:pPr>
        <w:spacing w:after="0" w:line="89" w:lineRule="exact"/>
        <w:rPr>
          <w:sz w:val="20"/>
          <w:szCs w:val="20"/>
          <w:color w:val="auto"/>
        </w:rPr>
      </w:pPr>
    </w:p>
    <w:p>
      <w:pPr>
        <w:ind w:left="1240" w:right="10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89"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raise additional capital when needed on acceptable terms, we may be forced to delay, limit, reduce or terminate our product development programs, commercialization efforts or other operations.</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two product candidates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92"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75" w:lineRule="exact"/>
        <w:rPr>
          <w:rFonts w:ascii="Arial" w:cs="Arial" w:eastAsia="Arial" w:hAnsi="Arial"/>
          <w:sz w:val="18"/>
          <w:szCs w:val="18"/>
          <w:color w:val="auto"/>
        </w:rPr>
      </w:pPr>
    </w:p>
    <w:p>
      <w:pPr>
        <w:jc w:val="both"/>
        <w:ind w:left="1240" w:right="100" w:hanging="415"/>
        <w:spacing w:after="0" w:line="31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an organization, we have completed only one phase 1 clinical trial, have not submitted an investigational new drug application, or IND, to the Food and Drug Administration, or FDA, and we have never conducted later-stage clinical trials or submitted a New Drug Application, or NDA, or Biologics License Application, or BLA, and may be unable to do so for any of our product candidates.</w:t>
      </w:r>
    </w:p>
    <w:p>
      <w:pPr>
        <w:spacing w:after="0" w:line="54" w:lineRule="exact"/>
        <w:rPr>
          <w:rFonts w:ascii="Arial" w:cs="Arial" w:eastAsia="Arial" w:hAnsi="Arial"/>
          <w:sz w:val="16"/>
          <w:szCs w:val="16"/>
          <w:color w:val="auto"/>
        </w:rPr>
      </w:pPr>
    </w:p>
    <w:p>
      <w:pPr>
        <w:ind w:left="1240" w:right="24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89" w:lineRule="exact"/>
        <w:rPr>
          <w:rFonts w:ascii="Arial" w:cs="Arial" w:eastAsia="Arial" w:hAnsi="Arial"/>
          <w:sz w:val="18"/>
          <w:szCs w:val="18"/>
          <w:color w:val="auto"/>
        </w:rPr>
      </w:pPr>
    </w:p>
    <w:p>
      <w:pPr>
        <w:ind w:left="1240" w:right="160" w:hanging="415"/>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candidates comprising a drug or biologic within the RaniPill capsule employ novel technologies that have not yet been approved by the FDA or comparable foreign regulatory authorities, and we anticipate that our applications will have to be submitted as original, standalone NDAs or BLAs, respectively. These regulatory authorities have limited experience in evaluating our technologies and product candidates. Our novel technologies also make it difficult to predict the time and cost of product candidate development.</w:t>
      </w:r>
    </w:p>
    <w:p>
      <w:pPr>
        <w:spacing w:after="0" w:line="93"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153" w:lineRule="exact"/>
        <w:rPr>
          <w:rFonts w:ascii="Arial" w:cs="Arial" w:eastAsia="Arial" w:hAnsi="Arial"/>
          <w:sz w:val="16"/>
          <w:szCs w:val="16"/>
          <w:color w:val="auto"/>
        </w:rPr>
      </w:pPr>
    </w:p>
    <w:p>
      <w:pPr>
        <w:ind w:left="1240" w:right="100" w:hanging="415"/>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third-party suppliers for key materials used in our manufacturing processes as well as for the manufacturing of active pharmaceutical ingredients, or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93" w:lineRule="exact"/>
        <w:rPr>
          <w:rFonts w:ascii="Arial" w:cs="Arial" w:eastAsia="Arial" w:hAnsi="Arial"/>
          <w:sz w:val="18"/>
          <w:szCs w:val="18"/>
          <w:color w:val="auto"/>
        </w:rPr>
      </w:pPr>
    </w:p>
    <w:p>
      <w:pPr>
        <w:ind w:left="1240" w:right="160" w:hanging="415"/>
        <w:spacing w:after="0" w:line="30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new high-capacity oral delivery device, RaniPill HC, is in early stages of development, and it is subject to the inherent risks and uncertainties of developing a novel, innovative technology. Our efforts to develop RaniPill HC may not be successful.</w:t>
      </w:r>
    </w:p>
    <w:p>
      <w:pPr>
        <w:spacing w:after="0" w:line="51" w:lineRule="exact"/>
        <w:rPr>
          <w:rFonts w:ascii="Arial" w:cs="Arial" w:eastAsia="Arial" w:hAnsi="Arial"/>
          <w:sz w:val="17"/>
          <w:szCs w:val="17"/>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89"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or perceived failure to comply with existing or future laws, regulations, contracts, self-regulatory schemes, standards, and other obligations related to data privacy and security (including</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20"/>
          </w:cols>
          <w:pgMar w:left="320" w:top="459"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spacing w:after="0" w:line="342" w:lineRule="auto"/>
        <w:rPr>
          <w:sz w:val="20"/>
          <w:szCs w:val="20"/>
          <w:color w:val="auto"/>
        </w:rPr>
      </w:pPr>
      <w:r>
        <w:rPr>
          <w:rFonts w:ascii="Arial" w:cs="Arial" w:eastAsia="Arial" w:hAnsi="Arial"/>
          <w:sz w:val="16"/>
          <w:szCs w:val="16"/>
          <w:color w:val="auto"/>
        </w:rPr>
        <w:t>security incidents) could harm our business. Compliance or the actual or perceived failure to comply with such obligations could affect our ability to develop and commercialize RaniPill capsule, and otherwise negatively affect our operating results and business.</w:t>
      </w:r>
    </w:p>
    <w:p>
      <w:pPr>
        <w:spacing w:after="0" w:line="29"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130" w:lineRule="exact"/>
        <w:rPr>
          <w:rFonts w:ascii="Arial" w:cs="Arial" w:eastAsia="Arial" w:hAnsi="Arial"/>
          <w:sz w:val="18"/>
          <w:szCs w:val="18"/>
          <w:color w:val="auto"/>
        </w:rPr>
      </w:pPr>
    </w:p>
    <w:p>
      <w:pPr>
        <w:jc w:val="both"/>
        <w:ind w:left="1240" w:right="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89" w:lineRule="exact"/>
        <w:rPr>
          <w:rFonts w:ascii="Arial" w:cs="Arial" w:eastAsia="Arial" w:hAnsi="Arial"/>
          <w:sz w:val="18"/>
          <w:szCs w:val="18"/>
          <w:color w:val="auto"/>
        </w:rPr>
      </w:pPr>
    </w:p>
    <w:p>
      <w:pPr>
        <w:ind w:left="1240" w:hanging="415"/>
        <w:spacing w:after="0" w:line="25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93"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75" w:lineRule="exact"/>
        <w:rPr>
          <w:rFonts w:ascii="Arial" w:cs="Arial" w:eastAsia="Arial" w:hAnsi="Arial"/>
          <w:sz w:val="18"/>
          <w:szCs w:val="18"/>
          <w:color w:val="auto"/>
        </w:rPr>
      </w:pPr>
    </w:p>
    <w:p>
      <w:pPr>
        <w:ind w:left="1240" w:right="280" w:hanging="415"/>
        <w:spacing w:after="0" w:line="34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broad discretion in the use of the net proceeds from this offering and may not use them effectively.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84"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“Rani,” “Rani Therapeutics,” “RaniPill,” the Rani Therapeutics logo, the R logo and other trademarks or service marks of Rani appearing in this prospectus supplement are the property of Rani LLC.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459"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Underwriters’ option to purchase additional shares of Class A common stock</w:t>
      </w:r>
    </w:p>
    <w:p>
      <w:pPr>
        <w:spacing w:after="0" w:line="202" w:lineRule="exact"/>
        <w:rPr>
          <w:sz w:val="20"/>
          <w:szCs w:val="20"/>
          <w:color w:val="auto"/>
        </w:rPr>
      </w:pPr>
    </w:p>
    <w:p>
      <w:pPr>
        <w:ind w:left="380" w:right="820" w:hanging="78"/>
        <w:spacing w:after="0" w:line="386" w:lineRule="auto"/>
        <w:rPr>
          <w:sz w:val="20"/>
          <w:szCs w:val="20"/>
          <w:color w:val="auto"/>
        </w:rPr>
      </w:pPr>
      <w:r>
        <w:rPr>
          <w:rFonts w:ascii="Arial" w:cs="Arial" w:eastAsia="Arial" w:hAnsi="Arial"/>
          <w:sz w:val="15"/>
          <w:szCs w:val="15"/>
          <w:b w:val="1"/>
          <w:bCs w:val="1"/>
          <w:color w:val="auto"/>
        </w:rPr>
        <w:t>Class A common stock to be outstanding immediately after this offering</w:t>
      </w:r>
    </w:p>
    <w:p>
      <w:pPr>
        <w:spacing w:after="0" w:line="134" w:lineRule="exact"/>
        <w:rPr>
          <w:sz w:val="20"/>
          <w:szCs w:val="20"/>
          <w:color w:val="auto"/>
        </w:rPr>
      </w:pPr>
    </w:p>
    <w:p>
      <w:pPr>
        <w:ind w:left="380" w:right="820" w:hanging="78"/>
        <w:spacing w:after="0" w:line="386" w:lineRule="auto"/>
        <w:rPr>
          <w:sz w:val="20"/>
          <w:szCs w:val="20"/>
          <w:color w:val="auto"/>
        </w:rPr>
      </w:pPr>
      <w:r>
        <w:rPr>
          <w:rFonts w:ascii="Arial" w:cs="Arial" w:eastAsia="Arial" w:hAnsi="Arial"/>
          <w:sz w:val="15"/>
          <w:szCs w:val="15"/>
          <w:b w:val="1"/>
          <w:bCs w:val="1"/>
          <w:color w:val="auto"/>
        </w:rPr>
        <w:t>Class B common stock to be outstanding immediately after this offering</w:t>
      </w:r>
    </w:p>
    <w:p>
      <w:pPr>
        <w:spacing w:after="0" w:line="134" w:lineRule="exact"/>
        <w:rPr>
          <w:sz w:val="20"/>
          <w:szCs w:val="20"/>
          <w:color w:val="auto"/>
        </w:rPr>
      </w:pPr>
    </w:p>
    <w:p>
      <w:pPr>
        <w:ind w:left="380" w:right="820" w:hanging="78"/>
        <w:spacing w:after="0" w:line="386" w:lineRule="auto"/>
        <w:rPr>
          <w:sz w:val="20"/>
          <w:szCs w:val="20"/>
          <w:color w:val="auto"/>
        </w:rPr>
      </w:pPr>
      <w:r>
        <w:rPr>
          <w:rFonts w:ascii="Arial" w:cs="Arial" w:eastAsia="Arial" w:hAnsi="Arial"/>
          <w:sz w:val="15"/>
          <w:szCs w:val="15"/>
          <w:b w:val="1"/>
          <w:bCs w:val="1"/>
          <w:color w:val="auto"/>
        </w:rPr>
        <w:t>Class C common stock to be outstanding immediately after this offering</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rights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additional shares of Class A common stock).</w:t>
      </w:r>
    </w:p>
    <w:p>
      <w:pPr>
        <w:spacing w:after="0" w:line="2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share of Class A common stock entitles its holder to one vote per share, and each share of Class B common stock entitles its holder to 10 votes per share. Holders of our Class C common stock have no voting rights, except as otherwise required by law. Holders of our Class A common stock and Class B common stock vote together as a single class on all matters presented to stockholders for their vote or approval, except as otherwise required by law. See the section titled “Description of Capital Stock” in the accompanying prospectus.</w:t>
      </w:r>
    </w:p>
    <w:p>
      <w:pPr>
        <w:spacing w:after="0" w:line="200" w:lineRule="exact"/>
        <w:rPr>
          <w:sz w:val="20"/>
          <w:szCs w:val="20"/>
          <w:color w:val="auto"/>
        </w:rPr>
      </w:pPr>
    </w:p>
    <w:p>
      <w:pPr>
        <w:sectPr>
          <w:pgSz w:w="11900" w:h="16838" w:orient="portrait"/>
          <w:cols w:equalWidth="0" w:num="2">
            <w:col w:w="4220" w:space="120"/>
            <w:col w:w="6540"/>
          </w:cols>
          <w:pgMar w:left="320" w:top="459" w:right="699" w:bottom="1440" w:gutter="0" w:footer="0" w:header="0"/>
          <w:type w:val="continuous"/>
        </w:sectPr>
      </w:pPr>
    </w:p>
    <w:p>
      <w:pPr>
        <w:spacing w:after="0" w:line="18"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Voting power held by holders of Class A common stock immediately after this offering</w:t>
      </w:r>
    </w:p>
    <w:p>
      <w:pPr>
        <w:spacing w:after="0" w:line="180"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Voting power held by holders of Class B common stock immediately after this offering</w:t>
      </w:r>
    </w:p>
    <w:p>
      <w:pPr>
        <w:spacing w:after="0" w:line="180"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Voting power held by holders of Class C common stock immediately after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260"/>
        <w:spacing w:after="0"/>
        <w:tabs>
          <w:tab w:leader="none" w:pos="4380" w:val="left"/>
        </w:tabs>
        <w:rPr>
          <w:sz w:val="20"/>
          <w:szCs w:val="20"/>
          <w:color w:val="auto"/>
        </w:rPr>
      </w:pP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Class A common stock).</w:t>
      </w:r>
    </w:p>
    <w:p>
      <w:pPr>
        <w:spacing w:after="0" w:line="251" w:lineRule="exact"/>
        <w:rPr>
          <w:sz w:val="20"/>
          <w:szCs w:val="20"/>
          <w:color w:val="auto"/>
        </w:rPr>
      </w:pPr>
    </w:p>
    <w:p>
      <w:pPr>
        <w:jc w:val="right"/>
        <w:ind w:right="260"/>
        <w:spacing w:after="0"/>
        <w:tabs>
          <w:tab w:leader="none" w:pos="4380" w:val="left"/>
        </w:tabs>
        <w:rPr>
          <w:sz w:val="20"/>
          <w:szCs w:val="20"/>
          <w:color w:val="auto"/>
        </w:rPr>
      </w:pP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Class A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97" w:lineRule="exact"/>
        <w:rPr>
          <w:sz w:val="20"/>
          <w:szCs w:val="20"/>
          <w:color w:val="auto"/>
        </w:rPr>
      </w:pPr>
    </w:p>
    <w:p>
      <w:pPr>
        <w:sectPr>
          <w:pgSz w:w="11900" w:h="16838" w:orient="portrait"/>
          <w:cols w:equalWidth="0" w:num="2">
            <w:col w:w="4080" w:space="260"/>
            <w:col w:w="6540"/>
          </w:cols>
          <w:pgMar w:left="320" w:top="459" w:right="699" w:bottom="1440" w:gutter="0" w:footer="0" w:header="0"/>
          <w:type w:val="continuous"/>
        </w:sectPr>
      </w:pPr>
    </w:p>
    <w:p>
      <w:pPr>
        <w:spacing w:after="0" w:line="65"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0880"/>
          </w:cols>
          <w:pgMar w:left="320" w:top="459" w:right="6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13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amended and restated certificate of incorporation and the Rani LLC Agreement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188" w:lineRule="exact"/>
        <w:rPr>
          <w:sz w:val="20"/>
          <w:szCs w:val="20"/>
          <w:color w:val="auto"/>
        </w:rPr>
      </w:pPr>
    </w:p>
    <w:p>
      <w:pPr>
        <w:sectPr>
          <w:pgSz w:w="11900" w:h="16838" w:orient="portrait"/>
          <w:cols w:equalWidth="0" w:num="2">
            <w:col w:w="4020" w:space="320"/>
            <w:col w:w="6800"/>
          </w:cols>
          <w:pgMar w:left="320" w:top="459" w:right="439" w:bottom="1440" w:gutter="0" w:footer="0" w:header="0"/>
          <w:type w:val="continuous"/>
        </w:sectPr>
      </w:pPr>
    </w:p>
    <w:p>
      <w:pPr>
        <w:ind w:left="300"/>
        <w:spacing w:after="0"/>
        <w:tabs>
          <w:tab w:leader="none" w:pos="4320" w:val="left"/>
          <w:tab w:leader="none" w:pos="990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8"/>
          <w:szCs w:val="18"/>
          <w:color w:val="auto"/>
        </w:rPr>
        <w:t>We estimate the net proceeds from this offering will be approximately $</w:t>
      </w:r>
      <w:r>
        <w:rPr>
          <w:sz w:val="20"/>
          <w:szCs w:val="20"/>
          <w:color w:val="auto"/>
        </w:rPr>
        <w:tab/>
      </w:r>
      <w:r>
        <w:rPr>
          <w:rFonts w:ascii="Arial" w:cs="Arial" w:eastAsia="Arial" w:hAnsi="Arial"/>
          <w:sz w:val="17"/>
          <w:szCs w:val="17"/>
          <w:color w:val="auto"/>
        </w:rPr>
        <w:t>million (or</w:t>
      </w:r>
    </w:p>
    <w:p>
      <w:pPr>
        <w:spacing w:after="0" w:line="27" w:lineRule="exact"/>
        <w:rPr>
          <w:sz w:val="20"/>
          <w:szCs w:val="20"/>
          <w:color w:val="auto"/>
        </w:rPr>
      </w:pPr>
    </w:p>
    <w:p>
      <w:pPr>
        <w:ind w:left="4340"/>
        <w:spacing w:after="0"/>
        <w:tabs>
          <w:tab w:leader="none" w:pos="59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if the underwriters exercise in full their option to purchase</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additional shares of Class A common stock), based on the public offering price of</w:t>
      </w:r>
    </w:p>
    <w:p>
      <w:pPr>
        <w:spacing w:after="0" w:line="9" w:lineRule="exact"/>
        <w:rPr>
          <w:sz w:val="20"/>
          <w:szCs w:val="20"/>
          <w:color w:val="auto"/>
        </w:rPr>
      </w:pPr>
    </w:p>
    <w:p>
      <w:pPr>
        <w:ind w:left="4340" w:right="460" w:hanging="5"/>
        <w:spacing w:after="0" w:line="260" w:lineRule="auto"/>
        <w:tabs>
          <w:tab w:leader="none" w:pos="48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 share, after deducting underwriting discounts and commissions and estimated offering expenses payable by us.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8"/>
              </w:rPr>
              <w:t>We intend to use the net proceeds that we receive from this offering (including any net</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6"/>
              </w:rPr>
              <w:t>proceeds from the underwriters’ exercise of their option to purchase additional shares of</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3"/>
              </w:rPr>
              <w:t>Class A common stock) to purchase newly-issued LLC Interests from Rani LLC. We intend</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6"/>
              </w:rPr>
              <w:t>to cause Rani LLC to use the net proceeds from this offering (including any net proceeds</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8"/>
              </w:rPr>
              <w:t>from the underwriters’ exercise of their option to purchase additional shares of Class A</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6"/>
              </w:rPr>
              <w:t>common stock), together with the cash, cash equivalents and investments, to further the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7"/>
              </w:rPr>
              <w:t>clinical development of and support advancement of the RaniPill platform, including the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7"/>
              </w:rPr>
              <w:t>RaniPill HC device, development of RT-102 and our pipeline, manufacturing automation</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7"/>
              </w:rPr>
              <w:t>and scale-up, and for working capital and other general corporate purposes, which may</w:t>
            </w:r>
          </w:p>
        </w:tc>
      </w:tr>
      <w:tr>
        <w:trPr>
          <w:trHeight w:val="230"/>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include the acquisition or licensing of other products, businesses or technologies.</w:t>
            </w:r>
          </w:p>
        </w:tc>
      </w:tr>
      <w:tr>
        <w:trPr>
          <w:trHeight w:val="445"/>
        </w:trPr>
        <w:tc>
          <w:tcPr>
            <w:tcW w:w="3380" w:type="dxa"/>
            <w:vAlign w:val="bottom"/>
          </w:tcPr>
          <w:p>
            <w:pPr>
              <w:spacing w:after="0"/>
              <w:rPr>
                <w:sz w:val="24"/>
                <w:szCs w:val="24"/>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7"/>
              </w:rPr>
              <w:t>See the section titled “Use of Proceeds” for a more complete description of the intended</w:t>
            </w:r>
          </w:p>
        </w:tc>
      </w:tr>
      <w:tr>
        <w:trPr>
          <w:trHeight w:val="230"/>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use of proceeds from this offering.</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7640" w:type="dxa"/>
            <w:vAlign w:val="bottom"/>
          </w:tcPr>
          <w:p>
            <w:pPr>
              <w:ind w:left="840"/>
              <w:spacing w:after="0"/>
              <w:rPr>
                <w:sz w:val="20"/>
                <w:szCs w:val="20"/>
                <w:color w:val="auto"/>
              </w:rPr>
            </w:pPr>
            <w:r>
              <w:rPr>
                <w:rFonts w:ascii="Arial" w:cs="Arial" w:eastAsia="Arial" w:hAnsi="Arial"/>
                <w:sz w:val="18"/>
                <w:szCs w:val="18"/>
                <w:color w:val="auto"/>
              </w:rPr>
              <w:t>See “Risk Factors” on page S-10 and other information included and incorporated by</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w w:val="93"/>
              </w:rPr>
              <w:t>reference in this prospectus supplement and the accompanying prospectus for a discussion</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of factors that you should carefully consider before deciding to invest in our Class A</w:t>
            </w:r>
          </w:p>
        </w:tc>
      </w:tr>
      <w:tr>
        <w:trPr>
          <w:trHeight w:val="230"/>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common stock.</w:t>
            </w:r>
          </w:p>
        </w:tc>
      </w:tr>
      <w:tr>
        <w:trPr>
          <w:trHeight w:val="459"/>
        </w:trPr>
        <w:tc>
          <w:tcPr>
            <w:tcW w:w="3380" w:type="dxa"/>
            <w:vAlign w:val="bottom"/>
          </w:tcPr>
          <w:p>
            <w:pPr>
              <w:ind w:left="180"/>
              <w:spacing w:after="0"/>
              <w:rPr>
                <w:sz w:val="20"/>
                <w:szCs w:val="20"/>
                <w:color w:val="auto"/>
              </w:rPr>
            </w:pPr>
            <w:r>
              <w:rPr>
                <w:rFonts w:ascii="Arial" w:cs="Arial" w:eastAsia="Arial" w:hAnsi="Arial"/>
                <w:sz w:val="18"/>
                <w:szCs w:val="18"/>
                <w:b w:val="1"/>
                <w:bCs w:val="1"/>
                <w:color w:val="auto"/>
              </w:rPr>
              <w:t>Nasdaq Global Market symbol</w:t>
            </w:r>
          </w:p>
        </w:tc>
        <w:tc>
          <w:tcPr>
            <w:tcW w:w="7640" w:type="dxa"/>
            <w:vAlign w:val="bottom"/>
          </w:tcPr>
          <w:p>
            <w:pPr>
              <w:ind w:left="840"/>
              <w:spacing w:after="0"/>
              <w:rPr>
                <w:sz w:val="20"/>
                <w:szCs w:val="20"/>
                <w:color w:val="auto"/>
              </w:rPr>
            </w:pPr>
            <w:r>
              <w:rPr>
                <w:rFonts w:ascii="Arial" w:cs="Arial" w:eastAsia="Arial" w:hAnsi="Arial"/>
                <w:sz w:val="18"/>
                <w:szCs w:val="18"/>
                <w:color w:val="auto"/>
              </w:rPr>
              <w:t>“RANI”</w:t>
            </w:r>
          </w:p>
        </w:tc>
      </w:tr>
      <w:tr>
        <w:trPr>
          <w:trHeight w:val="172"/>
        </w:trPr>
        <w:tc>
          <w:tcPr>
            <w:tcW w:w="338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r>
      <w:tr>
        <w:trPr>
          <w:trHeight w:val="361"/>
        </w:trPr>
        <w:tc>
          <w:tcPr>
            <w:tcW w:w="3380" w:type="dxa"/>
            <w:vAlign w:val="bottom"/>
          </w:tcPr>
          <w:p>
            <w:pPr>
              <w:spacing w:after="0"/>
              <w:rPr>
                <w:sz w:val="24"/>
                <w:szCs w:val="24"/>
                <w:color w:val="auto"/>
              </w:rPr>
            </w:pPr>
          </w:p>
        </w:tc>
        <w:tc>
          <w:tcPr>
            <w:tcW w:w="7640" w:type="dxa"/>
            <w:vAlign w:val="bottom"/>
          </w:tcPr>
          <w:p>
            <w:pPr>
              <w:ind w:left="200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15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2815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24,494,190 shares of Class A common stock outstanding as of June 30, 2022, and excludes:</w:t>
      </w:r>
    </w:p>
    <w:p>
      <w:pPr>
        <w:spacing w:after="0" w:line="76" w:lineRule="exact"/>
        <w:rPr>
          <w:sz w:val="20"/>
          <w:szCs w:val="20"/>
          <w:color w:val="auto"/>
        </w:rPr>
      </w:pPr>
    </w:p>
    <w:p>
      <w:pPr>
        <w:ind w:left="1240" w:right="5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3,687,814 shares of Class A common stock issuable upon the exercise of outstanding stock options as of June 30, 2022, with a weighted-average exercise price of $13.57 per share;</w:t>
      </w:r>
    </w:p>
    <w:p>
      <w:pPr>
        <w:spacing w:after="0" w:line="75"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26,051,223 shares of Class A common stock issuable upon the exchange or redemption of outstanding LLC Interests as of June 30, 2022;</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970,100 shares of Class A Common stock issuable upon the vesting of restricted units as of June 30, 2022;</w:t>
      </w:r>
    </w:p>
    <w:p>
      <w:pPr>
        <w:spacing w:after="0" w:line="130"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4,436,615 shares reserved for future issuance under our 2021 Equity Incentive Plan as of June 30, 2022, as well as any automatic increases in the number of shares of Class A common stock reserved for future issuance under this plan; and</w:t>
      </w:r>
    </w:p>
    <w:p>
      <w:pPr>
        <w:spacing w:after="0" w:line="51" w:lineRule="exact"/>
        <w:rPr>
          <w:rFonts w:ascii="Arial" w:cs="Arial" w:eastAsia="Arial" w:hAnsi="Arial"/>
          <w:sz w:val="17"/>
          <w:szCs w:val="17"/>
          <w:color w:val="auto"/>
        </w:rPr>
      </w:pPr>
    </w:p>
    <w:p>
      <w:pPr>
        <w:ind w:left="1240" w:right="16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600,000 shares of Class A common stock reserved for future issuance under our 2021 Employee Stock Purchase Plan as of June 30, 2022, as well as any automatic increases in the number of shares of Class A common stock reserved for future issuance under this plan.</w:t>
      </w:r>
    </w:p>
    <w:p>
      <w:pPr>
        <w:spacing w:after="0" w:line="184"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All the information in this prospectus supplement excludes the additional share issuances and shares reserved for future issuance subsequent to June 30, 2022, as set forth above, and further assumes no exercise of outstanding stock options or vesting of restricted units and no exercise by the underwriters of their option to purchase additional shares of Class A common stock.</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860"/>
          </w:cols>
          <w:pgMar w:left="320" w:top="459" w:right="7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You should consider carefully the risks described below and discussed in the section titled “Risk Factors” contained in our Annual Report on Form 10-K for the year ended December 31, 2021 and in our Quarterly Report on Form 10-Q for the three months ended June 30, 2022, as filed with the Securities and Exchange Commission, or SEC, which are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Class A common stock.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business, financial condition or results of operations or enhance the value of our Class A common stock. The net proceeds from this offering will be used for the development of and support of advancement of the RaniPill platform, including the RaniPill HC device, development of RT-102 and our pipeline, manufacturing automation and scale-up, working capital and general corporate purposes, which may include, among other things, funding research and development, clinical trials, vendor payables, potential regulatory submissions, hiring additional personnel and capital expenditures. We may also use a portion of the net proceeds to in-license, acquire or invest in complementary businesses or products; however, we have no current commitments or obligations to do so.</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failure by our management to apply these funds effectively could result in financial losses that could harm our business, cause the price of our Class A common stock to decline and delay the development of our product candidates. Pending their use, we may invest the net proceeds from this offering in a manner that does not produce income or that loses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tangible net book value of their investment.</w:t>
      </w:r>
    </w:p>
    <w:p>
      <w:pPr>
        <w:spacing w:after="0" w:line="117" w:lineRule="exact"/>
        <w:rPr>
          <w:sz w:val="20"/>
          <w:szCs w:val="20"/>
          <w:color w:val="auto"/>
        </w:rPr>
      </w:pPr>
    </w:p>
    <w:p>
      <w:pPr>
        <w:ind w:left="120" w:right="340" w:firstLine="440"/>
        <w:spacing w:after="0" w:line="274" w:lineRule="auto"/>
        <w:rPr>
          <w:sz w:val="20"/>
          <w:szCs w:val="20"/>
          <w:color w:val="auto"/>
        </w:rPr>
      </w:pPr>
      <w:r>
        <w:rPr>
          <w:rFonts w:ascii="Arial" w:cs="Arial" w:eastAsia="Arial" w:hAnsi="Arial"/>
          <w:sz w:val="17"/>
          <w:szCs w:val="17"/>
          <w:color w:val="auto"/>
        </w:rPr>
        <w:t>If you purchase our Class A common stock in this offering, you will incur an immediate dilution of $ in net tangible book value per share from the price you paid, based on the public offering price of $ per share. The exercise of outstanding options or vesting of restricted units will</w:t>
      </w:r>
    </w:p>
    <w:p>
      <w:pPr>
        <w:ind w:left="120" w:right="780"/>
        <w:spacing w:after="0" w:line="260" w:lineRule="auto"/>
        <w:rPr>
          <w:sz w:val="20"/>
          <w:szCs w:val="20"/>
          <w:color w:val="auto"/>
        </w:rPr>
      </w:pPr>
      <w:r>
        <w:rPr>
          <w:rFonts w:ascii="Arial" w:cs="Arial" w:eastAsia="Arial" w:hAnsi="Arial"/>
          <w:sz w:val="18"/>
          <w:szCs w:val="18"/>
          <w:color w:val="auto"/>
        </w:rPr>
        <w:t>result in further dilution. For a further description of the dilution that you will experience immediately after this offering, see the section titled “Dilution.”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Class B common stock has 10 votes per share, our Class A common stock, which we are selling in this offering, has one vote per share and Class C common stock has no voting rights, except as required by law. Immediately following this offering of Class A common stock, holders of our outstanding Class B common stock will collectively hold more than %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8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exchange of LLC Interests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supplement and the documents we have filed with the SEC that are incorporated by reference include, but are not limited to, statements about:</w:t>
      </w:r>
    </w:p>
    <w:p>
      <w:pPr>
        <w:spacing w:after="0" w:line="9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progress and focus of our current and future clinical trials in the United States and abroad, and the reporting of data from those trials;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320" w:top="459" w:right="5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sufficiency of our existing cash and cash equivalents to fund our future operating expenses and capital expenditure requirements;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and the conflict between Ukraine and Russia on our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realization of any benefit from our organizational structure, taking into account our obligations under the Tax Receivable Agreement and the impact of any payments required to be made thereunder on our liquidity and financial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proceeds from the sale of shares of Class A common stock under this prospectus supplement;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Annual Report on Form 10-K for the year ended December 31, 2021 and our Quarterly Report on Form 10-Q for the three months ended June 30, 2022,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we will receive net proceeds from the sale of shares of Class A common stock in this offering of approximately $</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in full their option to purchase additional shares of Class A common stock) at</w:t>
      </w:r>
    </w:p>
    <w:p>
      <w:pPr>
        <w:spacing w:after="0" w:line="9" w:lineRule="exact"/>
        <w:rPr>
          <w:sz w:val="20"/>
          <w:szCs w:val="20"/>
          <w:color w:val="auto"/>
        </w:rPr>
      </w:pPr>
    </w:p>
    <w:p>
      <w:pPr>
        <w:ind w:left="120"/>
        <w:spacing w:after="0"/>
        <w:tabs>
          <w:tab w:leader="none" w:pos="2940" w:val="left"/>
        </w:tabs>
        <w:rPr>
          <w:sz w:val="20"/>
          <w:szCs w:val="20"/>
          <w:color w:val="auto"/>
        </w:rPr>
      </w:pPr>
      <w:r>
        <w:rPr>
          <w:rFonts w:ascii="Arial" w:cs="Arial" w:eastAsia="Arial" w:hAnsi="Arial"/>
          <w:sz w:val="18"/>
          <w:szCs w:val="18"/>
          <w:color w:val="auto"/>
        </w:rPr>
        <w:t>the public offering price of $</w:t>
      </w:r>
      <w:r>
        <w:rPr>
          <w:sz w:val="20"/>
          <w:szCs w:val="20"/>
          <w:color w:val="auto"/>
        </w:rPr>
        <w:tab/>
      </w:r>
      <w:r>
        <w:rPr>
          <w:rFonts w:ascii="Arial" w:cs="Arial" w:eastAsia="Arial" w:hAnsi="Arial"/>
          <w:sz w:val="16"/>
          <w:szCs w:val="16"/>
          <w:color w:val="auto"/>
        </w:rPr>
        <w:t>per share and after deducting underwriting discounts and commissions and estimated offering expenses payable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us.</w:t>
      </w:r>
    </w:p>
    <w:p>
      <w:pPr>
        <w:spacing w:after="0" w:line="21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intend to use the net proceeds that we receive from this offering (including any net proceeds from the underwriters’ exercise of their option to purchase additional shares of Class A common stock) to purchase newly-issued LLC Interests from Rani LLC. We intend to cause Rani LLC to use the net proceeds from this offering (together with any additional proceeds it may receive if the underwriters exercise their option to purchase additional shares of Class A common stock), together with the cash, cash equivalents and investments, as follows:</w:t>
      </w:r>
    </w:p>
    <w:p>
      <w:pPr>
        <w:spacing w:after="0" w:line="77"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continue to advance the RaniPill platform, including the RaniPill HC device;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support ongoing development of RT-102 and our product pipeline;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advance manufacturing scale-up and automation;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working capital and other general corporate purposes.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76"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Pending the use of the proceeds from this offering as described above, we intend to invest the net proceeds in interest-bearing investment-grade securities or government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you invest in our Class A common stock, your interest will be diluted to the extent of the difference between the public offering price per share and the as adjusted net tangible book value per share of our Class A common stock after this offering.</w:t>
      </w:r>
    </w:p>
    <w:p>
      <w:pPr>
        <w:spacing w:after="0" w:line="170"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net tangible book value as of June 30, 2022, was $98.7 million, or $4.03 per share. Net tangible book value is total tangible assets less our total liabilities divided by the number of outstanding shares of Class A common stock prior to the completion of this offering.</w:t>
      </w:r>
    </w:p>
    <w:p>
      <w:pPr>
        <w:spacing w:after="0" w:line="146"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After giving effect to the sale of shares Class A common stock in this offering at the public offering price of $ per share, and after deducting underwriting discounts and commissions and estimated offering expenses payable by us, our as adjusted net tangible book value as of</w:t>
      </w:r>
    </w:p>
    <w:p>
      <w:pPr>
        <w:ind w:left="120" w:right="180"/>
        <w:spacing w:after="0" w:line="265" w:lineRule="auto"/>
        <w:rPr>
          <w:sz w:val="20"/>
          <w:szCs w:val="20"/>
          <w:color w:val="auto"/>
        </w:rPr>
      </w:pPr>
      <w:r>
        <w:rPr>
          <w:rFonts w:ascii="Arial" w:cs="Arial" w:eastAsia="Arial" w:hAnsi="Arial"/>
          <w:sz w:val="17"/>
          <w:szCs w:val="17"/>
          <w:color w:val="auto"/>
        </w:rPr>
        <w:t>June 30, 2022, would have been $ million, or $ per share of Class A common stock. This represents an immediate increase in as adjusted net tangible book value of $ per share to our existing stockholders and immediate dilution in as adjusted net tangible book value of</w:t>
      </w:r>
    </w:p>
    <w:p>
      <w:pPr>
        <w:ind w:left="980" w:hanging="86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 share to investors participating in this offering. The following table illustrates this dilution per share to investors participating in this</w:t>
      </w:r>
    </w:p>
    <w:p>
      <w:pPr>
        <w:spacing w:after="0" w:line="20"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offering:</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1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Net tangible book value per share at June 30, 2022</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new investors</w:t>
            </w:r>
          </w:p>
        </w:tc>
        <w:tc>
          <w:tcPr>
            <w:tcW w:w="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w w:val="99"/>
              </w:rPr>
              <w:t>As adjusted net tangible book value per share after giving effect to this offering</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Dilution in adjusted net tangible book value per share to new investors</w:t>
            </w:r>
          </w:p>
        </w:tc>
        <w:tc>
          <w:tcPr>
            <w:tcW w:w="21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If the underwriters exercise in full their option to purchase an additional shares of our Class A common stock at the public offering price of $ per share, the as adjusted net tangible book value per share after giving effect to this offering would be $ per share, representing an immediate increase to existing stockholders of $ per share, and immediate dilution in as adjusted net tangible book value of</w:t>
      </w:r>
    </w:p>
    <w:p>
      <w:pPr>
        <w:ind w:left="980" w:hanging="86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 share to investors participating in this offering.</w:t>
      </w:r>
    </w:p>
    <w:p>
      <w:pPr>
        <w:spacing w:after="0" w:line="21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24,494,190 shares of Class A common stock outstanding as of June 30, 2022, and excludes:</w:t>
      </w:r>
    </w:p>
    <w:p>
      <w:pPr>
        <w:spacing w:after="0" w:line="76" w:lineRule="exact"/>
        <w:rPr>
          <w:sz w:val="20"/>
          <w:szCs w:val="20"/>
          <w:color w:val="auto"/>
        </w:rPr>
      </w:pPr>
    </w:p>
    <w:p>
      <w:pPr>
        <w:ind w:left="1080" w:right="1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3,687,814 shares of Class A common stock issuable upon the exercise of outstanding stock options, as of June 30, 2022, with a weighted-average exercise price of $13.57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26,051,223 shares of Class A common stock issuable upon the exchange or redemption of outstanding LLC Interests as of June 30, 2022;</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970,100 shares of Class A Common stock issuable upon the vesting of restricted units as of June 30, 2022;</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4,436,615 shares reserved for future issuance under our 2021 Equity Incentive Plan as of June 30, 2022, as well as any automatic increases in the number of shares of Class A common stock reserved for future issuance under this plan; and</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600,000 shares of Class A common stock reserved for future issuance under our 2021 Employee Stock Purchase Plan as of June 30, 2022, as well as any automatic increases in the number of shares of Class A common stock reserved for future issuance under this plan.</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 the extent that options are exercised, new options are issued under our equity incentive plans, or we issue additional shares of Class A common stock in the future, there will be further dilution to investors participating in this offering.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98"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897(1)(2)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 for services;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(or other applicable successor form), certifying that the dividends are effectively connected with the Non-U.S. Holder’s conduct of a trade or business within the United States.</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effectively connected dividends will be subject to U.S. federal income tax on a net-income basis at the regular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52" w:lineRule="exact"/>
        <w:rPr>
          <w:sz w:val="20"/>
          <w:szCs w:val="20"/>
          <w:color w:val="auto"/>
        </w:rPr>
      </w:pPr>
    </w:p>
    <w:p>
      <w:pPr>
        <w:ind w:left="1080" w:right="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92" w:lineRule="exact"/>
        <w:rPr>
          <w:sz w:val="20"/>
          <w:szCs w:val="20"/>
          <w:color w:val="auto"/>
        </w:rPr>
      </w:pPr>
    </w:p>
    <w:p>
      <w:pPr>
        <w:jc w:val="center"/>
        <w:ind w:left="400" w:right="480"/>
        <w:spacing w:after="0" w:line="449"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 S-19</w:t>
      </w:r>
    </w:p>
    <w:p>
      <w:pPr>
        <w:sectPr>
          <w:pgSz w:w="11900" w:h="16838" w:orient="portrait"/>
          <w:cols w:equalWidth="0" w:num="1">
            <w:col w:w="11080"/>
          </w:cols>
          <w:pgMar w:left="320" w:top="45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Payments of dividends on our Class A common stock generally will not be subject to backup withholding (currently at a rate of 24%),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common stock set forth opposite its name below.</w:t>
      </w:r>
    </w:p>
    <w:p>
      <w:pPr>
        <w:sectPr>
          <w:pgSz w:w="11900" w:h="16838" w:orient="portrait"/>
          <w:cols w:equalWidth="0" w:num="1">
            <w:col w:w="11120"/>
          </w:cols>
          <w:pgMar w:left="320" w:top="459" w:right="459" w:bottom="1440" w:gutter="0" w:footer="0" w:header="0"/>
        </w:sectPr>
      </w:pPr>
    </w:p>
    <w:p>
      <w:pPr>
        <w:spacing w:after="0" w:line="31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BofA Securities, Inc.</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7"/>
          <w:szCs w:val="17"/>
          <w:color w:val="auto"/>
        </w:rPr>
        <w:t>H.C. Wainwright &amp; Co., LLC</w:t>
      </w:r>
    </w:p>
    <w:p>
      <w:pPr>
        <w:spacing w:after="0" w:line="3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696595</wp:posOffset>
            </wp:positionV>
            <wp:extent cx="762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850900</wp:posOffset>
            </wp:positionV>
            <wp:extent cx="762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868045</wp:posOffset>
            </wp:positionV>
            <wp:extent cx="762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16" w:lineRule="exact"/>
        <w:rPr>
          <w:sz w:val="20"/>
          <w:szCs w:val="20"/>
          <w:color w:val="auto"/>
        </w:rPr>
      </w:pPr>
    </w:p>
    <w:p>
      <w:pPr>
        <w:sectPr>
          <w:pgSz w:w="11900" w:h="16838" w:orient="portrait"/>
          <w:cols w:equalWidth="0" w:num="2">
            <w:col w:w="7680" w:space="720"/>
            <w:col w:w="2720"/>
          </w:cols>
          <w:pgMar w:left="320" w:top="459" w:right="459" w:bottom="1440" w:gutter="0" w:footer="0" w:header="0"/>
          <w:type w:val="continuous"/>
        </w:sectPr>
      </w:pPr>
    </w:p>
    <w:p>
      <w:pPr>
        <w:spacing w:after="0" w:line="7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w:t>
      </w:r>
    </w:p>
    <w:p>
      <w:pPr>
        <w:spacing w:after="0" w:line="46" w:lineRule="exact"/>
        <w:rPr>
          <w:sz w:val="20"/>
          <w:szCs w:val="20"/>
          <w:color w:val="auto"/>
        </w:rPr>
      </w:pPr>
    </w:p>
    <w:p>
      <w:pPr>
        <w:jc w:val="both"/>
        <w:ind w:left="120" w:right="120"/>
        <w:spacing w:after="0" w:line="260" w:lineRule="auto"/>
        <w:rPr>
          <w:sz w:val="20"/>
          <w:szCs w:val="20"/>
          <w:color w:val="auto"/>
        </w:rPr>
      </w:pPr>
      <w:r>
        <w:rPr>
          <w:rFonts w:ascii="Arial" w:cs="Arial" w:eastAsia="Arial" w:hAnsi="Arial"/>
          <w:sz w:val="18"/>
          <w:szCs w:val="18"/>
          <w:color w:val="auto"/>
        </w:rPr>
        <w:t>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Without Option</w:t>
            </w:r>
          </w:p>
        </w:tc>
        <w:tc>
          <w:tcPr>
            <w:tcW w:w="1420" w:type="dxa"/>
            <w:vAlign w:val="bottom"/>
            <w:gridSpan w:val="3"/>
          </w:tcPr>
          <w:p>
            <w:pPr>
              <w:ind w:left="58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expenses of the offering, not including the underwriting discount, are estimated at $ and are payable by us. We have also agreed to reimburse the underwriters for certain of their expenses incurred in connection with, among others, the review and clearance by the Financial Industry Regulatory Authority, Inc., in an amount of up to $20,000.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Rani LLC, our executive officers and directors and certain of our other existing securityholders have agreed not to sell or transfer any Class A common stock or Class B common stock or securities convertible into, exchangeable for, exercisable for, or repayable with Class A common stock or Class B common stock, for 90 days after the date of this prospectus without first obtaining the written consent of BofA Securities, Inc. Specifically, we and these other persons have agreed, with certain limited exceptions, not to directly or indirectly</w:t>
      </w:r>
    </w:p>
    <w:p>
      <w:pPr>
        <w:spacing w:after="0" w:line="77"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Class A common stock or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lend or otherwise dispose of or transfer any Class A common stock or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Class A common stock or Class B common stock, or</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listed on the Nasdaq Global Market under the symbol “RANI.”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connection with this offering, underwriters and selling group members may engage in passive market making transactions in the Class A common stock on the Nasdaq Global Market in accordance with Rule 103 of Regulation M under the Exchange Act during a period before the commencement of offers or sales of Class A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Class A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certain of the underwriters also served as underwriters in our initial public offering in August 2021.</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Each person in a Relevant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12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relation to the United Kingdom, or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9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Section 85 of the FSMA or Article 3 of the UK Prospectus Regulation or supplement a prospectus pursuant to Article 23 of the UK Prospectus Regulation.</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or the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40"/>
          </w:cols>
          <w:pgMar w:left="320" w:top="459" w:right="5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Cooley LLP, Palo Alto, California will pass upon the validity of the shares of Class A common stock offered hereby. Goodwin Procter LLP, Redwood City, California, is representing the underwriters in connection with the offering.</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supplement and elsewhere in the registration statement. Our consolidated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40"/>
          </w:cols>
          <w:pgMar w:left="320" w:top="459" w:right="5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100"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2022, filed with the SEC on </w:t>
      </w:r>
      <w:hyperlink r:id="rId60">
        <w:r>
          <w:rPr>
            <w:rFonts w:ascii="Arial" w:cs="Arial" w:eastAsia="Arial" w:hAnsi="Arial"/>
            <w:sz w:val="18"/>
            <w:szCs w:val="18"/>
            <w:u w:val="single" w:color="auto"/>
            <w:color w:val="0000EE"/>
          </w:rPr>
          <w:t>May 11, 2022</w:t>
        </w:r>
      </w:hyperlink>
      <w:r>
        <w:rPr>
          <w:rFonts w:ascii="Arial" w:cs="Arial" w:eastAsia="Arial" w:hAnsi="Arial"/>
          <w:sz w:val="18"/>
          <w:szCs w:val="18"/>
          <w:color w:val="auto"/>
        </w:rPr>
        <w:t xml:space="preserve">, and June 30, 2022, filed with the SEC on </w:t>
      </w:r>
      <w:hyperlink r:id="rId61">
        <w:r>
          <w:rPr>
            <w:rFonts w:ascii="Arial" w:cs="Arial" w:eastAsia="Arial" w:hAnsi="Arial"/>
            <w:sz w:val="18"/>
            <w:szCs w:val="18"/>
            <w:u w:val="single" w:color="auto"/>
            <w:color w:val="0000EE"/>
          </w:rPr>
          <w:t>August 10, 2022</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 our Annual Report on </w:t>
      </w:r>
      <w:hyperlink r:id="rId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from our definitive proxy statement on </w:t>
      </w:r>
      <w:hyperlink r:id="rId6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13,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3">
        <w:r>
          <w:rPr>
            <w:rFonts w:ascii="Arial" w:cs="Arial" w:eastAsia="Arial" w:hAnsi="Arial"/>
            <w:sz w:val="17"/>
            <w:szCs w:val="17"/>
            <w:u w:val="single" w:color="auto"/>
            <w:color w:val="0000EE"/>
          </w:rPr>
          <w:t>January 5, 2022</w:t>
        </w:r>
      </w:hyperlink>
      <w:r>
        <w:rPr>
          <w:rFonts w:ascii="Arial" w:cs="Arial" w:eastAsia="Arial" w:hAnsi="Arial"/>
          <w:sz w:val="17"/>
          <w:szCs w:val="17"/>
          <w:color w:val="auto"/>
        </w:rPr>
        <w:t xml:space="preserve">, </w:t>
      </w:r>
      <w:hyperlink r:id="rId64">
        <w:r>
          <w:rPr>
            <w:rFonts w:ascii="Arial" w:cs="Arial" w:eastAsia="Arial" w:hAnsi="Arial"/>
            <w:sz w:val="17"/>
            <w:szCs w:val="17"/>
            <w:u w:val="single" w:color="auto"/>
            <w:color w:val="0000EE"/>
          </w:rPr>
          <w:t>March 23, 2022</w:t>
        </w:r>
      </w:hyperlink>
      <w:r>
        <w:rPr>
          <w:rFonts w:ascii="Arial" w:cs="Arial" w:eastAsia="Arial" w:hAnsi="Arial"/>
          <w:sz w:val="17"/>
          <w:szCs w:val="17"/>
          <w:color w:val="auto"/>
        </w:rPr>
        <w:t xml:space="preserve">, </w:t>
      </w:r>
      <w:hyperlink r:id="rId65">
        <w:r>
          <w:rPr>
            <w:rFonts w:ascii="Arial" w:cs="Arial" w:eastAsia="Arial" w:hAnsi="Arial"/>
            <w:sz w:val="17"/>
            <w:szCs w:val="17"/>
            <w:u w:val="single" w:color="auto"/>
            <w:color w:val="0000EE"/>
          </w:rPr>
          <w:t>May 26,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6">
        <w:r>
          <w:rPr>
            <w:rFonts w:ascii="Arial" w:cs="Arial" w:eastAsia="Arial" w:hAnsi="Arial"/>
            <w:sz w:val="17"/>
            <w:szCs w:val="17"/>
            <w:u w:val="single" w:color="auto"/>
            <w:color w:val="0000EE"/>
          </w:rPr>
          <w:t>August 8, 2022</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10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which is registered under the Exchange Act in the registration statement on </w:t>
      </w:r>
      <w:hyperlink r:id="rId67">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68">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our Annual Report on </w:t>
      </w:r>
      <w:hyperlink r:id="rId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87" w:lineRule="exact"/>
        <w:rPr>
          <w:rFonts w:ascii="Arial" w:cs="Arial" w:eastAsia="Arial" w:hAnsi="Arial"/>
          <w:sz w:val="18"/>
          <w:szCs w:val="18"/>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Rani Therapeutics Holdings,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2051 Ringwood Avenue</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San Jose, California 95131</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Secretary</w:t>
      </w:r>
    </w:p>
    <w:p>
      <w:pPr>
        <w:spacing w:after="0" w:line="9" w:lineRule="exact"/>
        <w:rPr>
          <w:rFonts w:ascii="Arial" w:cs="Arial" w:eastAsia="Arial" w:hAnsi="Arial"/>
          <w:sz w:val="18"/>
          <w:szCs w:val="18"/>
          <w:color w:val="auto"/>
        </w:rPr>
      </w:pPr>
    </w:p>
    <w:p>
      <w:pPr>
        <w:ind w:left="5460" w:right="4940" w:hanging="398"/>
        <w:spacing w:after="0" w:line="517" w:lineRule="auto"/>
        <w:tabs>
          <w:tab w:leader="none" w:pos="55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457-3700 S-30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1417955</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97790</wp:posOffset>
            </wp:positionV>
            <wp:extent cx="2211705" cy="1165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63"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8" w:lineRule="exact"/>
        <w:rPr>
          <w:sz w:val="20"/>
          <w:szCs w:val="20"/>
          <w:color w:val="auto"/>
        </w:rPr>
      </w:pPr>
    </w:p>
    <w:p>
      <w:pPr>
        <w:ind w:left="120" w:right="60"/>
        <w:spacing w:after="0" w:line="289" w:lineRule="auto"/>
        <w:rPr>
          <w:sz w:val="20"/>
          <w:szCs w:val="20"/>
          <w:color w:val="auto"/>
        </w:rPr>
      </w:pPr>
      <w:r>
        <w:rPr>
          <w:rFonts w:ascii="Arial" w:cs="Arial" w:eastAsia="Arial" w:hAnsi="Arial"/>
          <w:sz w:val="19"/>
          <w:szCs w:val="19"/>
          <w:b w:val="1"/>
          <w:bCs w:val="1"/>
          <w:color w:val="auto"/>
        </w:rPr>
        <w:t>Investing in our securities involves a high degree of risk. You should review carefully the risks and uncertainties described under the section titled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80"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10, 2022.</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000" w:type="dxa"/>
            <w:vAlign w:val="bottom"/>
            <w:gridSpan w:val="15"/>
          </w:tcPr>
          <w:p>
            <w:pPr>
              <w:spacing w:after="0" w:line="190" w:lineRule="exact"/>
              <w:rPr>
                <w:sz w:val="20"/>
                <w:szCs w:val="20"/>
                <w:color w:val="auto"/>
              </w:rPr>
            </w:pPr>
            <w:r>
              <w:rPr>
                <w:rFonts w:ascii="Arial" w:cs="Arial" w:eastAsia="Arial" w:hAnsi="Arial"/>
                <w:sz w:val="18"/>
                <w:szCs w:val="18"/>
                <w:color w:val="0000EE"/>
              </w:rPr>
              <w:t>ABOUT THIS PROSPECTUS</w:t>
            </w:r>
          </w:p>
        </w:tc>
        <w:tc>
          <w:tcPr>
            <w:tcW w:w="296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Arial" w:cs="Arial" w:eastAsia="Arial" w:hAnsi="Arial"/>
                <w:sz w:val="18"/>
                <w:szCs w:val="18"/>
                <w:color w:val="0000EE"/>
              </w:rPr>
              <w:t>PLAN OF DISTRIBUTION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using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“shelf” registration process under the Securities Act of 1933, as amended, or the Securities Act. Under this shelf registration statement, we may,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to time, offer and sell in one or more offerings Class A common stock and preferred stock, various series of debt securities and/or warrants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 any of such securities, either individually or in combination with other securities, in one or more offerings, up to a total dollar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$400,000,000 of any combination of the securities described in this prospectus. This prospectus provides you with a general description of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w:t>
      </w:r>
    </w:p>
    <w:p>
      <w:pPr>
        <w:spacing w:after="0" w:line="21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This prospectus may not be used to consummate a sale of securities unless it is accompanied by a prospectus supplement.</w:t>
      </w:r>
    </w:p>
    <w:p>
      <w:pPr>
        <w:spacing w:after="0" w:line="24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5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460" w:firstLine="426"/>
        <w:spacing w:after="0" w:line="263"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84" w:lineRule="exact"/>
        <w:rPr>
          <w:sz w:val="20"/>
          <w:szCs w:val="20"/>
          <w:color w:val="auto"/>
        </w:rPr>
      </w:pPr>
    </w:p>
    <w:p>
      <w:pPr>
        <w:ind w:left="300" w:right="160" w:firstLine="426"/>
        <w:spacing w:after="0" w:line="296" w:lineRule="auto"/>
        <w:rPr>
          <w:sz w:val="20"/>
          <w:szCs w:val="20"/>
          <w:color w:val="auto"/>
        </w:rPr>
      </w:pPr>
      <w:r>
        <w:rPr>
          <w:rFonts w:ascii="Arial" w:cs="Arial" w:eastAsia="Arial" w:hAnsi="Arial"/>
          <w:sz w:val="16"/>
          <w:szCs w:val="16"/>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92"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84"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0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83" w:lineRule="exact"/>
        <w:rPr>
          <w:sz w:val="20"/>
          <w:szCs w:val="20"/>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130"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308" w:lineRule="auto"/>
        <w:rPr>
          <w:sz w:val="20"/>
          <w:szCs w:val="20"/>
          <w:color w:val="auto"/>
        </w:rPr>
      </w:pPr>
      <w:r>
        <w:rPr>
          <w:rFonts w:ascii="Arial" w:cs="Arial" w:eastAsia="Arial" w:hAnsi="Arial"/>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42" w:lineRule="exact"/>
        <w:rPr>
          <w:sz w:val="20"/>
          <w:szCs w:val="20"/>
          <w:color w:val="auto"/>
        </w:rPr>
      </w:pPr>
    </w:p>
    <w:p>
      <w:pPr>
        <w:ind w:left="300" w:right="40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9" w:lineRule="exact"/>
        <w:rPr>
          <w:sz w:val="20"/>
          <w:szCs w:val="20"/>
          <w:color w:val="auto"/>
        </w:rPr>
      </w:pPr>
    </w:p>
    <w:p>
      <w:pPr>
        <w:ind w:left="1240" w:hanging="415"/>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66"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92"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93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7"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92"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progress and focus of our current and future clinical trials in the United States and abroad, and the reporting of data from those trials;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sufficiency of our existing cash and cash equivalents to fund our future operating expenses and capital expenditure requirements;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and the conflict between Ukraine and Russia on our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use of proceeds from offerings of our securities under this prospectus;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or the JOBS Act.</w:t>
      </w:r>
    </w:p>
    <w:p>
      <w:pPr>
        <w:spacing w:after="0" w:line="17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These forward-looking statements are subject to a number of risks, uncertainties, and assumptions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320" w:top="459" w:right="5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and Other Distributions</w:t>
      </w:r>
    </w:p>
    <w:p>
      <w:pPr>
        <w:spacing w:after="0" w:line="117"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on Dissolution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2" w:lineRule="exact"/>
        <w:rPr>
          <w:sz w:val="20"/>
          <w:szCs w:val="20"/>
          <w:color w:val="auto"/>
        </w:rPr>
      </w:pPr>
    </w:p>
    <w:p>
      <w:pPr>
        <w:jc w:val="both"/>
        <w:ind w:left="1080" w:right="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9" w:lineRule="exact"/>
        <w:rPr>
          <w:rFonts w:ascii="Arial" w:cs="Arial" w:eastAsia="Arial" w:hAnsi="Arial"/>
          <w:sz w:val="18"/>
          <w:szCs w:val="18"/>
          <w:color w:val="auto"/>
        </w:rPr>
      </w:pPr>
    </w:p>
    <w:p>
      <w:pPr>
        <w:jc w:val="both"/>
        <w:ind w:left="1080" w:right="120" w:hanging="424"/>
        <w:spacing w:after="0" w:line="31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54"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authorize any shares of preferred stock with rights as to dividends or liquidation that are senior to the Class B common stock or the right to more than one vote for each share thereof.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 and Other Distributions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on Dissolution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our liquidation, dissolution or winding up, holders of Class B common stock will not be entitled to receive any distribution of our assets.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Transfers</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Holders of our Class C common stock are not entitled to vote on any matter that is submitted to a vote of the stockholders, except as otherwise required by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 and Other Distributions</w:t>
      </w:r>
    </w:p>
    <w:p>
      <w:pPr>
        <w:spacing w:after="0" w:line="117"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on Dissolution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Anti-Takeover Provisions of Delaware Law and Our Amended and Restated Certificate of Incorporation and Amended and Restated Bylaws</w:t>
      </w:r>
    </w:p>
    <w:p>
      <w:pPr>
        <w:spacing w:after="0" w:line="14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Removal of Directors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Meetings of Stockholders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Notice Procedures for Director Nominations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but Unissued Shares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 with Interested Stockholders</w:t>
      </w:r>
    </w:p>
    <w:p>
      <w:pPr>
        <w:spacing w:after="0" w:line="11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References to “us,” “our,” “we” and the “Company” in this section refer to Rani Therapeutics Holdings, Inc. only.</w:t>
      </w:r>
    </w:p>
    <w:p>
      <w:pPr>
        <w:spacing w:after="0" w:line="22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5540" w:right="2980" w:hanging="4884"/>
        <w:spacing w:after="0" w:line="449" w:lineRule="auto"/>
        <w:tabs>
          <w:tab w:leader="none" w:pos="10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 15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92"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080" w:right="80" w:hanging="424"/>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4" w:lineRule="exact"/>
        <w:rPr>
          <w:rFonts w:ascii="Arial" w:cs="Arial" w:eastAsia="Arial" w:hAnsi="Arial"/>
          <w:sz w:val="16"/>
          <w:szCs w:val="16"/>
          <w:color w:val="auto"/>
        </w:rPr>
      </w:pPr>
    </w:p>
    <w:p>
      <w:pPr>
        <w:ind w:left="1080" w:right="80" w:hanging="424"/>
        <w:spacing w:after="0" w:line="30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2"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92"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49" w:lineRule="auto"/>
        <w:tabs>
          <w:tab w:leader="none" w:pos="10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92"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jc w:val="both"/>
        <w:ind w:left="1080" w:right="140" w:hanging="424"/>
        <w:spacing w:after="0" w:line="28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References to “us,” “our,” “we” and the “Company” in this section refer to Rani Therapeutics Holdings, Inc. only.</w:t>
      </w:r>
    </w:p>
    <w:p>
      <w:pPr>
        <w:spacing w:after="0" w:line="225"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6" w:lineRule="exact"/>
        <w:rPr>
          <w:sz w:val="20"/>
          <w:szCs w:val="20"/>
          <w:color w:val="auto"/>
        </w:rPr>
      </w:pPr>
    </w:p>
    <w:p>
      <w:pPr>
        <w:ind w:left="1080" w:right="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6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performance of third-party service providers;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4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provide otherwise in the applicable prospectus supplement, the global security will terminate when the following special situations occur:</w:t>
      </w:r>
    </w:p>
    <w:p>
      <w:pPr>
        <w:spacing w:after="0" w:line="76" w:lineRule="exact"/>
        <w:rPr>
          <w:sz w:val="20"/>
          <w:szCs w:val="20"/>
          <w:color w:val="auto"/>
        </w:rPr>
      </w:pPr>
    </w:p>
    <w:p>
      <w:pPr>
        <w:ind w:left="1080" w:right="2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92"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92"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or names of any underwriters, dealers, agents or other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options to purchase additional shares or other options under which underwriters, dealers, agents or other purchasers may purchase additional securities from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84"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6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83"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1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11, 2022;</w:t>
      </w:r>
    </w:p>
    <w:p>
      <w:pPr>
        <w:spacing w:after="0" w:line="130"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2021, from our </w:t>
      </w:r>
      <w:hyperlink r:id="rId116">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2022 annual meeting of stockholders, filed with the SEC on April 13, 2022;</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17">
        <w:r>
          <w:rPr>
            <w:rFonts w:ascii="Arial" w:cs="Arial" w:eastAsia="Arial" w:hAnsi="Arial"/>
            <w:sz w:val="18"/>
            <w:szCs w:val="18"/>
            <w:u w:val="single" w:color="auto"/>
            <w:color w:val="0000EE"/>
          </w:rPr>
          <w:t>January 5, 2022</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EE"/>
          </w:rPr>
          <w:t>March 23,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9">
        <w:r>
          <w:rPr>
            <w:rFonts w:ascii="Arial" w:cs="Arial" w:eastAsia="Arial" w:hAnsi="Arial"/>
            <w:sz w:val="18"/>
            <w:szCs w:val="18"/>
            <w:u w:val="single" w:color="auto"/>
            <w:color w:val="0000EE"/>
          </w:rPr>
          <w:t>May 26,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which is registered under the Exchange Act in the registration statement on </w:t>
      </w:r>
      <w:hyperlink r:id="rId120">
        <w:r>
          <w:rPr>
            <w:rFonts w:ascii="Arial" w:cs="Arial" w:eastAsia="Arial" w:hAnsi="Arial"/>
            <w:sz w:val="18"/>
            <w:szCs w:val="18"/>
            <w:u w:val="single" w:color="auto"/>
            <w:color w:val="0000EE"/>
          </w:rPr>
          <w:t>Form 8-A12B</w:t>
        </w:r>
      </w:hyperlink>
      <w:r>
        <w:rPr>
          <w:rFonts w:ascii="Arial" w:cs="Arial" w:eastAsia="Arial" w:hAnsi="Arial"/>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68">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2021.</w:t>
      </w:r>
    </w:p>
    <w:p>
      <w:pPr>
        <w:spacing w:after="0" w:line="187" w:lineRule="exact"/>
        <w:rPr>
          <w:rFonts w:ascii="Arial" w:cs="Arial" w:eastAsia="Arial" w:hAnsi="Arial"/>
          <w:sz w:val="18"/>
          <w:szCs w:val="18"/>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46" w:lineRule="exact"/>
        <w:rPr>
          <w:rFonts w:ascii="Arial" w:cs="Arial" w:eastAsia="Arial" w:hAnsi="Arial"/>
          <w:sz w:val="18"/>
          <w:szCs w:val="18"/>
          <w:color w:val="auto"/>
        </w:rPr>
      </w:pPr>
    </w:p>
    <w:p>
      <w:pPr>
        <w:ind w:left="120" w:firstLine="440"/>
        <w:spacing w:after="0" w:line="290"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5"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Rani Therapeutics Holdings,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2051 Ringwood Avenue</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San Jose, California 95131</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Secretary</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457-3700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340360</wp:posOffset>
            </wp:positionV>
            <wp:extent cx="2211705" cy="1165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328"/>
        </w:trPr>
        <w:tc>
          <w:tcPr>
            <w:tcW w:w="3560" w:type="dxa"/>
            <w:vAlign w:val="bottom"/>
          </w:tcPr>
          <w:p>
            <w:pPr>
              <w:spacing w:after="0"/>
              <w:rPr>
                <w:sz w:val="20"/>
                <w:szCs w:val="20"/>
                <w:color w:val="auto"/>
              </w:rPr>
            </w:pPr>
            <w:r>
              <w:rPr>
                <w:rFonts w:ascii="Arial" w:cs="Arial" w:eastAsia="Arial" w:hAnsi="Arial"/>
                <w:sz w:val="25"/>
                <w:szCs w:val="25"/>
                <w:b w:val="1"/>
                <w:bCs w:val="1"/>
                <w:color w:val="auto"/>
              </w:rPr>
              <w:t>BofA Securities</w:t>
            </w:r>
          </w:p>
        </w:tc>
        <w:tc>
          <w:tcPr>
            <w:tcW w:w="3620" w:type="dxa"/>
            <w:vAlign w:val="bottom"/>
          </w:tcPr>
          <w:p>
            <w:pPr>
              <w:jc w:val="right"/>
              <w:ind w:right="832"/>
              <w:spacing w:after="0"/>
              <w:rPr>
                <w:sz w:val="20"/>
                <w:szCs w:val="20"/>
                <w:color w:val="auto"/>
              </w:rPr>
            </w:pPr>
            <w:r>
              <w:rPr>
                <w:rFonts w:ascii="Arial" w:cs="Arial" w:eastAsia="Arial" w:hAnsi="Arial"/>
                <w:sz w:val="25"/>
                <w:szCs w:val="25"/>
                <w:b w:val="1"/>
                <w:bCs w:val="1"/>
                <w:color w:val="auto"/>
              </w:rPr>
              <w:t>Cantor</w:t>
            </w:r>
          </w:p>
        </w:tc>
        <w:tc>
          <w:tcPr>
            <w:tcW w:w="3840" w:type="dxa"/>
            <w:vAlign w:val="bottom"/>
          </w:tcPr>
          <w:p>
            <w:pPr>
              <w:jc w:val="center"/>
              <w:ind w:left="514"/>
              <w:spacing w:after="0"/>
              <w:rPr>
                <w:sz w:val="20"/>
                <w:szCs w:val="20"/>
                <w:color w:val="auto"/>
              </w:rPr>
            </w:pPr>
            <w:r>
              <w:rPr>
                <w:rFonts w:ascii="Arial" w:cs="Arial" w:eastAsia="Arial" w:hAnsi="Arial"/>
                <w:sz w:val="25"/>
                <w:szCs w:val="25"/>
                <w:b w:val="1"/>
                <w:bCs w:val="1"/>
                <w:color w:val="auto"/>
                <w:w w:val="92"/>
              </w:rPr>
              <w:t>UBS Investment Bank</w:t>
            </w:r>
          </w:p>
        </w:tc>
      </w:tr>
      <w:tr>
        <w:trPr>
          <w:trHeight w:val="405"/>
        </w:trPr>
        <w:tc>
          <w:tcPr>
            <w:tcW w:w="3560" w:type="dxa"/>
            <w:vAlign w:val="bottom"/>
          </w:tcPr>
          <w:p>
            <w:pPr>
              <w:spacing w:after="0"/>
              <w:rPr>
                <w:sz w:val="20"/>
                <w:szCs w:val="20"/>
                <w:color w:val="auto"/>
              </w:rPr>
            </w:pPr>
            <w:r>
              <w:rPr>
                <w:rFonts w:ascii="Arial" w:cs="Arial" w:eastAsia="Arial" w:hAnsi="Arial"/>
                <w:sz w:val="25"/>
                <w:szCs w:val="25"/>
                <w:b w:val="1"/>
                <w:bCs w:val="1"/>
                <w:color w:val="auto"/>
              </w:rPr>
              <w:t>BTIG</w:t>
            </w:r>
          </w:p>
        </w:tc>
        <w:tc>
          <w:tcPr>
            <w:tcW w:w="3620" w:type="dxa"/>
            <w:vAlign w:val="bottom"/>
          </w:tcPr>
          <w:p>
            <w:pPr>
              <w:spacing w:after="0"/>
              <w:rPr>
                <w:sz w:val="24"/>
                <w:szCs w:val="24"/>
                <w:color w:val="auto"/>
              </w:rPr>
            </w:pPr>
          </w:p>
        </w:tc>
        <w:tc>
          <w:tcPr>
            <w:tcW w:w="3840" w:type="dxa"/>
            <w:vAlign w:val="bottom"/>
          </w:tcPr>
          <w:p>
            <w:pPr>
              <w:jc w:val="center"/>
              <w:ind w:left="514"/>
              <w:spacing w:after="0"/>
              <w:rPr>
                <w:sz w:val="20"/>
                <w:szCs w:val="20"/>
                <w:color w:val="auto"/>
              </w:rPr>
            </w:pPr>
            <w:r>
              <w:rPr>
                <w:rFonts w:ascii="Arial" w:cs="Arial" w:eastAsia="Arial" w:hAnsi="Arial"/>
                <w:sz w:val="25"/>
                <w:szCs w:val="25"/>
                <w:b w:val="1"/>
                <w:bCs w:val="1"/>
                <w:color w:val="auto"/>
                <w:w w:val="96"/>
              </w:rPr>
              <w:t>H.C. Wainwright &amp; Co.</w:t>
            </w:r>
          </w:p>
        </w:tc>
      </w:tr>
      <w:tr>
        <w:trPr>
          <w:trHeight w:val="639"/>
        </w:trPr>
        <w:tc>
          <w:tcPr>
            <w:tcW w:w="3560" w:type="dxa"/>
            <w:vAlign w:val="bottom"/>
          </w:tcPr>
          <w:p>
            <w:pPr>
              <w:spacing w:after="0"/>
              <w:rPr>
                <w:sz w:val="24"/>
                <w:szCs w:val="24"/>
                <w:color w:val="auto"/>
              </w:rPr>
            </w:pPr>
          </w:p>
        </w:tc>
        <w:tc>
          <w:tcPr>
            <w:tcW w:w="3620" w:type="dxa"/>
            <w:vAlign w:val="bottom"/>
          </w:tcPr>
          <w:p>
            <w:pPr>
              <w:jc w:val="right"/>
              <w:ind w:right="1072"/>
              <w:spacing w:after="0"/>
              <w:rPr>
                <w:sz w:val="20"/>
                <w:szCs w:val="20"/>
                <w:color w:val="auto"/>
              </w:rPr>
            </w:pPr>
            <w:r>
              <w:rPr>
                <w:rFonts w:ascii="Arial" w:cs="Arial" w:eastAsia="Arial" w:hAnsi="Arial"/>
                <w:sz w:val="18"/>
                <w:szCs w:val="18"/>
                <w:b w:val="1"/>
                <w:bCs w:val="1"/>
                <w:color w:val="auto"/>
              </w:rPr>
              <w:t>, 2022</w:t>
            </w:r>
          </w:p>
        </w:tc>
        <w:tc>
          <w:tcPr>
            <w:tcW w:w="3840" w:type="dxa"/>
            <w:vAlign w:val="bottom"/>
          </w:tcPr>
          <w:p>
            <w:pPr>
              <w:spacing w:after="0"/>
              <w:rPr>
                <w:sz w:val="24"/>
                <w:szCs w:val="24"/>
                <w:color w:val="auto"/>
              </w:rPr>
            </w:pPr>
          </w:p>
        </w:tc>
      </w:tr>
      <w:tr>
        <w:trPr>
          <w:trHeight w:val="689"/>
        </w:trPr>
        <w:tc>
          <w:tcPr>
            <w:tcW w:w="3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81"/>
        </w:trPr>
        <w:tc>
          <w:tcPr>
            <w:tcW w:w="356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lvl w:ilvl="1">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
      <w:numFmt w:val="bullet"/>
      <w:start w:val="1"/>
    </w:lvl>
  </w:abstractNum>
  <w:abstractNum w:abstractNumId="5">
    <w:nsid w:val="737B8DDC"/>
    <w:multiLevelType w:val="hybridMultilevel"/>
    <w:lvl w:ilvl="0">
      <w:lvlJc w:val="left"/>
      <w:lvlText w:val="•"/>
      <w:numFmt w:val="bullet"/>
      <w:start w:val="1"/>
    </w:lvl>
    <w:lvl w:ilvl="1">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3"/>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408"/>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jpe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jpeg"/><Relationship Id="rId125" Type="http://schemas.openxmlformats.org/officeDocument/2006/relationships/image" Target="media/image101.png"/><Relationship Id="rId126" Type="http://schemas.openxmlformats.org/officeDocument/2006/relationships/image" Target="media/image102.png"/><Relationship Id="rId59" Type="http://schemas.openxmlformats.org/officeDocument/2006/relationships/hyperlink" Target="http://www.sec.gov/ix?doc=/Archives/edgar/data/0001856725/000095017022005088/rani-20211231.htm" TargetMode="External"/><Relationship Id="rId60" Type="http://schemas.openxmlformats.org/officeDocument/2006/relationships/hyperlink" Target="http://www.sec.gov/ix?doc=/Archives/edgar/data/0001856725/000095017022009334/rani-20220331.htm" TargetMode="External"/><Relationship Id="rId61" Type="http://schemas.openxmlformats.org/officeDocument/2006/relationships/hyperlink" Target="http://www.sec.gov/ix?doc=/Archives/edgar/data/0001856725/000095017022016492/rani-20220630.htm" TargetMode="External"/><Relationship Id="rId62" Type="http://schemas.openxmlformats.org/officeDocument/2006/relationships/hyperlink" Target="http://www.sec.gov/Archives/edgar/data/0001856725/000114036122014257/ny20001961x1_def14a.htm" TargetMode="External"/><Relationship Id="rId63" Type="http://schemas.openxmlformats.org/officeDocument/2006/relationships/hyperlink" Target="http://www.sec.gov/ix?doc=/Archives/edgar/data/0001856725/000119312522002651/d281285d8k.htm" TargetMode="External"/><Relationship Id="rId64" Type="http://schemas.openxmlformats.org/officeDocument/2006/relationships/hyperlink" Target="http://www.sec.gov/ix?doc=/Archives/edgar/data/0001856725/000119312522082742/d284920d8k.htm" TargetMode="External"/><Relationship Id="rId65" Type="http://schemas.openxmlformats.org/officeDocument/2006/relationships/hyperlink" Target="http://www.sec.gov/ix?doc=/Archives/edgar/data/0001856725/000119312522160981/d295318d8k.htm" TargetMode="External"/><Relationship Id="rId66" Type="http://schemas.openxmlformats.org/officeDocument/2006/relationships/hyperlink" Target="http://www.sec.gov/ix?doc=/Archives/edgar/data/0001856725/000119312522214241/d359482d8k.htm" TargetMode="External"/><Relationship Id="rId67" Type="http://schemas.openxmlformats.org/officeDocument/2006/relationships/hyperlink" Target="http://www.sec.gov/Archives/edgar/data/0001856725/000119312521224394/d193678d8a12b.htm" TargetMode="External"/><Relationship Id="rId68" Type="http://schemas.openxmlformats.org/officeDocument/2006/relationships/hyperlink" Target="http://www.sec.gov/Archives/edgar/data/1856725/000095017022005088/rani-ex4_2.htm" TargetMode="External"/><Relationship Id="rId114" Type="http://schemas.openxmlformats.org/officeDocument/2006/relationships/hyperlink" Target="http://www.sec.gov/ix?doc=/Archives/edgar/data/1856725/000095017022005088/rani-20211231.htm" TargetMode="External"/><Relationship Id="rId115" Type="http://schemas.openxmlformats.org/officeDocument/2006/relationships/hyperlink" Target="http://www.sec.gov/ix?doc=/Archives/edgar/data/1856725/000095017022009334/rani-20220331.htm" TargetMode="External"/><Relationship Id="rId116" Type="http://schemas.openxmlformats.org/officeDocument/2006/relationships/hyperlink" Target="http://www.sec.gov/Archives/edgar/data/1856725/000114036122014257/ny20001961x1_def14a.htm" TargetMode="External"/><Relationship Id="rId117" Type="http://schemas.openxmlformats.org/officeDocument/2006/relationships/hyperlink" Target="http://www.sec.gov/ix?doc=/Archives/edgar/data/1856725/000119312522002651/d281285d8k.htm" TargetMode="External"/><Relationship Id="rId118" Type="http://schemas.openxmlformats.org/officeDocument/2006/relationships/hyperlink" Target="http://www.sec.gov/ix?doc=/Archives/edgar/data/1856725/000119312522082742/d284920d8k.htm" TargetMode="External"/><Relationship Id="rId119" Type="http://schemas.openxmlformats.org/officeDocument/2006/relationships/hyperlink" Target="http://www.sec.gov/ix?doc=/Archives/edgar/data/1856725/000119312522160981/d295318d8k.htm" TargetMode="External"/><Relationship Id="rId120" Type="http://schemas.openxmlformats.org/officeDocument/2006/relationships/hyperlink" Target="http://www.sec.gov/Archives/edgar/data/1856725/000119312521224394/d19367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2022-08-11T05:15:30Z</dcterms:created>
  <dcterms:modified xsi:type="dcterms:W3CDTF">2022-08-11T05:15:30Z</dcterms:modified>
</cp:coreProperties>
</file>