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July 27,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Attn: Tracey McKoy</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Kevin Kuhar</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Kasey Robinson</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Laura Crotty</w:t>
      </w:r>
    </w:p>
    <w:p>
      <w:pPr>
        <w:spacing w:after="0" w:line="238"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Rani Therapeutics Holdings, Inc.</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Submitted July 9, 2021, as amended</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File No. 333-257809</w:t>
      </w:r>
    </w:p>
    <w:p>
      <w:pPr>
        <w:spacing w:after="0" w:line="20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Acceleration Request</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Requested Date: July 29, 2021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Requested Time: 4:00 p.m., Eastern Daylight Time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440"/>
        <w:spacing w:after="0" w:line="257" w:lineRule="auto"/>
        <w:rPr>
          <w:sz w:val="20"/>
          <w:szCs w:val="20"/>
          <w:color w:val="auto"/>
        </w:rPr>
      </w:pPr>
      <w:r>
        <w:rPr>
          <w:rFonts w:ascii="Arial" w:cs="Arial" w:eastAsia="Arial" w:hAnsi="Arial"/>
          <w:sz w:val="18"/>
          <w:szCs w:val="18"/>
          <w:color w:val="auto"/>
        </w:rPr>
        <w:t>In accordance with Rule 461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BofA Securities, Inc., Stifel, Nicolaus &amp; Company, Incorporated, Cantor Fitzgerald &amp; Co. and Canaccord Genuity LLC, as representatives of the several underwriters, hereby join Rani Therapeutics Holdings, Inc. in requesting that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take appropriate action to cause the Registration Statement on Form S-1 (File No. 333-257809)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to become effective on July 29, 2021, at 4:00 p.m., Eastern Daylight Time, or as soon as practicable thereafter.</w:t>
      </w:r>
    </w:p>
    <w:p>
      <w:pPr>
        <w:spacing w:after="0" w:line="188" w:lineRule="exact"/>
        <w:rPr>
          <w:sz w:val="24"/>
          <w:szCs w:val="24"/>
          <w:color w:val="auto"/>
        </w:rPr>
      </w:pPr>
    </w:p>
    <w:p>
      <w:pPr>
        <w:ind w:right="200" w:firstLine="440"/>
        <w:spacing w:after="0" w:line="342" w:lineRule="auto"/>
        <w:rPr>
          <w:sz w:val="20"/>
          <w:szCs w:val="20"/>
          <w:color w:val="auto"/>
        </w:rPr>
      </w:pPr>
      <w:r>
        <w:rPr>
          <w:rFonts w:ascii="Arial" w:cs="Arial" w:eastAsia="Arial" w:hAnsi="Arial"/>
          <w:sz w:val="16"/>
          <w:szCs w:val="16"/>
          <w:color w:val="auto"/>
        </w:rPr>
        <w:t>Pursuant to Rule 460 under the Act, please be advised that we will take reasonable steps to secure adequate distribution of the preliminary prospectus, to underwriters, dealers, institutions and others, prior to the requested effective time of the Registration Statement.</w:t>
      </w:r>
    </w:p>
    <w:p>
      <w:pPr>
        <w:spacing w:after="0" w:line="124" w:lineRule="exact"/>
        <w:rPr>
          <w:sz w:val="24"/>
          <w:szCs w:val="24"/>
          <w:color w:val="auto"/>
        </w:rPr>
      </w:pPr>
    </w:p>
    <w:p>
      <w:pPr>
        <w:ind w:right="240" w:firstLine="440"/>
        <w:spacing w:after="0" w:line="277" w:lineRule="auto"/>
        <w:rPr>
          <w:sz w:val="20"/>
          <w:szCs w:val="20"/>
          <w:color w:val="auto"/>
        </w:rPr>
      </w:pPr>
      <w:r>
        <w:rPr>
          <w:rFonts w:ascii="Arial" w:cs="Arial" w:eastAsia="Arial" w:hAnsi="Arial"/>
          <w:sz w:val="18"/>
          <w:szCs w:val="18"/>
          <w:color w:val="auto"/>
        </w:rPr>
        <w:t>We have been informed by the participating underwriters that they will comply with the requirements of Rule 15c2-8 under the Securities Exchange Act of 1934, as amended, to the extent applicable.</w:t>
      </w:r>
    </w:p>
    <w:p>
      <w:pPr>
        <w:spacing w:after="0" w:line="170" w:lineRule="exact"/>
        <w:rPr>
          <w:sz w:val="24"/>
          <w:szCs w:val="24"/>
          <w:color w:val="auto"/>
        </w:rPr>
      </w:pPr>
    </w:p>
    <w:p>
      <w:pPr>
        <w:jc w:val="center"/>
        <w:ind w:right="-41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580"/>
          </w:cols>
          <w:pgMar w:left="440" w:top="233" w:right="879" w:bottom="1440" w:gutter="0" w:footer="0" w:header="0"/>
        </w:sectPr>
      </w:pPr>
    </w:p>
    <w:bookmarkStart w:id="1" w:name="page2"/>
    <w:bookmarkEnd w:id="1"/>
    <w:p>
      <w:pPr>
        <w:ind w:left="6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Liloia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Michael Liloia</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right"/>
        <w:ind w:right="1360"/>
        <w:spacing w:after="0"/>
        <w:rPr>
          <w:sz w:val="20"/>
          <w:szCs w:val="20"/>
          <w:color w:val="auto"/>
        </w:rPr>
      </w:pPr>
      <w:r>
        <w:rPr>
          <w:rFonts w:ascii="Arial" w:cs="Arial" w:eastAsia="Arial" w:hAnsi="Arial"/>
          <w:sz w:val="18"/>
          <w:szCs w:val="18"/>
          <w:color w:val="auto"/>
        </w:rPr>
        <w:t>Stifel, Nicolaus &amp; Company, Incorporated</w:t>
      </w:r>
    </w:p>
    <w:p>
      <w:pPr>
        <w:spacing w:after="0" w:line="225" w:lineRule="exact"/>
        <w:rPr>
          <w:sz w:val="20"/>
          <w:szCs w:val="20"/>
          <w:color w:val="auto"/>
        </w:rPr>
      </w:pPr>
    </w:p>
    <w:tbl>
      <w:tblPr>
        <w:tblLayout w:type="fixed"/>
        <w:tblInd w:w="6624"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Nathan Thompson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Nathan Thompson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Cantor Fitzgerald &amp; Co.</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Sage Kelly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Sage Kelly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Head of Investment Banking</w:t>
            </w:r>
          </w:p>
        </w:tc>
      </w:tr>
    </w:tbl>
    <w:p>
      <w:pPr>
        <w:spacing w:after="0" w:line="20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Canaccord Genuity LLC</w:t>
      </w:r>
    </w:p>
    <w:p>
      <w:pPr>
        <w:spacing w:after="0" w:line="225"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Eugene Rozelman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Eugene Rozelman</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Managing Director</w:t>
      </w:r>
    </w:p>
    <w:p>
      <w:pPr>
        <w:spacing w:after="0" w:line="238" w:lineRule="exact"/>
        <w:rPr>
          <w:sz w:val="20"/>
          <w:szCs w:val="20"/>
          <w:color w:val="auto"/>
        </w:rPr>
      </w:pPr>
    </w:p>
    <w:p>
      <w:pPr>
        <w:ind w:left="444" w:right="7280" w:hanging="444"/>
        <w:spacing w:after="0" w:line="268" w:lineRule="auto"/>
        <w:tabs>
          <w:tab w:leader="none" w:pos="436" w:val="left"/>
        </w:tabs>
        <w:numPr>
          <w:ilvl w:val="0"/>
          <w:numId w:val="1"/>
        </w:numPr>
        <w:rPr>
          <w:rFonts w:ascii="Arial" w:cs="Arial" w:eastAsia="Arial" w:hAnsi="Arial"/>
          <w:sz w:val="17"/>
          <w:szCs w:val="17"/>
          <w:color w:val="auto"/>
        </w:rPr>
      </w:pPr>
      <w:r>
        <w:rPr>
          <w:rFonts w:ascii="Arial" w:cs="Arial" w:eastAsia="Arial" w:hAnsi="Arial"/>
          <w:sz w:val="17"/>
          <w:szCs w:val="17"/>
          <w:color w:val="auto"/>
        </w:rPr>
        <w:t>Talat Imran, Rani Therapeutics Holdings, Inc. Edwin M. O’Connor, Goodwin Procter LLP Deepa M. Rich, Goodwin Procter LLP Shoaib A. Ghias, Goodwin Procter LLP Josh Seidenfeld, Cooley LLP</w:t>
      </w:r>
    </w:p>
    <w:p>
      <w:pPr>
        <w:spacing w:after="0" w:line="2"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color w:val="auto"/>
        </w:rPr>
        <w:t>Mark B. Weeks, Cooley LLP</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[Signature Page to Acceleration Request]</w:t>
      </w: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2021-08-26T23:05:55Z</dcterms:created>
  <dcterms:modified xsi:type="dcterms:W3CDTF">2021-08-26T23:05:55Z</dcterms:modified>
</cp:coreProperties>
</file>