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4160"/>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May 25,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203200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Rani Therapeutics Holdings,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3020" w:type="dxa"/>
            <w:vAlign w:val="bottom"/>
          </w:tcPr>
          <w:p>
            <w:pPr>
              <w:jc w:val="center"/>
              <w:ind w:right="621"/>
              <w:spacing w:after="0"/>
              <w:rPr>
                <w:sz w:val="20"/>
                <w:szCs w:val="20"/>
                <w:color w:val="auto"/>
              </w:rPr>
            </w:pPr>
            <w:r>
              <w:rPr>
                <w:rFonts w:ascii="Arial" w:cs="Arial" w:eastAsia="Arial" w:hAnsi="Arial"/>
                <w:sz w:val="18"/>
                <w:szCs w:val="18"/>
                <w:b w:val="1"/>
                <w:bCs w:val="1"/>
                <w:color w:val="auto"/>
                <w:w w:val="91"/>
              </w:rPr>
              <w:t>Delaware</w:t>
            </w:r>
          </w:p>
        </w:tc>
        <w:tc>
          <w:tcPr>
            <w:tcW w:w="3240" w:type="dxa"/>
            <w:vAlign w:val="bottom"/>
          </w:tcPr>
          <w:p>
            <w:pPr>
              <w:jc w:val="right"/>
              <w:ind w:right="1301"/>
              <w:spacing w:after="0"/>
              <w:rPr>
                <w:sz w:val="20"/>
                <w:szCs w:val="20"/>
                <w:color w:val="auto"/>
              </w:rPr>
            </w:pPr>
            <w:r>
              <w:rPr>
                <w:rFonts w:ascii="Arial" w:cs="Arial" w:eastAsia="Arial" w:hAnsi="Arial"/>
                <w:sz w:val="18"/>
                <w:szCs w:val="18"/>
                <w:b w:val="1"/>
                <w:bCs w:val="1"/>
                <w:color w:val="auto"/>
              </w:rPr>
              <w:t>001-40672</w:t>
            </w:r>
          </w:p>
        </w:tc>
        <w:tc>
          <w:tcPr>
            <w:tcW w:w="2060" w:type="dxa"/>
            <w:vAlign w:val="bottom"/>
          </w:tcPr>
          <w:p>
            <w:pPr>
              <w:jc w:val="right"/>
              <w:ind w:right="24"/>
              <w:spacing w:after="0"/>
              <w:rPr>
                <w:sz w:val="20"/>
                <w:szCs w:val="20"/>
                <w:color w:val="auto"/>
              </w:rPr>
            </w:pPr>
            <w:r>
              <w:rPr>
                <w:rFonts w:ascii="Arial" w:cs="Arial" w:eastAsia="Arial" w:hAnsi="Arial"/>
                <w:sz w:val="18"/>
                <w:szCs w:val="18"/>
                <w:b w:val="1"/>
                <w:bCs w:val="1"/>
                <w:color w:val="auto"/>
              </w:rPr>
              <w:t>86-3114789</w:t>
            </w:r>
          </w:p>
        </w:tc>
      </w:tr>
      <w:tr>
        <w:trPr>
          <w:trHeight w:val="163"/>
        </w:trPr>
        <w:tc>
          <w:tcPr>
            <w:tcW w:w="3020" w:type="dxa"/>
            <w:vAlign w:val="bottom"/>
          </w:tcPr>
          <w:p>
            <w:pPr>
              <w:jc w:val="center"/>
              <w:ind w:right="621"/>
              <w:spacing w:after="0"/>
              <w:rPr>
                <w:sz w:val="20"/>
                <w:szCs w:val="20"/>
                <w:color w:val="auto"/>
              </w:rPr>
            </w:pPr>
            <w:r>
              <w:rPr>
                <w:rFonts w:ascii="Arial" w:cs="Arial" w:eastAsia="Arial" w:hAnsi="Arial"/>
                <w:sz w:val="13"/>
                <w:szCs w:val="13"/>
                <w:b w:val="1"/>
                <w:bCs w:val="1"/>
                <w:color w:val="auto"/>
                <w:w w:val="95"/>
              </w:rPr>
              <w:t>(State or Other Jurisdiction</w:t>
            </w:r>
          </w:p>
        </w:tc>
        <w:tc>
          <w:tcPr>
            <w:tcW w:w="3240" w:type="dxa"/>
            <w:vAlign w:val="bottom"/>
          </w:tcPr>
          <w:p>
            <w:pPr>
              <w:jc w:val="center"/>
              <w:ind w:right="221"/>
              <w:spacing w:after="0"/>
              <w:rPr>
                <w:sz w:val="20"/>
                <w:szCs w:val="20"/>
                <w:color w:val="auto"/>
              </w:rPr>
            </w:pPr>
            <w:r>
              <w:rPr>
                <w:rFonts w:ascii="Arial" w:cs="Arial" w:eastAsia="Arial" w:hAnsi="Arial"/>
                <w:sz w:val="13"/>
                <w:szCs w:val="13"/>
                <w:b w:val="1"/>
                <w:bCs w:val="1"/>
                <w:color w:val="auto"/>
                <w:w w:val="95"/>
              </w:rPr>
              <w:t>(Commission File Number)</w:t>
            </w: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(IRS Employer</w:t>
            </w:r>
          </w:p>
        </w:tc>
      </w:tr>
      <w:tr>
        <w:trPr>
          <w:trHeight w:val="174"/>
        </w:trPr>
        <w:tc>
          <w:tcPr>
            <w:tcW w:w="3020" w:type="dxa"/>
            <w:vAlign w:val="bottom"/>
          </w:tcPr>
          <w:p>
            <w:pPr>
              <w:jc w:val="center"/>
              <w:ind w:right="621"/>
              <w:spacing w:after="0"/>
              <w:rPr>
                <w:sz w:val="20"/>
                <w:szCs w:val="20"/>
                <w:color w:val="auto"/>
              </w:rPr>
            </w:pPr>
            <w:r>
              <w:rPr>
                <w:rFonts w:ascii="Arial" w:cs="Arial" w:eastAsia="Arial" w:hAnsi="Arial"/>
                <w:sz w:val="13"/>
                <w:szCs w:val="13"/>
                <w:b w:val="1"/>
                <w:bCs w:val="1"/>
                <w:color w:val="auto"/>
                <w:w w:val="96"/>
              </w:rPr>
              <w:t>of Incorporation)</w:t>
            </w:r>
          </w:p>
        </w:tc>
        <w:tc>
          <w:tcPr>
            <w:tcW w:w="3240" w:type="dxa"/>
            <w:vAlign w:val="bottom"/>
          </w:tcPr>
          <w:p>
            <w:pPr>
              <w:spacing w:after="0"/>
              <w:rPr>
                <w:sz w:val="15"/>
                <w:szCs w:val="15"/>
                <w:color w:val="auto"/>
              </w:rPr>
            </w:pP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Identification No.)</w:t>
            </w:r>
          </w:p>
        </w:tc>
      </w:tr>
      <w:tr>
        <w:trPr>
          <w:trHeight w:val="473"/>
        </w:trPr>
        <w:tc>
          <w:tcPr>
            <w:tcW w:w="3020" w:type="dxa"/>
            <w:vAlign w:val="bottom"/>
          </w:tcPr>
          <w:p>
            <w:pPr>
              <w:jc w:val="center"/>
              <w:ind w:right="601"/>
              <w:spacing w:after="0"/>
              <w:rPr>
                <w:sz w:val="20"/>
                <w:szCs w:val="20"/>
                <w:color w:val="auto"/>
              </w:rPr>
            </w:pPr>
            <w:r>
              <w:rPr>
                <w:rFonts w:ascii="Arial" w:cs="Arial" w:eastAsia="Arial" w:hAnsi="Arial"/>
                <w:sz w:val="18"/>
                <w:szCs w:val="18"/>
                <w:b w:val="1"/>
                <w:bCs w:val="1"/>
                <w:color w:val="auto"/>
                <w:w w:val="88"/>
              </w:rPr>
              <w:t>2051 Ringwood Avenue</w:t>
            </w:r>
          </w:p>
        </w:tc>
        <w:tc>
          <w:tcPr>
            <w:tcW w:w="32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43"/>
        </w:trPr>
        <w:tc>
          <w:tcPr>
            <w:tcW w:w="3020" w:type="dxa"/>
            <w:vAlign w:val="bottom"/>
          </w:tcPr>
          <w:p>
            <w:pPr>
              <w:jc w:val="center"/>
              <w:ind w:right="601"/>
              <w:spacing w:after="0"/>
              <w:rPr>
                <w:sz w:val="20"/>
                <w:szCs w:val="20"/>
                <w:color w:val="auto"/>
              </w:rPr>
            </w:pPr>
            <w:r>
              <w:rPr>
                <w:rFonts w:ascii="Arial" w:cs="Arial" w:eastAsia="Arial" w:hAnsi="Arial"/>
                <w:sz w:val="18"/>
                <w:szCs w:val="18"/>
                <w:b w:val="1"/>
                <w:bCs w:val="1"/>
                <w:color w:val="auto"/>
                <w:w w:val="89"/>
              </w:rPr>
              <w:t>San Jose, California</w:t>
            </w:r>
          </w:p>
        </w:tc>
        <w:tc>
          <w:tcPr>
            <w:tcW w:w="3240" w:type="dxa"/>
            <w:vAlign w:val="bottom"/>
          </w:tcPr>
          <w:p>
            <w:pPr>
              <w:spacing w:after="0"/>
              <w:rPr>
                <w:sz w:val="21"/>
                <w:szCs w:val="21"/>
                <w:color w:val="auto"/>
              </w:rPr>
            </w:pPr>
          </w:p>
        </w:tc>
        <w:tc>
          <w:tcPr>
            <w:tcW w:w="2060" w:type="dxa"/>
            <w:vAlign w:val="bottom"/>
          </w:tcPr>
          <w:p>
            <w:pPr>
              <w:jc w:val="right"/>
              <w:ind w:right="224"/>
              <w:spacing w:after="0"/>
              <w:rPr>
                <w:sz w:val="20"/>
                <w:szCs w:val="20"/>
                <w:color w:val="auto"/>
              </w:rPr>
            </w:pPr>
            <w:r>
              <w:rPr>
                <w:rFonts w:ascii="Arial" w:cs="Arial" w:eastAsia="Arial" w:hAnsi="Arial"/>
                <w:sz w:val="18"/>
                <w:szCs w:val="18"/>
                <w:b w:val="1"/>
                <w:bCs w:val="1"/>
                <w:color w:val="auto"/>
              </w:rPr>
              <w:t>95131</w:t>
            </w:r>
          </w:p>
        </w:tc>
      </w:tr>
      <w:tr>
        <w:trPr>
          <w:trHeight w:val="188"/>
        </w:trPr>
        <w:tc>
          <w:tcPr>
            <w:tcW w:w="3020" w:type="dxa"/>
            <w:vAlign w:val="bottom"/>
          </w:tcPr>
          <w:p>
            <w:pPr>
              <w:jc w:val="center"/>
              <w:ind w:right="62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240" w:type="dxa"/>
            <w:vAlign w:val="bottom"/>
          </w:tcPr>
          <w:p>
            <w:pPr>
              <w:spacing w:after="0"/>
              <w:rPr>
                <w:sz w:val="16"/>
                <w:szCs w:val="16"/>
                <w:color w:val="auto"/>
              </w:rPr>
            </w:pP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(Zip Code)</w:t>
            </w:r>
          </w:p>
        </w:tc>
      </w:tr>
    </w:tbl>
    <w:p>
      <w:pPr>
        <w:spacing w:after="0" w:line="200" w:lineRule="exact"/>
        <w:rPr>
          <w:sz w:val="24"/>
          <w:szCs w:val="24"/>
          <w:color w:val="auto"/>
        </w:rPr>
      </w:pPr>
    </w:p>
    <w:p>
      <w:pPr>
        <w:spacing w:after="0" w:line="25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(408) 457-3700</w:t>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0"/>
              </w:rPr>
              <w:t>Trading</w:t>
            </w:r>
          </w:p>
        </w:tc>
        <w:tc>
          <w:tcPr>
            <w:tcW w:w="140" w:type="dxa"/>
            <w:vAlign w:val="bottom"/>
          </w:tcPr>
          <w:p>
            <w:pPr>
              <w:spacing w:after="0"/>
              <w:rPr>
                <w:sz w:val="18"/>
                <w:szCs w:val="18"/>
                <w:color w:val="auto"/>
              </w:rPr>
            </w:pPr>
          </w:p>
        </w:tc>
        <w:tc>
          <w:tcPr>
            <w:tcW w:w="4460" w:type="dxa"/>
            <w:vAlign w:val="bottom"/>
          </w:tcPr>
          <w:p>
            <w:pPr>
              <w:spacing w:after="0"/>
              <w:rPr>
                <w:sz w:val="18"/>
                <w:szCs w:val="18"/>
                <w:color w:val="auto"/>
              </w:rPr>
            </w:pPr>
          </w:p>
        </w:tc>
      </w:tr>
      <w:tr>
        <w:trPr>
          <w:trHeight w:val="241"/>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40" w:type="dxa"/>
            <w:vAlign w:val="bottom"/>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140" w:type="dxa"/>
            <w:vAlign w:val="bottom"/>
          </w:tcPr>
          <w:p>
            <w:pPr>
              <w:spacing w:after="0"/>
              <w:rPr>
                <w:sz w:val="20"/>
                <w:szCs w:val="20"/>
                <w:color w:val="auto"/>
              </w:rPr>
            </w:pPr>
          </w:p>
        </w:tc>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580" w:type="dxa"/>
            <w:vAlign w:val="bottom"/>
          </w:tcPr>
          <w:p>
            <w:pPr>
              <w:jc w:val="center"/>
              <w:spacing w:after="0"/>
              <w:rPr>
                <w:sz w:val="20"/>
                <w:szCs w:val="20"/>
                <w:color w:val="auto"/>
              </w:rPr>
            </w:pPr>
            <w:r>
              <w:rPr>
                <w:rFonts w:ascii="Arial" w:cs="Arial" w:eastAsia="Arial" w:hAnsi="Arial"/>
                <w:sz w:val="18"/>
                <w:szCs w:val="18"/>
                <w:color w:val="auto"/>
                <w:w w:val="88"/>
              </w:rPr>
              <w:t>Class A common stock, par value $0.0001 per share</w:t>
            </w:r>
          </w:p>
        </w:tc>
        <w:tc>
          <w:tcPr>
            <w:tcW w:w="14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rPr>
              <w:t>RANI</w:t>
            </w:r>
          </w:p>
        </w:tc>
        <w:tc>
          <w:tcPr>
            <w:tcW w:w="14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9"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355600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2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On May 25, 2023, Rani Therapeutics Holdings, Inc. (the “Company”) held its annual meeting of stockholders (“Annual Meeting”). As of March 30, 2023, the record date for the Annual Meeting, there were 25,375,911 shares of Class A common stock outstanding and entitled to vote and 24,116,444 shares of Class B common stock outstanding and entitled to vote at the Annual Meeting. Holders of the Company’s Class A common stock are entitled to one vote per share and holders of the Company’s Class B common stock are entitled to ten votes per share. Holders of Class A common stock and Class B common stock voted together as a single class on all matters submitted to a vote of stockholders at the Annual Meeting.</w:t>
      </w:r>
    </w:p>
    <w:p>
      <w:pPr>
        <w:spacing w:after="0" w:line="16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is a summary of the matters voted on at the Annual Meeting based on the report of the voting results by the inspector of election. The Company’s Definitive Proxy Statement on Schedule 14A filed with the Securities and Exchange Commission on April 11, 2023 contains a description of the following proposals considered at the Annual Meeting, each of which were approved by the Company's stockholders at the Annual Meeting as set forth below:</w:t>
      </w:r>
    </w:p>
    <w:p>
      <w:pPr>
        <w:spacing w:after="0" w:line="187" w:lineRule="exact"/>
        <w:rPr>
          <w:sz w:val="20"/>
          <w:szCs w:val="20"/>
          <w:color w:val="auto"/>
        </w:rPr>
      </w:pPr>
    </w:p>
    <w:p>
      <w:pPr>
        <w:ind w:right="180" w:firstLine="8"/>
        <w:spacing w:after="0" w:line="277" w:lineRule="auto"/>
        <w:tabs>
          <w:tab w:leader="none" w:pos="17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stockholders elected the director nominees below, to hold office until the 2024 annual meeting of stockholders or until their successors are duly elected and qualified, as follows: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For</w:t>
            </w:r>
          </w:p>
        </w:tc>
        <w:tc>
          <w:tcPr>
            <w:tcW w:w="1420" w:type="dxa"/>
            <w:vAlign w:val="bottom"/>
          </w:tcPr>
          <w:p>
            <w:pPr>
              <w:spacing w:after="0"/>
              <w:rPr>
                <w:sz w:val="18"/>
                <w:szCs w:val="18"/>
                <w:color w:val="auto"/>
              </w:rPr>
            </w:pPr>
          </w:p>
        </w:tc>
        <w:tc>
          <w:tcPr>
            <w:tcW w:w="1580" w:type="dxa"/>
            <w:vAlign w:val="bottom"/>
          </w:tcPr>
          <w:p>
            <w:pPr>
              <w:jc w:val="center"/>
              <w:ind w:left="50"/>
              <w:spacing w:after="0"/>
              <w:rPr>
                <w:sz w:val="20"/>
                <w:szCs w:val="20"/>
                <w:color w:val="auto"/>
              </w:rPr>
            </w:pPr>
            <w:r>
              <w:rPr>
                <w:rFonts w:ascii="Arial" w:cs="Arial" w:eastAsia="Arial" w:hAnsi="Arial"/>
                <w:sz w:val="18"/>
                <w:szCs w:val="18"/>
                <w:b w:val="1"/>
                <w:bCs w:val="1"/>
                <w:color w:val="auto"/>
                <w:w w:val="96"/>
              </w:rPr>
              <w:t>Broker</w:t>
            </w:r>
          </w:p>
        </w:tc>
        <w:tc>
          <w:tcPr>
            <w:tcW w:w="0" w:type="dxa"/>
            <w:vAlign w:val="bottom"/>
          </w:tcPr>
          <w:p>
            <w:pPr>
              <w:spacing w:after="0"/>
              <w:rPr>
                <w:sz w:val="1"/>
                <w:szCs w:val="1"/>
                <w:color w:val="auto"/>
              </w:rPr>
            </w:pPr>
          </w:p>
        </w:tc>
      </w:tr>
      <w:tr>
        <w:trPr>
          <w:trHeight w:val="261"/>
        </w:trPr>
        <w:tc>
          <w:tcPr>
            <w:tcW w:w="6860" w:type="dxa"/>
            <w:vAlign w:val="bottom"/>
          </w:tcPr>
          <w:p>
            <w:pPr>
              <w:spacing w:after="0"/>
              <w:rPr>
                <w:sz w:val="22"/>
                <w:szCs w:val="22"/>
                <w:color w:val="auto"/>
              </w:rPr>
            </w:pPr>
          </w:p>
        </w:tc>
        <w:tc>
          <w:tcPr>
            <w:tcW w:w="1380" w:type="dxa"/>
            <w:vAlign w:val="bottom"/>
            <w:tcBorders>
              <w:bottom w:val="single" w:sz="8" w:color="auto"/>
            </w:tcBorders>
            <w:vMerge w:val="continue"/>
          </w:tcPr>
          <w:p>
            <w:pPr>
              <w:spacing w:after="0"/>
              <w:rPr>
                <w:sz w:val="22"/>
                <w:szCs w:val="22"/>
                <w:color w:val="auto"/>
              </w:rPr>
            </w:pPr>
          </w:p>
        </w:tc>
        <w:tc>
          <w:tcPr>
            <w:tcW w:w="14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Withheld</w:t>
            </w:r>
          </w:p>
        </w:tc>
        <w:tc>
          <w:tcPr>
            <w:tcW w:w="15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8"/>
              </w:rPr>
              <w:t>Non-Votes</w:t>
            </w:r>
          </w:p>
        </w:tc>
        <w:tc>
          <w:tcPr>
            <w:tcW w:w="0" w:type="dxa"/>
            <w:vAlign w:val="bottom"/>
          </w:tcPr>
          <w:p>
            <w:pPr>
              <w:spacing w:after="0"/>
              <w:rPr>
                <w:sz w:val="1"/>
                <w:szCs w:val="1"/>
                <w:color w:val="auto"/>
              </w:rPr>
            </w:pPr>
          </w:p>
        </w:tc>
      </w:tr>
      <w:tr>
        <w:trPr>
          <w:trHeight w:val="271"/>
        </w:trPr>
        <w:tc>
          <w:tcPr>
            <w:tcW w:w="68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Talat Imran</w:t>
            </w:r>
          </w:p>
        </w:tc>
        <w:tc>
          <w:tcPr>
            <w:tcW w:w="138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226,312,911</w:t>
            </w:r>
          </w:p>
        </w:tc>
        <w:tc>
          <w:tcPr>
            <w:tcW w:w="1420" w:type="dxa"/>
            <w:vAlign w:val="bottom"/>
            <w:tcBorders>
              <w:top w:val="single" w:sz="8" w:color="CCEEFF"/>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0"/>
              </w:rPr>
              <w:t>27,468</w:t>
            </w:r>
          </w:p>
        </w:tc>
        <w:tc>
          <w:tcPr>
            <w:tcW w:w="1580" w:type="dxa"/>
            <w:vAlign w:val="bottom"/>
            <w:tcBorders>
              <w:top w:val="single" w:sz="8" w:color="CCEEFF"/>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89"/>
              </w:rPr>
              <w:t>4,249,022</w:t>
            </w:r>
          </w:p>
        </w:tc>
        <w:tc>
          <w:tcPr>
            <w:tcW w:w="0" w:type="dxa"/>
            <w:vAlign w:val="bottom"/>
          </w:tcPr>
          <w:p>
            <w:pPr>
              <w:spacing w:after="0"/>
              <w:rPr>
                <w:sz w:val="1"/>
                <w:szCs w:val="1"/>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Mir Imran</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226,125,068</w:t>
            </w:r>
          </w:p>
        </w:tc>
        <w:tc>
          <w:tcPr>
            <w:tcW w:w="1420" w:type="dxa"/>
            <w:vAlign w:val="bottom"/>
          </w:tcPr>
          <w:p>
            <w:pPr>
              <w:jc w:val="center"/>
              <w:ind w:right="110"/>
              <w:spacing w:after="0"/>
              <w:rPr>
                <w:sz w:val="20"/>
                <w:szCs w:val="20"/>
                <w:color w:val="auto"/>
              </w:rPr>
            </w:pPr>
            <w:r>
              <w:rPr>
                <w:rFonts w:ascii="Arial" w:cs="Arial" w:eastAsia="Arial" w:hAnsi="Arial"/>
                <w:sz w:val="18"/>
                <w:szCs w:val="18"/>
                <w:color w:val="auto"/>
                <w:w w:val="89"/>
              </w:rPr>
              <w:t>215,311</w:t>
            </w:r>
          </w:p>
        </w:tc>
        <w:tc>
          <w:tcPr>
            <w:tcW w:w="1580" w:type="dxa"/>
            <w:vAlign w:val="bottom"/>
          </w:tcPr>
          <w:p>
            <w:pPr>
              <w:jc w:val="center"/>
              <w:ind w:left="50"/>
              <w:spacing w:after="0"/>
              <w:rPr>
                <w:sz w:val="20"/>
                <w:szCs w:val="20"/>
                <w:color w:val="auto"/>
              </w:rPr>
            </w:pPr>
            <w:r>
              <w:rPr>
                <w:rFonts w:ascii="Arial" w:cs="Arial" w:eastAsia="Arial" w:hAnsi="Arial"/>
                <w:sz w:val="18"/>
                <w:szCs w:val="18"/>
                <w:color w:val="auto"/>
                <w:w w:val="89"/>
              </w:rPr>
              <w:t>4,249,022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Dennis Ausiello</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226,152,615</w:t>
            </w:r>
          </w:p>
        </w:tc>
        <w:tc>
          <w:tcPr>
            <w:tcW w:w="142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89"/>
              </w:rPr>
              <w:t>187,764</w:t>
            </w:r>
          </w:p>
        </w:tc>
        <w:tc>
          <w:tcPr>
            <w:tcW w:w="158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89"/>
              </w:rPr>
              <w:t>4,249,022</w:t>
            </w:r>
          </w:p>
        </w:tc>
        <w:tc>
          <w:tcPr>
            <w:tcW w:w="0" w:type="dxa"/>
            <w:vAlign w:val="bottom"/>
          </w:tcPr>
          <w:p>
            <w:pPr>
              <w:spacing w:after="0"/>
              <w:rPr>
                <w:sz w:val="1"/>
                <w:szCs w:val="1"/>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Jean-Luc Butel</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226,144,055</w:t>
            </w:r>
          </w:p>
        </w:tc>
        <w:tc>
          <w:tcPr>
            <w:tcW w:w="1420" w:type="dxa"/>
            <w:vAlign w:val="bottom"/>
          </w:tcPr>
          <w:p>
            <w:pPr>
              <w:jc w:val="center"/>
              <w:ind w:right="110"/>
              <w:spacing w:after="0"/>
              <w:rPr>
                <w:sz w:val="20"/>
                <w:szCs w:val="20"/>
                <w:color w:val="auto"/>
              </w:rPr>
            </w:pPr>
            <w:r>
              <w:rPr>
                <w:rFonts w:ascii="Arial" w:cs="Arial" w:eastAsia="Arial" w:hAnsi="Arial"/>
                <w:sz w:val="18"/>
                <w:szCs w:val="18"/>
                <w:color w:val="auto"/>
                <w:w w:val="89"/>
              </w:rPr>
              <w:t>196,324</w:t>
            </w:r>
          </w:p>
        </w:tc>
        <w:tc>
          <w:tcPr>
            <w:tcW w:w="1580" w:type="dxa"/>
            <w:vAlign w:val="bottom"/>
          </w:tcPr>
          <w:p>
            <w:pPr>
              <w:jc w:val="center"/>
              <w:ind w:left="50"/>
              <w:spacing w:after="0"/>
              <w:rPr>
                <w:sz w:val="20"/>
                <w:szCs w:val="20"/>
                <w:color w:val="auto"/>
              </w:rPr>
            </w:pPr>
            <w:r>
              <w:rPr>
                <w:rFonts w:ascii="Arial" w:cs="Arial" w:eastAsia="Arial" w:hAnsi="Arial"/>
                <w:sz w:val="18"/>
                <w:szCs w:val="18"/>
                <w:color w:val="auto"/>
                <w:w w:val="89"/>
              </w:rPr>
              <w:t>4,249,022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Laureen DeBuono</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226,292,924</w:t>
            </w:r>
          </w:p>
        </w:tc>
        <w:tc>
          <w:tcPr>
            <w:tcW w:w="142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0"/>
              </w:rPr>
              <w:t>47,455</w:t>
            </w:r>
          </w:p>
        </w:tc>
        <w:tc>
          <w:tcPr>
            <w:tcW w:w="158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89"/>
              </w:rPr>
              <w:t>4,249,022</w:t>
            </w:r>
          </w:p>
        </w:tc>
        <w:tc>
          <w:tcPr>
            <w:tcW w:w="0" w:type="dxa"/>
            <w:vAlign w:val="bottom"/>
          </w:tcPr>
          <w:p>
            <w:pPr>
              <w:spacing w:after="0"/>
              <w:rPr>
                <w:sz w:val="1"/>
                <w:szCs w:val="1"/>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Andrew Farquharson</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226,277,448</w:t>
            </w:r>
          </w:p>
        </w:tc>
        <w:tc>
          <w:tcPr>
            <w:tcW w:w="1420" w:type="dxa"/>
            <w:vAlign w:val="bottom"/>
          </w:tcPr>
          <w:p>
            <w:pPr>
              <w:jc w:val="center"/>
              <w:ind w:right="110"/>
              <w:spacing w:after="0"/>
              <w:rPr>
                <w:sz w:val="20"/>
                <w:szCs w:val="20"/>
                <w:color w:val="auto"/>
              </w:rPr>
            </w:pPr>
            <w:r>
              <w:rPr>
                <w:rFonts w:ascii="Arial" w:cs="Arial" w:eastAsia="Arial" w:hAnsi="Arial"/>
                <w:sz w:val="18"/>
                <w:szCs w:val="18"/>
                <w:color w:val="auto"/>
                <w:w w:val="90"/>
              </w:rPr>
              <w:t>62,931</w:t>
            </w:r>
          </w:p>
        </w:tc>
        <w:tc>
          <w:tcPr>
            <w:tcW w:w="1580" w:type="dxa"/>
            <w:vAlign w:val="bottom"/>
          </w:tcPr>
          <w:p>
            <w:pPr>
              <w:jc w:val="center"/>
              <w:ind w:left="50"/>
              <w:spacing w:after="0"/>
              <w:rPr>
                <w:sz w:val="20"/>
                <w:szCs w:val="20"/>
                <w:color w:val="auto"/>
              </w:rPr>
            </w:pPr>
            <w:r>
              <w:rPr>
                <w:rFonts w:ascii="Arial" w:cs="Arial" w:eastAsia="Arial" w:hAnsi="Arial"/>
                <w:sz w:val="18"/>
                <w:szCs w:val="18"/>
                <w:color w:val="auto"/>
                <w:w w:val="89"/>
              </w:rPr>
              <w:t>4,249,022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Malik Nanavaty</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226,292,189</w:t>
            </w:r>
          </w:p>
        </w:tc>
        <w:tc>
          <w:tcPr>
            <w:tcW w:w="142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0"/>
              </w:rPr>
              <w:t>48,190</w:t>
            </w:r>
          </w:p>
        </w:tc>
        <w:tc>
          <w:tcPr>
            <w:tcW w:w="158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89"/>
              </w:rPr>
              <w:t>4,249,022</w:t>
            </w:r>
          </w:p>
        </w:tc>
        <w:tc>
          <w:tcPr>
            <w:tcW w:w="0" w:type="dxa"/>
            <w:vAlign w:val="bottom"/>
          </w:tcPr>
          <w:p>
            <w:pPr>
              <w:spacing w:after="0"/>
              <w:rPr>
                <w:sz w:val="1"/>
                <w:szCs w:val="1"/>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Lisa Rometty</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226,314,568</w:t>
            </w:r>
          </w:p>
        </w:tc>
        <w:tc>
          <w:tcPr>
            <w:tcW w:w="1420" w:type="dxa"/>
            <w:vAlign w:val="bottom"/>
          </w:tcPr>
          <w:p>
            <w:pPr>
              <w:jc w:val="center"/>
              <w:ind w:right="110"/>
              <w:spacing w:after="0"/>
              <w:rPr>
                <w:sz w:val="20"/>
                <w:szCs w:val="20"/>
                <w:color w:val="auto"/>
              </w:rPr>
            </w:pPr>
            <w:r>
              <w:rPr>
                <w:rFonts w:ascii="Arial" w:cs="Arial" w:eastAsia="Arial" w:hAnsi="Arial"/>
                <w:sz w:val="18"/>
                <w:szCs w:val="18"/>
                <w:color w:val="auto"/>
                <w:w w:val="90"/>
              </w:rPr>
              <w:t>25,811</w:t>
            </w:r>
          </w:p>
        </w:tc>
        <w:tc>
          <w:tcPr>
            <w:tcW w:w="1580" w:type="dxa"/>
            <w:vAlign w:val="bottom"/>
          </w:tcPr>
          <w:p>
            <w:pPr>
              <w:jc w:val="center"/>
              <w:ind w:left="50"/>
              <w:spacing w:after="0"/>
              <w:rPr>
                <w:sz w:val="20"/>
                <w:szCs w:val="20"/>
                <w:color w:val="auto"/>
              </w:rPr>
            </w:pPr>
            <w:r>
              <w:rPr>
                <w:rFonts w:ascii="Arial" w:cs="Arial" w:eastAsia="Arial" w:hAnsi="Arial"/>
                <w:sz w:val="18"/>
                <w:szCs w:val="18"/>
                <w:color w:val="auto"/>
                <w:w w:val="89"/>
              </w:rPr>
              <w:t>4,249,022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firstLine="8"/>
        <w:spacing w:after="0" w:line="277" w:lineRule="auto"/>
        <w:tabs>
          <w:tab w:leader="none" w:pos="17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stockholders ratified the selection of Ernst &amp; Young, LLP as the Company's independent registered public accounting firm for the fiscal year ending December 31, 2023,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230,587,049</w:t>
            </w:r>
          </w:p>
        </w:tc>
        <w:tc>
          <w:tcPr>
            <w:tcW w:w="4500" w:type="dxa"/>
            <w:vAlign w:val="bottom"/>
          </w:tcPr>
          <w:p>
            <w:pPr>
              <w:spacing w:after="0"/>
              <w:rPr>
                <w:sz w:val="21"/>
                <w:szCs w:val="21"/>
                <w:color w:val="auto"/>
              </w:rPr>
            </w:pPr>
          </w:p>
        </w:tc>
      </w:tr>
      <w:tr>
        <w:trPr>
          <w:trHeight w:val="239"/>
        </w:trPr>
        <w:tc>
          <w:tcPr>
            <w:tcW w:w="3260" w:type="dxa"/>
            <w:vAlign w:val="bottom"/>
          </w:tcPr>
          <w:p>
            <w:pPr>
              <w:ind w:left="20"/>
              <w:spacing w:after="0"/>
              <w:rPr>
                <w:sz w:val="20"/>
                <w:szCs w:val="20"/>
                <w:color w:val="auto"/>
              </w:rPr>
            </w:pPr>
            <w:r>
              <w:rPr>
                <w:rFonts w:ascii="Arial" w:cs="Arial" w:eastAsia="Arial" w:hAnsi="Arial"/>
                <w:sz w:val="18"/>
                <w:szCs w:val="18"/>
                <w:b w:val="1"/>
                <w:bCs w:val="1"/>
                <w:color w:val="auto"/>
              </w:rPr>
              <w:t>Against:</w:t>
            </w:r>
          </w:p>
        </w:tc>
        <w:tc>
          <w:tcPr>
            <w:tcW w:w="3480" w:type="dxa"/>
            <w:vAlign w:val="bottom"/>
          </w:tcPr>
          <w:p>
            <w:pPr>
              <w:jc w:val="right"/>
              <w:spacing w:after="0"/>
              <w:rPr>
                <w:sz w:val="20"/>
                <w:szCs w:val="20"/>
                <w:color w:val="auto"/>
              </w:rPr>
            </w:pPr>
            <w:r>
              <w:rPr>
                <w:rFonts w:ascii="Arial" w:cs="Arial" w:eastAsia="Arial" w:hAnsi="Arial"/>
                <w:sz w:val="18"/>
                <w:szCs w:val="18"/>
                <w:color w:val="auto"/>
              </w:rPr>
              <w:t>51</w:t>
            </w:r>
          </w:p>
        </w:tc>
        <w:tc>
          <w:tcPr>
            <w:tcW w:w="4500" w:type="dxa"/>
            <w:vAlign w:val="bottom"/>
          </w:tcPr>
          <w:p>
            <w:pPr>
              <w:spacing w:after="0"/>
              <w:rPr>
                <w:sz w:val="20"/>
                <w:szCs w:val="20"/>
                <w:color w:val="auto"/>
              </w:rPr>
            </w:pPr>
          </w:p>
        </w:tc>
      </w:tr>
      <w:tr>
        <w:trPr>
          <w:trHeight w:val="247"/>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Abstain:</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4500" w:type="dxa"/>
            <w:vAlign w:val="bottom"/>
          </w:tcPr>
          <w:p>
            <w:pPr>
              <w:spacing w:after="0"/>
              <w:rPr>
                <w:sz w:val="21"/>
                <w:szCs w:val="21"/>
                <w:color w:val="auto"/>
              </w:rPr>
            </w:pPr>
          </w:p>
        </w:tc>
      </w:tr>
      <w:tr>
        <w:trPr>
          <w:trHeight w:val="547"/>
        </w:trPr>
        <w:tc>
          <w:tcPr>
            <w:tcW w:w="326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Rani Therapeutics Holdings, Inc.</w:t>
      </w: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700" w:val="left"/>
          <w:tab w:leader="none" w:pos="562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30,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23495</wp:posOffset>
            </wp:positionV>
            <wp:extent cx="32664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Svai Sanford</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2023-05-30T15:25:47Z</dcterms:created>
  <dcterms:modified xsi:type="dcterms:W3CDTF">2023-05-30T15:25:47Z</dcterms:modified>
</cp:coreProperties>
</file>