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132715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5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161290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82" w:lineRule="exact"/>
        <w:rPr>
          <w:sz w:val="24"/>
          <w:szCs w:val="24"/>
          <w:color w:val="auto"/>
        </w:rPr>
      </w:pPr>
    </w:p>
    <w:p>
      <w:pPr>
        <w:ind w:left="4620"/>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ind w:left="4160"/>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24"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May 25,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203200</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Rani Therapeutics Holdings, Inc.</w:t>
      </w:r>
    </w:p>
    <w:p>
      <w:pPr>
        <w:spacing w:after="0" w:line="90"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247650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tbl>
      <w:tblPr>
        <w:tblLayout w:type="fixed"/>
        <w:tblInd w:w="1160" w:type="dxa"/>
        <w:tblCellMar>
          <w:top w:w="0" w:type="dxa"/>
          <w:left w:w="0" w:type="dxa"/>
          <w:bottom w:w="0" w:type="dxa"/>
          <w:right w:w="0" w:type="dxa"/>
        </w:tblCellMar>
      </w:tblPr>
      <w:tr>
        <w:trPr>
          <w:trHeight w:val="234"/>
        </w:trPr>
        <w:tc>
          <w:tcPr>
            <w:tcW w:w="3020" w:type="dxa"/>
            <w:vAlign w:val="bottom"/>
          </w:tcPr>
          <w:p>
            <w:pPr>
              <w:jc w:val="center"/>
              <w:ind w:right="621"/>
              <w:spacing w:after="0"/>
              <w:rPr>
                <w:sz w:val="20"/>
                <w:szCs w:val="20"/>
                <w:color w:val="auto"/>
              </w:rPr>
            </w:pPr>
            <w:r>
              <w:rPr>
                <w:rFonts w:ascii="Arial" w:cs="Arial" w:eastAsia="Arial" w:hAnsi="Arial"/>
                <w:sz w:val="18"/>
                <w:szCs w:val="18"/>
                <w:b w:val="1"/>
                <w:bCs w:val="1"/>
                <w:color w:val="auto"/>
                <w:w w:val="91"/>
              </w:rPr>
              <w:t>Delaware</w:t>
            </w:r>
          </w:p>
        </w:tc>
        <w:tc>
          <w:tcPr>
            <w:tcW w:w="3240" w:type="dxa"/>
            <w:vAlign w:val="bottom"/>
          </w:tcPr>
          <w:p>
            <w:pPr>
              <w:jc w:val="right"/>
              <w:ind w:right="1301"/>
              <w:spacing w:after="0"/>
              <w:rPr>
                <w:sz w:val="20"/>
                <w:szCs w:val="20"/>
                <w:color w:val="auto"/>
              </w:rPr>
            </w:pPr>
            <w:r>
              <w:rPr>
                <w:rFonts w:ascii="Arial" w:cs="Arial" w:eastAsia="Arial" w:hAnsi="Arial"/>
                <w:sz w:val="18"/>
                <w:szCs w:val="18"/>
                <w:b w:val="1"/>
                <w:bCs w:val="1"/>
                <w:color w:val="auto"/>
              </w:rPr>
              <w:t>001-40672</w:t>
            </w:r>
          </w:p>
        </w:tc>
        <w:tc>
          <w:tcPr>
            <w:tcW w:w="2060" w:type="dxa"/>
            <w:vAlign w:val="bottom"/>
          </w:tcPr>
          <w:p>
            <w:pPr>
              <w:jc w:val="right"/>
              <w:ind w:right="24"/>
              <w:spacing w:after="0"/>
              <w:rPr>
                <w:sz w:val="20"/>
                <w:szCs w:val="20"/>
                <w:color w:val="auto"/>
              </w:rPr>
            </w:pPr>
            <w:r>
              <w:rPr>
                <w:rFonts w:ascii="Arial" w:cs="Arial" w:eastAsia="Arial" w:hAnsi="Arial"/>
                <w:sz w:val="18"/>
                <w:szCs w:val="18"/>
                <w:b w:val="1"/>
                <w:bCs w:val="1"/>
                <w:color w:val="auto"/>
              </w:rPr>
              <w:t>86-3114789</w:t>
            </w:r>
          </w:p>
        </w:tc>
      </w:tr>
      <w:tr>
        <w:trPr>
          <w:trHeight w:val="163"/>
        </w:trPr>
        <w:tc>
          <w:tcPr>
            <w:tcW w:w="3020" w:type="dxa"/>
            <w:vAlign w:val="bottom"/>
          </w:tcPr>
          <w:p>
            <w:pPr>
              <w:jc w:val="center"/>
              <w:ind w:right="621"/>
              <w:spacing w:after="0"/>
              <w:rPr>
                <w:sz w:val="20"/>
                <w:szCs w:val="20"/>
                <w:color w:val="auto"/>
              </w:rPr>
            </w:pPr>
            <w:r>
              <w:rPr>
                <w:rFonts w:ascii="Arial" w:cs="Arial" w:eastAsia="Arial" w:hAnsi="Arial"/>
                <w:sz w:val="13"/>
                <w:szCs w:val="13"/>
                <w:b w:val="1"/>
                <w:bCs w:val="1"/>
                <w:color w:val="auto"/>
                <w:w w:val="95"/>
              </w:rPr>
              <w:t>(State or Other Jurisdiction</w:t>
            </w:r>
          </w:p>
        </w:tc>
        <w:tc>
          <w:tcPr>
            <w:tcW w:w="3240" w:type="dxa"/>
            <w:vAlign w:val="bottom"/>
          </w:tcPr>
          <w:p>
            <w:pPr>
              <w:jc w:val="center"/>
              <w:ind w:right="221"/>
              <w:spacing w:after="0"/>
              <w:rPr>
                <w:sz w:val="20"/>
                <w:szCs w:val="20"/>
                <w:color w:val="auto"/>
              </w:rPr>
            </w:pPr>
            <w:r>
              <w:rPr>
                <w:rFonts w:ascii="Arial" w:cs="Arial" w:eastAsia="Arial" w:hAnsi="Arial"/>
                <w:sz w:val="13"/>
                <w:szCs w:val="13"/>
                <w:b w:val="1"/>
                <w:bCs w:val="1"/>
                <w:color w:val="auto"/>
                <w:w w:val="95"/>
              </w:rPr>
              <w:t>(Commission File Number)</w:t>
            </w:r>
          </w:p>
        </w:tc>
        <w:tc>
          <w:tcPr>
            <w:tcW w:w="2060" w:type="dxa"/>
            <w:vAlign w:val="bottom"/>
          </w:tcPr>
          <w:p>
            <w:pPr>
              <w:jc w:val="center"/>
              <w:ind w:left="924"/>
              <w:spacing w:after="0"/>
              <w:rPr>
                <w:sz w:val="20"/>
                <w:szCs w:val="20"/>
                <w:color w:val="auto"/>
              </w:rPr>
            </w:pPr>
            <w:r>
              <w:rPr>
                <w:rFonts w:ascii="Arial" w:cs="Arial" w:eastAsia="Arial" w:hAnsi="Arial"/>
                <w:sz w:val="13"/>
                <w:szCs w:val="13"/>
                <w:b w:val="1"/>
                <w:bCs w:val="1"/>
                <w:color w:val="auto"/>
                <w:w w:val="96"/>
              </w:rPr>
              <w:t>(IRS Employer</w:t>
            </w:r>
          </w:p>
        </w:tc>
      </w:tr>
      <w:tr>
        <w:trPr>
          <w:trHeight w:val="174"/>
        </w:trPr>
        <w:tc>
          <w:tcPr>
            <w:tcW w:w="3020" w:type="dxa"/>
            <w:vAlign w:val="bottom"/>
          </w:tcPr>
          <w:p>
            <w:pPr>
              <w:jc w:val="center"/>
              <w:ind w:right="621"/>
              <w:spacing w:after="0"/>
              <w:rPr>
                <w:sz w:val="20"/>
                <w:szCs w:val="20"/>
                <w:color w:val="auto"/>
              </w:rPr>
            </w:pPr>
            <w:r>
              <w:rPr>
                <w:rFonts w:ascii="Arial" w:cs="Arial" w:eastAsia="Arial" w:hAnsi="Arial"/>
                <w:sz w:val="13"/>
                <w:szCs w:val="13"/>
                <w:b w:val="1"/>
                <w:bCs w:val="1"/>
                <w:color w:val="auto"/>
                <w:w w:val="96"/>
              </w:rPr>
              <w:t>of Incorporation)</w:t>
            </w:r>
          </w:p>
        </w:tc>
        <w:tc>
          <w:tcPr>
            <w:tcW w:w="3240" w:type="dxa"/>
            <w:vAlign w:val="bottom"/>
          </w:tcPr>
          <w:p>
            <w:pPr>
              <w:spacing w:after="0"/>
              <w:rPr>
                <w:sz w:val="15"/>
                <w:szCs w:val="15"/>
                <w:color w:val="auto"/>
              </w:rPr>
            </w:pPr>
          </w:p>
        </w:tc>
        <w:tc>
          <w:tcPr>
            <w:tcW w:w="2060" w:type="dxa"/>
            <w:vAlign w:val="bottom"/>
          </w:tcPr>
          <w:p>
            <w:pPr>
              <w:jc w:val="center"/>
              <w:ind w:left="924"/>
              <w:spacing w:after="0"/>
              <w:rPr>
                <w:sz w:val="20"/>
                <w:szCs w:val="20"/>
                <w:color w:val="auto"/>
              </w:rPr>
            </w:pPr>
            <w:r>
              <w:rPr>
                <w:rFonts w:ascii="Arial" w:cs="Arial" w:eastAsia="Arial" w:hAnsi="Arial"/>
                <w:sz w:val="13"/>
                <w:szCs w:val="13"/>
                <w:b w:val="1"/>
                <w:bCs w:val="1"/>
                <w:color w:val="auto"/>
                <w:w w:val="96"/>
              </w:rPr>
              <w:t>Identification No.)</w:t>
            </w:r>
          </w:p>
        </w:tc>
      </w:tr>
      <w:tr>
        <w:trPr>
          <w:trHeight w:val="473"/>
        </w:trPr>
        <w:tc>
          <w:tcPr>
            <w:tcW w:w="3020" w:type="dxa"/>
            <w:vAlign w:val="bottom"/>
          </w:tcPr>
          <w:p>
            <w:pPr>
              <w:jc w:val="center"/>
              <w:ind w:right="601"/>
              <w:spacing w:after="0"/>
              <w:rPr>
                <w:sz w:val="20"/>
                <w:szCs w:val="20"/>
                <w:color w:val="auto"/>
              </w:rPr>
            </w:pPr>
            <w:r>
              <w:rPr>
                <w:rFonts w:ascii="Arial" w:cs="Arial" w:eastAsia="Arial" w:hAnsi="Arial"/>
                <w:sz w:val="18"/>
                <w:szCs w:val="18"/>
                <w:b w:val="1"/>
                <w:bCs w:val="1"/>
                <w:color w:val="auto"/>
                <w:w w:val="88"/>
              </w:rPr>
              <w:t>2051 Ringwood Avenue</w:t>
            </w:r>
          </w:p>
        </w:tc>
        <w:tc>
          <w:tcPr>
            <w:tcW w:w="3240" w:type="dxa"/>
            <w:vAlign w:val="bottom"/>
          </w:tcPr>
          <w:p>
            <w:pPr>
              <w:spacing w:after="0"/>
              <w:rPr>
                <w:sz w:val="24"/>
                <w:szCs w:val="24"/>
                <w:color w:val="auto"/>
              </w:rPr>
            </w:pPr>
          </w:p>
        </w:tc>
        <w:tc>
          <w:tcPr>
            <w:tcW w:w="2060" w:type="dxa"/>
            <w:vAlign w:val="bottom"/>
          </w:tcPr>
          <w:p>
            <w:pPr>
              <w:spacing w:after="0"/>
              <w:rPr>
                <w:sz w:val="24"/>
                <w:szCs w:val="24"/>
                <w:color w:val="auto"/>
              </w:rPr>
            </w:pPr>
          </w:p>
        </w:tc>
      </w:tr>
      <w:tr>
        <w:trPr>
          <w:trHeight w:val="243"/>
        </w:trPr>
        <w:tc>
          <w:tcPr>
            <w:tcW w:w="3020" w:type="dxa"/>
            <w:vAlign w:val="bottom"/>
          </w:tcPr>
          <w:p>
            <w:pPr>
              <w:jc w:val="center"/>
              <w:ind w:right="601"/>
              <w:spacing w:after="0"/>
              <w:rPr>
                <w:sz w:val="20"/>
                <w:szCs w:val="20"/>
                <w:color w:val="auto"/>
              </w:rPr>
            </w:pPr>
            <w:r>
              <w:rPr>
                <w:rFonts w:ascii="Arial" w:cs="Arial" w:eastAsia="Arial" w:hAnsi="Arial"/>
                <w:sz w:val="18"/>
                <w:szCs w:val="18"/>
                <w:b w:val="1"/>
                <w:bCs w:val="1"/>
                <w:color w:val="auto"/>
                <w:w w:val="89"/>
              </w:rPr>
              <w:t>San Jose, California</w:t>
            </w:r>
          </w:p>
        </w:tc>
        <w:tc>
          <w:tcPr>
            <w:tcW w:w="3240" w:type="dxa"/>
            <w:vAlign w:val="bottom"/>
          </w:tcPr>
          <w:p>
            <w:pPr>
              <w:spacing w:after="0"/>
              <w:rPr>
                <w:sz w:val="21"/>
                <w:szCs w:val="21"/>
                <w:color w:val="auto"/>
              </w:rPr>
            </w:pPr>
          </w:p>
        </w:tc>
        <w:tc>
          <w:tcPr>
            <w:tcW w:w="2060" w:type="dxa"/>
            <w:vAlign w:val="bottom"/>
          </w:tcPr>
          <w:p>
            <w:pPr>
              <w:jc w:val="right"/>
              <w:ind w:right="224"/>
              <w:spacing w:after="0"/>
              <w:rPr>
                <w:sz w:val="20"/>
                <w:szCs w:val="20"/>
                <w:color w:val="auto"/>
              </w:rPr>
            </w:pPr>
            <w:r>
              <w:rPr>
                <w:rFonts w:ascii="Arial" w:cs="Arial" w:eastAsia="Arial" w:hAnsi="Arial"/>
                <w:sz w:val="18"/>
                <w:szCs w:val="18"/>
                <w:b w:val="1"/>
                <w:bCs w:val="1"/>
                <w:color w:val="auto"/>
              </w:rPr>
              <w:t>95131</w:t>
            </w:r>
          </w:p>
        </w:tc>
      </w:tr>
      <w:tr>
        <w:trPr>
          <w:trHeight w:val="188"/>
        </w:trPr>
        <w:tc>
          <w:tcPr>
            <w:tcW w:w="3020" w:type="dxa"/>
            <w:vAlign w:val="bottom"/>
          </w:tcPr>
          <w:p>
            <w:pPr>
              <w:jc w:val="center"/>
              <w:ind w:right="621"/>
              <w:spacing w:after="0"/>
              <w:rPr>
                <w:sz w:val="20"/>
                <w:szCs w:val="20"/>
                <w:color w:val="auto"/>
              </w:rPr>
            </w:pPr>
            <w:r>
              <w:rPr>
                <w:rFonts w:ascii="Arial" w:cs="Arial" w:eastAsia="Arial" w:hAnsi="Arial"/>
                <w:sz w:val="13"/>
                <w:szCs w:val="13"/>
                <w:b w:val="1"/>
                <w:bCs w:val="1"/>
                <w:color w:val="auto"/>
                <w:w w:val="93"/>
              </w:rPr>
              <w:t>(Address of Principal Executive Offices)</w:t>
            </w:r>
          </w:p>
        </w:tc>
        <w:tc>
          <w:tcPr>
            <w:tcW w:w="3240" w:type="dxa"/>
            <w:vAlign w:val="bottom"/>
          </w:tcPr>
          <w:p>
            <w:pPr>
              <w:spacing w:after="0"/>
              <w:rPr>
                <w:sz w:val="16"/>
                <w:szCs w:val="16"/>
                <w:color w:val="auto"/>
              </w:rPr>
            </w:pPr>
          </w:p>
        </w:tc>
        <w:tc>
          <w:tcPr>
            <w:tcW w:w="2060" w:type="dxa"/>
            <w:vAlign w:val="bottom"/>
          </w:tcPr>
          <w:p>
            <w:pPr>
              <w:jc w:val="center"/>
              <w:ind w:left="924"/>
              <w:spacing w:after="0"/>
              <w:rPr>
                <w:sz w:val="20"/>
                <w:szCs w:val="20"/>
                <w:color w:val="auto"/>
              </w:rPr>
            </w:pPr>
            <w:r>
              <w:rPr>
                <w:rFonts w:ascii="Arial" w:cs="Arial" w:eastAsia="Arial" w:hAnsi="Arial"/>
                <w:sz w:val="13"/>
                <w:szCs w:val="13"/>
                <w:b w:val="1"/>
                <w:bCs w:val="1"/>
                <w:color w:val="auto"/>
                <w:w w:val="96"/>
              </w:rPr>
              <w:t>(Zip Code)</w:t>
            </w:r>
          </w:p>
        </w:tc>
      </w:tr>
    </w:tbl>
    <w:p>
      <w:pPr>
        <w:spacing w:after="0" w:line="200" w:lineRule="exact"/>
        <w:rPr>
          <w:sz w:val="24"/>
          <w:szCs w:val="24"/>
          <w:color w:val="auto"/>
        </w:rPr>
      </w:pPr>
    </w:p>
    <w:p>
      <w:pPr>
        <w:spacing w:after="0" w:line="25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Registrant’s Telephone Number, Including Area Code: (408) 457-3700</w:t>
      </w: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8"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247650</wp:posOffset>
            </wp:positionV>
            <wp:extent cx="14230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6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12"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4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tcPr>
          <w:p>
            <w:pPr>
              <w:jc w:val="center"/>
              <w:spacing w:after="0"/>
              <w:rPr>
                <w:sz w:val="20"/>
                <w:szCs w:val="20"/>
                <w:color w:val="auto"/>
              </w:rPr>
            </w:pPr>
            <w:r>
              <w:rPr>
                <w:rFonts w:ascii="Arial" w:cs="Arial" w:eastAsia="Arial" w:hAnsi="Arial"/>
                <w:sz w:val="18"/>
                <w:szCs w:val="18"/>
                <w:b w:val="1"/>
                <w:bCs w:val="1"/>
                <w:color w:val="auto"/>
                <w:w w:val="90"/>
              </w:rPr>
              <w:t>Trading</w:t>
            </w:r>
          </w:p>
        </w:tc>
        <w:tc>
          <w:tcPr>
            <w:tcW w:w="140" w:type="dxa"/>
            <w:vAlign w:val="bottom"/>
          </w:tcPr>
          <w:p>
            <w:pPr>
              <w:spacing w:after="0"/>
              <w:rPr>
                <w:sz w:val="18"/>
                <w:szCs w:val="18"/>
                <w:color w:val="auto"/>
              </w:rPr>
            </w:pPr>
          </w:p>
        </w:tc>
        <w:tc>
          <w:tcPr>
            <w:tcW w:w="4460" w:type="dxa"/>
            <w:vAlign w:val="bottom"/>
          </w:tcPr>
          <w:p>
            <w:pPr>
              <w:spacing w:after="0"/>
              <w:rPr>
                <w:sz w:val="18"/>
                <w:szCs w:val="18"/>
                <w:color w:val="auto"/>
              </w:rPr>
            </w:pPr>
          </w:p>
        </w:tc>
      </w:tr>
      <w:tr>
        <w:trPr>
          <w:trHeight w:val="241"/>
        </w:trPr>
        <w:tc>
          <w:tcPr>
            <w:tcW w:w="4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140" w:type="dxa"/>
            <w:vAlign w:val="bottom"/>
          </w:tcPr>
          <w:p>
            <w:pPr>
              <w:spacing w:after="0"/>
              <w:rPr>
                <w:sz w:val="20"/>
                <w:szCs w:val="20"/>
                <w:color w:val="auto"/>
              </w:rPr>
            </w:pPr>
          </w:p>
        </w:tc>
        <w:tc>
          <w:tcPr>
            <w:tcW w:w="19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Symbol(s)</w:t>
            </w:r>
          </w:p>
        </w:tc>
        <w:tc>
          <w:tcPr>
            <w:tcW w:w="140" w:type="dxa"/>
            <w:vAlign w:val="bottom"/>
          </w:tcPr>
          <w:p>
            <w:pPr>
              <w:spacing w:after="0"/>
              <w:rPr>
                <w:sz w:val="20"/>
                <w:szCs w:val="20"/>
                <w:color w:val="auto"/>
              </w:rPr>
            </w:pPr>
          </w:p>
        </w:tc>
        <w:tc>
          <w:tcPr>
            <w:tcW w:w="44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30"/>
        </w:trPr>
        <w:tc>
          <w:tcPr>
            <w:tcW w:w="4580" w:type="dxa"/>
            <w:vAlign w:val="bottom"/>
          </w:tcPr>
          <w:p>
            <w:pPr>
              <w:jc w:val="center"/>
              <w:spacing w:after="0"/>
              <w:rPr>
                <w:sz w:val="20"/>
                <w:szCs w:val="20"/>
                <w:color w:val="auto"/>
              </w:rPr>
            </w:pPr>
            <w:r>
              <w:rPr>
                <w:rFonts w:ascii="Arial" w:cs="Arial" w:eastAsia="Arial" w:hAnsi="Arial"/>
                <w:sz w:val="18"/>
                <w:szCs w:val="18"/>
                <w:color w:val="auto"/>
                <w:w w:val="88"/>
              </w:rPr>
              <w:t>Class A common stock, par value $0.0001 per share</w:t>
            </w:r>
          </w:p>
        </w:tc>
        <w:tc>
          <w:tcPr>
            <w:tcW w:w="140" w:type="dxa"/>
            <w:vAlign w:val="bottom"/>
          </w:tcPr>
          <w:p>
            <w:pPr>
              <w:spacing w:after="0"/>
              <w:rPr>
                <w:sz w:val="20"/>
                <w:szCs w:val="20"/>
                <w:color w:val="auto"/>
              </w:rPr>
            </w:pPr>
          </w:p>
        </w:tc>
        <w:tc>
          <w:tcPr>
            <w:tcW w:w="1920" w:type="dxa"/>
            <w:vAlign w:val="bottom"/>
          </w:tcPr>
          <w:p>
            <w:pPr>
              <w:jc w:val="center"/>
              <w:spacing w:after="0"/>
              <w:rPr>
                <w:sz w:val="20"/>
                <w:szCs w:val="20"/>
                <w:color w:val="auto"/>
              </w:rPr>
            </w:pPr>
            <w:r>
              <w:rPr>
                <w:rFonts w:ascii="Arial" w:cs="Arial" w:eastAsia="Arial" w:hAnsi="Arial"/>
                <w:sz w:val="18"/>
                <w:szCs w:val="18"/>
                <w:color w:val="auto"/>
              </w:rPr>
              <w:t>RANI</w:t>
            </w:r>
          </w:p>
        </w:tc>
        <w:tc>
          <w:tcPr>
            <w:tcW w:w="140" w:type="dxa"/>
            <w:vAlign w:val="bottom"/>
          </w:tcPr>
          <w:p>
            <w:pPr>
              <w:spacing w:after="0"/>
              <w:rPr>
                <w:sz w:val="20"/>
                <w:szCs w:val="20"/>
                <w:color w:val="auto"/>
              </w:rPr>
            </w:pPr>
          </w:p>
        </w:tc>
        <w:tc>
          <w:tcPr>
            <w:tcW w:w="4460" w:type="dxa"/>
            <w:vAlign w:val="bottom"/>
          </w:tcPr>
          <w:p>
            <w:pPr>
              <w:jc w:val="center"/>
              <w:spacing w:after="0"/>
              <w:rPr>
                <w:sz w:val="20"/>
                <w:szCs w:val="20"/>
                <w:color w:val="auto"/>
              </w:rPr>
            </w:pPr>
            <w:r>
              <w:rPr>
                <w:rFonts w:ascii="Arial" w:cs="Arial" w:eastAsia="Arial" w:hAnsi="Arial"/>
                <w:sz w:val="18"/>
                <w:szCs w:val="18"/>
                <w:color w:val="auto"/>
                <w:w w:val="91"/>
              </w:rPr>
              <w:t>The Nasdaq Stock Market LLC</w:t>
            </w:r>
          </w:p>
        </w:tc>
      </w:tr>
    </w:tbl>
    <w:p>
      <w:pPr>
        <w:spacing w:after="0" w:line="201"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72"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39" w:lineRule="exact"/>
        <w:rPr>
          <w:sz w:val="24"/>
          <w:szCs w:val="24"/>
          <w:color w:val="auto"/>
        </w:rPr>
      </w:pPr>
    </w:p>
    <w:p>
      <w:pPr>
        <w:ind w:right="160"/>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136525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153670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355600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76"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5.07 Submission of Matters to a Vote of Security Holders.</w:t>
      </w:r>
    </w:p>
    <w:p>
      <w:pPr>
        <w:spacing w:after="0" w:line="121" w:lineRule="exact"/>
        <w:rPr>
          <w:sz w:val="20"/>
          <w:szCs w:val="20"/>
          <w:color w:val="auto"/>
        </w:rPr>
      </w:pPr>
    </w:p>
    <w:p>
      <w:pPr>
        <w:ind w:right="120"/>
        <w:spacing w:after="0" w:line="296" w:lineRule="auto"/>
        <w:rPr>
          <w:sz w:val="20"/>
          <w:szCs w:val="20"/>
          <w:color w:val="auto"/>
        </w:rPr>
      </w:pPr>
      <w:r>
        <w:rPr>
          <w:rFonts w:ascii="Arial" w:cs="Arial" w:eastAsia="Arial" w:hAnsi="Arial"/>
          <w:sz w:val="16"/>
          <w:szCs w:val="16"/>
          <w:color w:val="auto"/>
        </w:rPr>
        <w:t>On May 25, 2023, Rani Therapeutics Holdings, Inc. (the “Company”) held its annual meeting of stockholders (“Annual Meeting”). As of March 30, 2023, the record date for the Annual Meeting, there were 25,375,911 shares of Class A common stock outstanding and entitled to vote and 24,116,444 shares of Class B common stock outstanding and entitled to vote at the Annual Meeting. Holders of the Company’s Class A common stock are entitled to one vote per share and holders of the Company’s Class B common stock are entitled to ten votes per share. Holders of Class A common stock and Class B common stock voted together as a single class on all matters submitted to a vote of stockholders at the Annual Meeting.</w:t>
      </w:r>
    </w:p>
    <w:p>
      <w:pPr>
        <w:spacing w:after="0" w:line="16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following is a summary of the matters voted on at the Annual Meeting based on the report of the voting results by the inspector of election. The Company’s Definitive Proxy Statement on Schedule 14A filed with the Securities and Exchange Commission on April 11, 2023 contains a description of the following proposals considered at the Annual Meeting, each of which were approved by the Company's stockholders at the Annual Meeting as set forth below:</w:t>
      </w:r>
    </w:p>
    <w:p>
      <w:pPr>
        <w:spacing w:after="0" w:line="187" w:lineRule="exact"/>
        <w:rPr>
          <w:sz w:val="20"/>
          <w:szCs w:val="20"/>
          <w:color w:val="auto"/>
        </w:rPr>
      </w:pPr>
    </w:p>
    <w:p>
      <w:pPr>
        <w:ind w:right="180" w:firstLine="8"/>
        <w:spacing w:after="0" w:line="277" w:lineRule="auto"/>
        <w:tabs>
          <w:tab w:leader="none" w:pos="177"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Company’s stockholders elected the director nominees below, to hold office until the 2024 annual meeting of stockholders or until their successors are duly elected and qualified, as follows:</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860" w:type="dxa"/>
            <w:vAlign w:val="bottom"/>
          </w:tcPr>
          <w:p>
            <w:pPr>
              <w:spacing w:after="0"/>
              <w:rPr>
                <w:sz w:val="18"/>
                <w:szCs w:val="18"/>
                <w:color w:val="auto"/>
              </w:rPr>
            </w:pPr>
          </w:p>
        </w:tc>
        <w:tc>
          <w:tcPr>
            <w:tcW w:w="13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6"/>
              </w:rPr>
              <w:t>For</w:t>
            </w:r>
          </w:p>
        </w:tc>
        <w:tc>
          <w:tcPr>
            <w:tcW w:w="1420" w:type="dxa"/>
            <w:vAlign w:val="bottom"/>
          </w:tcPr>
          <w:p>
            <w:pPr>
              <w:spacing w:after="0"/>
              <w:rPr>
                <w:sz w:val="18"/>
                <w:szCs w:val="18"/>
                <w:color w:val="auto"/>
              </w:rPr>
            </w:pPr>
          </w:p>
        </w:tc>
        <w:tc>
          <w:tcPr>
            <w:tcW w:w="1580" w:type="dxa"/>
            <w:vAlign w:val="bottom"/>
          </w:tcPr>
          <w:p>
            <w:pPr>
              <w:jc w:val="center"/>
              <w:ind w:left="50"/>
              <w:spacing w:after="0"/>
              <w:rPr>
                <w:sz w:val="20"/>
                <w:szCs w:val="20"/>
                <w:color w:val="auto"/>
              </w:rPr>
            </w:pPr>
            <w:r>
              <w:rPr>
                <w:rFonts w:ascii="Arial" w:cs="Arial" w:eastAsia="Arial" w:hAnsi="Arial"/>
                <w:sz w:val="18"/>
                <w:szCs w:val="18"/>
                <w:b w:val="1"/>
                <w:bCs w:val="1"/>
                <w:color w:val="auto"/>
                <w:w w:val="96"/>
              </w:rPr>
              <w:t>Broker</w:t>
            </w:r>
          </w:p>
        </w:tc>
        <w:tc>
          <w:tcPr>
            <w:tcW w:w="0" w:type="dxa"/>
            <w:vAlign w:val="bottom"/>
          </w:tcPr>
          <w:p>
            <w:pPr>
              <w:spacing w:after="0"/>
              <w:rPr>
                <w:sz w:val="1"/>
                <w:szCs w:val="1"/>
                <w:color w:val="auto"/>
              </w:rPr>
            </w:pPr>
          </w:p>
        </w:tc>
      </w:tr>
      <w:tr>
        <w:trPr>
          <w:trHeight w:val="261"/>
        </w:trPr>
        <w:tc>
          <w:tcPr>
            <w:tcW w:w="6860" w:type="dxa"/>
            <w:vAlign w:val="bottom"/>
          </w:tcPr>
          <w:p>
            <w:pPr>
              <w:spacing w:after="0"/>
              <w:rPr>
                <w:sz w:val="22"/>
                <w:szCs w:val="22"/>
                <w:color w:val="auto"/>
              </w:rPr>
            </w:pPr>
          </w:p>
        </w:tc>
        <w:tc>
          <w:tcPr>
            <w:tcW w:w="1380" w:type="dxa"/>
            <w:vAlign w:val="bottom"/>
            <w:tcBorders>
              <w:bottom w:val="single" w:sz="8" w:color="auto"/>
            </w:tcBorders>
            <w:vMerge w:val="continue"/>
          </w:tcPr>
          <w:p>
            <w:pPr>
              <w:spacing w:after="0"/>
              <w:rPr>
                <w:sz w:val="22"/>
                <w:szCs w:val="22"/>
                <w:color w:val="auto"/>
              </w:rPr>
            </w:pPr>
          </w:p>
        </w:tc>
        <w:tc>
          <w:tcPr>
            <w:tcW w:w="142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Withheld</w:t>
            </w:r>
          </w:p>
        </w:tc>
        <w:tc>
          <w:tcPr>
            <w:tcW w:w="1580" w:type="dxa"/>
            <w:vAlign w:val="bottom"/>
            <w:tcBorders>
              <w:bottom w:val="single" w:sz="8" w:color="auto"/>
            </w:tcBorders>
          </w:tcPr>
          <w:p>
            <w:pPr>
              <w:jc w:val="center"/>
              <w:ind w:left="50"/>
              <w:spacing w:after="0"/>
              <w:rPr>
                <w:sz w:val="20"/>
                <w:szCs w:val="20"/>
                <w:color w:val="auto"/>
              </w:rPr>
            </w:pPr>
            <w:r>
              <w:rPr>
                <w:rFonts w:ascii="Arial" w:cs="Arial" w:eastAsia="Arial" w:hAnsi="Arial"/>
                <w:sz w:val="18"/>
                <w:szCs w:val="18"/>
                <w:b w:val="1"/>
                <w:bCs w:val="1"/>
                <w:color w:val="auto"/>
                <w:w w:val="88"/>
              </w:rPr>
              <w:t>Non-Votes</w:t>
            </w:r>
          </w:p>
        </w:tc>
        <w:tc>
          <w:tcPr>
            <w:tcW w:w="0" w:type="dxa"/>
            <w:vAlign w:val="bottom"/>
          </w:tcPr>
          <w:p>
            <w:pPr>
              <w:spacing w:after="0"/>
              <w:rPr>
                <w:sz w:val="1"/>
                <w:szCs w:val="1"/>
                <w:color w:val="auto"/>
              </w:rPr>
            </w:pPr>
          </w:p>
        </w:tc>
      </w:tr>
      <w:tr>
        <w:trPr>
          <w:trHeight w:val="271"/>
        </w:trPr>
        <w:tc>
          <w:tcPr>
            <w:tcW w:w="686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Talat Imran</w:t>
            </w:r>
          </w:p>
        </w:tc>
        <w:tc>
          <w:tcPr>
            <w:tcW w:w="1380" w:type="dxa"/>
            <w:vAlign w:val="bottom"/>
            <w:tcBorders>
              <w:top w:val="single" w:sz="8" w:color="CCEEFF"/>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7"/>
              </w:rPr>
              <w:t>226,312,911</w:t>
            </w:r>
          </w:p>
        </w:tc>
        <w:tc>
          <w:tcPr>
            <w:tcW w:w="1420" w:type="dxa"/>
            <w:vAlign w:val="bottom"/>
            <w:tcBorders>
              <w:top w:val="single" w:sz="8" w:color="CCEEFF"/>
              <w:bottom w:val="single" w:sz="8" w:color="CCEEFF"/>
            </w:tcBorders>
            <w:shd w:val="clear" w:color="auto" w:fill="CCEEFF"/>
          </w:tcPr>
          <w:p>
            <w:pPr>
              <w:jc w:val="center"/>
              <w:ind w:right="110"/>
              <w:spacing w:after="0"/>
              <w:rPr>
                <w:sz w:val="20"/>
                <w:szCs w:val="20"/>
                <w:color w:val="auto"/>
              </w:rPr>
            </w:pPr>
            <w:r>
              <w:rPr>
                <w:rFonts w:ascii="Arial" w:cs="Arial" w:eastAsia="Arial" w:hAnsi="Arial"/>
                <w:sz w:val="18"/>
                <w:szCs w:val="18"/>
                <w:color w:val="auto"/>
                <w:w w:val="90"/>
              </w:rPr>
              <w:t>27,468</w:t>
            </w:r>
          </w:p>
        </w:tc>
        <w:tc>
          <w:tcPr>
            <w:tcW w:w="1580" w:type="dxa"/>
            <w:vAlign w:val="bottom"/>
            <w:tcBorders>
              <w:top w:val="single" w:sz="8" w:color="CCEEFF"/>
              <w:bottom w:val="single" w:sz="8" w:color="CCEEFF"/>
            </w:tcBorders>
            <w:shd w:val="clear" w:color="auto" w:fill="CCEEFF"/>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43"/>
        </w:trPr>
        <w:tc>
          <w:tcPr>
            <w:tcW w:w="6860" w:type="dxa"/>
            <w:vAlign w:val="bottom"/>
          </w:tcPr>
          <w:p>
            <w:pPr>
              <w:ind w:left="20"/>
              <w:spacing w:after="0"/>
              <w:rPr>
                <w:sz w:val="20"/>
                <w:szCs w:val="20"/>
                <w:color w:val="auto"/>
              </w:rPr>
            </w:pPr>
            <w:r>
              <w:rPr>
                <w:rFonts w:ascii="Arial" w:cs="Arial" w:eastAsia="Arial" w:hAnsi="Arial"/>
                <w:sz w:val="18"/>
                <w:szCs w:val="18"/>
                <w:color w:val="auto"/>
              </w:rPr>
              <w:t>Mir Imran</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226,125,068</w:t>
            </w:r>
          </w:p>
        </w:tc>
        <w:tc>
          <w:tcPr>
            <w:tcW w:w="1420" w:type="dxa"/>
            <w:vAlign w:val="bottom"/>
          </w:tcPr>
          <w:p>
            <w:pPr>
              <w:jc w:val="center"/>
              <w:ind w:right="110"/>
              <w:spacing w:after="0"/>
              <w:rPr>
                <w:sz w:val="20"/>
                <w:szCs w:val="20"/>
                <w:color w:val="auto"/>
              </w:rPr>
            </w:pPr>
            <w:r>
              <w:rPr>
                <w:rFonts w:ascii="Arial" w:cs="Arial" w:eastAsia="Arial" w:hAnsi="Arial"/>
                <w:sz w:val="18"/>
                <w:szCs w:val="18"/>
                <w:color w:val="auto"/>
                <w:w w:val="89"/>
              </w:rPr>
              <w:t>215,311</w:t>
            </w:r>
          </w:p>
        </w:tc>
        <w:tc>
          <w:tcPr>
            <w:tcW w:w="1580" w:type="dxa"/>
            <w:vAlign w:val="bottom"/>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7"/>
        </w:trPr>
        <w:tc>
          <w:tcPr>
            <w:tcW w:w="68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Dennis Ausiello</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226,152,615</w:t>
            </w:r>
          </w:p>
        </w:tc>
        <w:tc>
          <w:tcPr>
            <w:tcW w:w="1420" w:type="dxa"/>
            <w:vAlign w:val="bottom"/>
            <w:tcBorders>
              <w:bottom w:val="single" w:sz="8" w:color="CCEEFF"/>
            </w:tcBorders>
            <w:shd w:val="clear" w:color="auto" w:fill="CCEEFF"/>
          </w:tcPr>
          <w:p>
            <w:pPr>
              <w:jc w:val="center"/>
              <w:ind w:right="110"/>
              <w:spacing w:after="0"/>
              <w:rPr>
                <w:sz w:val="20"/>
                <w:szCs w:val="20"/>
                <w:color w:val="auto"/>
              </w:rPr>
            </w:pPr>
            <w:r>
              <w:rPr>
                <w:rFonts w:ascii="Arial" w:cs="Arial" w:eastAsia="Arial" w:hAnsi="Arial"/>
                <w:sz w:val="18"/>
                <w:szCs w:val="18"/>
                <w:color w:val="auto"/>
                <w:w w:val="89"/>
              </w:rPr>
              <w:t>187,764</w:t>
            </w:r>
          </w:p>
        </w:tc>
        <w:tc>
          <w:tcPr>
            <w:tcW w:w="1580" w:type="dxa"/>
            <w:vAlign w:val="bottom"/>
            <w:tcBorders>
              <w:bottom w:val="single" w:sz="8" w:color="CCEEFF"/>
            </w:tcBorders>
            <w:shd w:val="clear" w:color="auto" w:fill="CCEEFF"/>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43"/>
        </w:trPr>
        <w:tc>
          <w:tcPr>
            <w:tcW w:w="6860" w:type="dxa"/>
            <w:vAlign w:val="bottom"/>
          </w:tcPr>
          <w:p>
            <w:pPr>
              <w:ind w:left="20"/>
              <w:spacing w:after="0"/>
              <w:rPr>
                <w:sz w:val="20"/>
                <w:szCs w:val="20"/>
                <w:color w:val="auto"/>
              </w:rPr>
            </w:pPr>
            <w:r>
              <w:rPr>
                <w:rFonts w:ascii="Arial" w:cs="Arial" w:eastAsia="Arial" w:hAnsi="Arial"/>
                <w:sz w:val="18"/>
                <w:szCs w:val="18"/>
                <w:color w:val="auto"/>
              </w:rPr>
              <w:t>Jean-Luc Butel</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226,144,055</w:t>
            </w:r>
          </w:p>
        </w:tc>
        <w:tc>
          <w:tcPr>
            <w:tcW w:w="1420" w:type="dxa"/>
            <w:vAlign w:val="bottom"/>
          </w:tcPr>
          <w:p>
            <w:pPr>
              <w:jc w:val="center"/>
              <w:ind w:right="110"/>
              <w:spacing w:after="0"/>
              <w:rPr>
                <w:sz w:val="20"/>
                <w:szCs w:val="20"/>
                <w:color w:val="auto"/>
              </w:rPr>
            </w:pPr>
            <w:r>
              <w:rPr>
                <w:rFonts w:ascii="Arial" w:cs="Arial" w:eastAsia="Arial" w:hAnsi="Arial"/>
                <w:sz w:val="18"/>
                <w:szCs w:val="18"/>
                <w:color w:val="auto"/>
                <w:w w:val="89"/>
              </w:rPr>
              <w:t>196,324</w:t>
            </w:r>
          </w:p>
        </w:tc>
        <w:tc>
          <w:tcPr>
            <w:tcW w:w="1580" w:type="dxa"/>
            <w:vAlign w:val="bottom"/>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7"/>
        </w:trPr>
        <w:tc>
          <w:tcPr>
            <w:tcW w:w="68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Laureen DeBuono</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226,292,924</w:t>
            </w:r>
          </w:p>
        </w:tc>
        <w:tc>
          <w:tcPr>
            <w:tcW w:w="1420" w:type="dxa"/>
            <w:vAlign w:val="bottom"/>
            <w:tcBorders>
              <w:bottom w:val="single" w:sz="8" w:color="CCEEFF"/>
            </w:tcBorders>
            <w:shd w:val="clear" w:color="auto" w:fill="CCEEFF"/>
          </w:tcPr>
          <w:p>
            <w:pPr>
              <w:jc w:val="center"/>
              <w:ind w:right="110"/>
              <w:spacing w:after="0"/>
              <w:rPr>
                <w:sz w:val="20"/>
                <w:szCs w:val="20"/>
                <w:color w:val="auto"/>
              </w:rPr>
            </w:pPr>
            <w:r>
              <w:rPr>
                <w:rFonts w:ascii="Arial" w:cs="Arial" w:eastAsia="Arial" w:hAnsi="Arial"/>
                <w:sz w:val="18"/>
                <w:szCs w:val="18"/>
                <w:color w:val="auto"/>
                <w:w w:val="90"/>
              </w:rPr>
              <w:t>47,455</w:t>
            </w:r>
          </w:p>
        </w:tc>
        <w:tc>
          <w:tcPr>
            <w:tcW w:w="1580" w:type="dxa"/>
            <w:vAlign w:val="bottom"/>
            <w:tcBorders>
              <w:bottom w:val="single" w:sz="8" w:color="CCEEFF"/>
            </w:tcBorders>
            <w:shd w:val="clear" w:color="auto" w:fill="CCEEFF"/>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43"/>
        </w:trPr>
        <w:tc>
          <w:tcPr>
            <w:tcW w:w="6860" w:type="dxa"/>
            <w:vAlign w:val="bottom"/>
          </w:tcPr>
          <w:p>
            <w:pPr>
              <w:ind w:left="20"/>
              <w:spacing w:after="0"/>
              <w:rPr>
                <w:sz w:val="20"/>
                <w:szCs w:val="20"/>
                <w:color w:val="auto"/>
              </w:rPr>
            </w:pPr>
            <w:r>
              <w:rPr>
                <w:rFonts w:ascii="Arial" w:cs="Arial" w:eastAsia="Arial" w:hAnsi="Arial"/>
                <w:sz w:val="18"/>
                <w:szCs w:val="18"/>
                <w:color w:val="auto"/>
              </w:rPr>
              <w:t>Andrew Farquharson</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226,277,448</w:t>
            </w:r>
          </w:p>
        </w:tc>
        <w:tc>
          <w:tcPr>
            <w:tcW w:w="1420" w:type="dxa"/>
            <w:vAlign w:val="bottom"/>
          </w:tcPr>
          <w:p>
            <w:pPr>
              <w:jc w:val="center"/>
              <w:ind w:right="110"/>
              <w:spacing w:after="0"/>
              <w:rPr>
                <w:sz w:val="20"/>
                <w:szCs w:val="20"/>
                <w:color w:val="auto"/>
              </w:rPr>
            </w:pPr>
            <w:r>
              <w:rPr>
                <w:rFonts w:ascii="Arial" w:cs="Arial" w:eastAsia="Arial" w:hAnsi="Arial"/>
                <w:sz w:val="18"/>
                <w:szCs w:val="18"/>
                <w:color w:val="auto"/>
                <w:w w:val="90"/>
              </w:rPr>
              <w:t>62,931</w:t>
            </w:r>
          </w:p>
        </w:tc>
        <w:tc>
          <w:tcPr>
            <w:tcW w:w="1580" w:type="dxa"/>
            <w:vAlign w:val="bottom"/>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7"/>
        </w:trPr>
        <w:tc>
          <w:tcPr>
            <w:tcW w:w="68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6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Malik Nanavaty</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226,292,189</w:t>
            </w:r>
          </w:p>
        </w:tc>
        <w:tc>
          <w:tcPr>
            <w:tcW w:w="1420" w:type="dxa"/>
            <w:vAlign w:val="bottom"/>
            <w:tcBorders>
              <w:bottom w:val="single" w:sz="8" w:color="CCEEFF"/>
            </w:tcBorders>
            <w:shd w:val="clear" w:color="auto" w:fill="CCEEFF"/>
          </w:tcPr>
          <w:p>
            <w:pPr>
              <w:jc w:val="center"/>
              <w:ind w:right="110"/>
              <w:spacing w:after="0"/>
              <w:rPr>
                <w:sz w:val="20"/>
                <w:szCs w:val="20"/>
                <w:color w:val="auto"/>
              </w:rPr>
            </w:pPr>
            <w:r>
              <w:rPr>
                <w:rFonts w:ascii="Arial" w:cs="Arial" w:eastAsia="Arial" w:hAnsi="Arial"/>
                <w:sz w:val="18"/>
                <w:szCs w:val="18"/>
                <w:color w:val="auto"/>
                <w:w w:val="90"/>
              </w:rPr>
              <w:t>48,190</w:t>
            </w:r>
          </w:p>
        </w:tc>
        <w:tc>
          <w:tcPr>
            <w:tcW w:w="1580" w:type="dxa"/>
            <w:vAlign w:val="bottom"/>
            <w:tcBorders>
              <w:bottom w:val="single" w:sz="8" w:color="CCEEFF"/>
            </w:tcBorders>
            <w:shd w:val="clear" w:color="auto" w:fill="CCEEFF"/>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r>
        <w:trPr>
          <w:trHeight w:val="243"/>
        </w:trPr>
        <w:tc>
          <w:tcPr>
            <w:tcW w:w="6860" w:type="dxa"/>
            <w:vAlign w:val="bottom"/>
          </w:tcPr>
          <w:p>
            <w:pPr>
              <w:ind w:left="20"/>
              <w:spacing w:after="0"/>
              <w:rPr>
                <w:sz w:val="20"/>
                <w:szCs w:val="20"/>
                <w:color w:val="auto"/>
              </w:rPr>
            </w:pPr>
            <w:r>
              <w:rPr>
                <w:rFonts w:ascii="Arial" w:cs="Arial" w:eastAsia="Arial" w:hAnsi="Arial"/>
                <w:sz w:val="18"/>
                <w:szCs w:val="18"/>
                <w:color w:val="auto"/>
              </w:rPr>
              <w:t>Lisa Rometty</w:t>
            </w:r>
          </w:p>
        </w:tc>
        <w:tc>
          <w:tcPr>
            <w:tcW w:w="1380" w:type="dxa"/>
            <w:vAlign w:val="bottom"/>
          </w:tcPr>
          <w:p>
            <w:pPr>
              <w:jc w:val="center"/>
              <w:spacing w:after="0"/>
              <w:rPr>
                <w:sz w:val="20"/>
                <w:szCs w:val="20"/>
                <w:color w:val="auto"/>
              </w:rPr>
            </w:pPr>
            <w:r>
              <w:rPr>
                <w:rFonts w:ascii="Arial" w:cs="Arial" w:eastAsia="Arial" w:hAnsi="Arial"/>
                <w:sz w:val="18"/>
                <w:szCs w:val="18"/>
                <w:color w:val="auto"/>
                <w:w w:val="89"/>
              </w:rPr>
              <w:t>226,314,568</w:t>
            </w:r>
          </w:p>
        </w:tc>
        <w:tc>
          <w:tcPr>
            <w:tcW w:w="1420" w:type="dxa"/>
            <w:vAlign w:val="bottom"/>
          </w:tcPr>
          <w:p>
            <w:pPr>
              <w:jc w:val="center"/>
              <w:ind w:right="110"/>
              <w:spacing w:after="0"/>
              <w:rPr>
                <w:sz w:val="20"/>
                <w:szCs w:val="20"/>
                <w:color w:val="auto"/>
              </w:rPr>
            </w:pPr>
            <w:r>
              <w:rPr>
                <w:rFonts w:ascii="Arial" w:cs="Arial" w:eastAsia="Arial" w:hAnsi="Arial"/>
                <w:sz w:val="18"/>
                <w:szCs w:val="18"/>
                <w:color w:val="auto"/>
                <w:w w:val="90"/>
              </w:rPr>
              <w:t>25,811</w:t>
            </w:r>
          </w:p>
        </w:tc>
        <w:tc>
          <w:tcPr>
            <w:tcW w:w="1580" w:type="dxa"/>
            <w:vAlign w:val="bottom"/>
          </w:tcPr>
          <w:p>
            <w:pPr>
              <w:jc w:val="center"/>
              <w:ind w:left="50"/>
              <w:spacing w:after="0"/>
              <w:rPr>
                <w:sz w:val="20"/>
                <w:szCs w:val="20"/>
                <w:color w:val="auto"/>
              </w:rPr>
            </w:pPr>
            <w:r>
              <w:rPr>
                <w:rFonts w:ascii="Arial" w:cs="Arial" w:eastAsia="Arial" w:hAnsi="Arial"/>
                <w:sz w:val="18"/>
                <w:szCs w:val="18"/>
                <w:color w:val="auto"/>
                <w:w w:val="89"/>
              </w:rPr>
              <w:t>4,249,022</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100" w:firstLine="8"/>
        <w:spacing w:after="0" w:line="277" w:lineRule="auto"/>
        <w:tabs>
          <w:tab w:leader="none" w:pos="177"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Company’s stockholders ratified the selection of Ernst &amp; Young, LLP as the Company's independent registered public accounting firm for the fiscal year ending December 31, 2023, as follows: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32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For:</w:t>
            </w:r>
          </w:p>
        </w:tc>
        <w:tc>
          <w:tcPr>
            <w:tcW w:w="3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230,587,049</w:t>
            </w:r>
          </w:p>
        </w:tc>
        <w:tc>
          <w:tcPr>
            <w:tcW w:w="4500" w:type="dxa"/>
            <w:vAlign w:val="bottom"/>
          </w:tcPr>
          <w:p>
            <w:pPr>
              <w:spacing w:after="0"/>
              <w:rPr>
                <w:sz w:val="21"/>
                <w:szCs w:val="21"/>
                <w:color w:val="auto"/>
              </w:rPr>
            </w:pPr>
          </w:p>
        </w:tc>
      </w:tr>
      <w:tr>
        <w:trPr>
          <w:trHeight w:val="239"/>
        </w:trPr>
        <w:tc>
          <w:tcPr>
            <w:tcW w:w="3260" w:type="dxa"/>
            <w:vAlign w:val="bottom"/>
          </w:tcPr>
          <w:p>
            <w:pPr>
              <w:ind w:left="20"/>
              <w:spacing w:after="0"/>
              <w:rPr>
                <w:sz w:val="20"/>
                <w:szCs w:val="20"/>
                <w:color w:val="auto"/>
              </w:rPr>
            </w:pPr>
            <w:r>
              <w:rPr>
                <w:rFonts w:ascii="Arial" w:cs="Arial" w:eastAsia="Arial" w:hAnsi="Arial"/>
                <w:sz w:val="18"/>
                <w:szCs w:val="18"/>
                <w:b w:val="1"/>
                <w:bCs w:val="1"/>
                <w:color w:val="auto"/>
              </w:rPr>
              <w:t>Against:</w:t>
            </w:r>
          </w:p>
        </w:tc>
        <w:tc>
          <w:tcPr>
            <w:tcW w:w="3480" w:type="dxa"/>
            <w:vAlign w:val="bottom"/>
          </w:tcPr>
          <w:p>
            <w:pPr>
              <w:jc w:val="right"/>
              <w:spacing w:after="0"/>
              <w:rPr>
                <w:sz w:val="20"/>
                <w:szCs w:val="20"/>
                <w:color w:val="auto"/>
              </w:rPr>
            </w:pPr>
            <w:r>
              <w:rPr>
                <w:rFonts w:ascii="Arial" w:cs="Arial" w:eastAsia="Arial" w:hAnsi="Arial"/>
                <w:sz w:val="18"/>
                <w:szCs w:val="18"/>
                <w:color w:val="auto"/>
              </w:rPr>
              <w:t>51</w:t>
            </w:r>
          </w:p>
        </w:tc>
        <w:tc>
          <w:tcPr>
            <w:tcW w:w="4500" w:type="dxa"/>
            <w:vAlign w:val="bottom"/>
          </w:tcPr>
          <w:p>
            <w:pPr>
              <w:spacing w:after="0"/>
              <w:rPr>
                <w:sz w:val="20"/>
                <w:szCs w:val="20"/>
                <w:color w:val="auto"/>
              </w:rPr>
            </w:pPr>
          </w:p>
        </w:tc>
      </w:tr>
      <w:tr>
        <w:trPr>
          <w:trHeight w:val="247"/>
        </w:trPr>
        <w:tc>
          <w:tcPr>
            <w:tcW w:w="32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Abstain:</w:t>
            </w:r>
          </w:p>
        </w:tc>
        <w:tc>
          <w:tcPr>
            <w:tcW w:w="3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2,301</w:t>
            </w:r>
          </w:p>
        </w:tc>
        <w:tc>
          <w:tcPr>
            <w:tcW w:w="4500" w:type="dxa"/>
            <w:vAlign w:val="bottom"/>
          </w:tcPr>
          <w:p>
            <w:pPr>
              <w:spacing w:after="0"/>
              <w:rPr>
                <w:sz w:val="21"/>
                <w:szCs w:val="21"/>
                <w:color w:val="auto"/>
              </w:rPr>
            </w:pPr>
          </w:p>
        </w:tc>
      </w:tr>
      <w:tr>
        <w:trPr>
          <w:trHeight w:val="547"/>
        </w:trPr>
        <w:tc>
          <w:tcPr>
            <w:tcW w:w="3260" w:type="dxa"/>
            <w:vAlign w:val="bottom"/>
            <w:tcBorders>
              <w:bottom w:val="single" w:sz="8" w:color="9A9A9A"/>
            </w:tcBorders>
          </w:tcPr>
          <w:p>
            <w:pPr>
              <w:spacing w:after="0"/>
              <w:rPr>
                <w:sz w:val="24"/>
                <w:szCs w:val="24"/>
                <w:color w:val="auto"/>
              </w:rPr>
            </w:pPr>
          </w:p>
        </w:tc>
        <w:tc>
          <w:tcPr>
            <w:tcW w:w="3480" w:type="dxa"/>
            <w:vAlign w:val="bottom"/>
            <w:tcBorders>
              <w:bottom w:val="single" w:sz="8" w:color="9A9A9A"/>
            </w:tcBorders>
          </w:tcPr>
          <w:p>
            <w:pPr>
              <w:spacing w:after="0"/>
              <w:rPr>
                <w:sz w:val="24"/>
                <w:szCs w:val="24"/>
                <w:color w:val="auto"/>
              </w:rPr>
            </w:pPr>
          </w:p>
        </w:tc>
        <w:tc>
          <w:tcPr>
            <w:tcW w:w="45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2" w:name="page3"/>
    <w:bookmarkEnd w:id="2"/>
    <w:p>
      <w:pPr>
        <w:jc w:val="center"/>
        <w:ind w:right="-5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19"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Rani Therapeutics Holdings, Inc.</w:t>
      </w:r>
    </w:p>
    <w:p>
      <w:pPr>
        <w:spacing w:after="0" w:line="200" w:lineRule="exact"/>
        <w:rPr>
          <w:sz w:val="20"/>
          <w:szCs w:val="20"/>
          <w:color w:val="auto"/>
        </w:rPr>
      </w:pPr>
    </w:p>
    <w:p>
      <w:pPr>
        <w:spacing w:after="0" w:line="228" w:lineRule="exact"/>
        <w:rPr>
          <w:sz w:val="20"/>
          <w:szCs w:val="20"/>
          <w:color w:val="auto"/>
        </w:rPr>
      </w:pPr>
    </w:p>
    <w:p>
      <w:pPr>
        <w:ind w:left="20"/>
        <w:spacing w:after="0"/>
        <w:tabs>
          <w:tab w:leader="none" w:pos="700" w:val="left"/>
          <w:tab w:leader="none" w:pos="5620" w:val="left"/>
          <w:tab w:leader="none" w:pos="60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30, 2023</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Svai Sanford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3870960</wp:posOffset>
            </wp:positionH>
            <wp:positionV relativeFrom="paragraph">
              <wp:posOffset>23495</wp:posOffset>
            </wp:positionV>
            <wp:extent cx="326644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66440" cy="8255"/>
                    </a:xfrm>
                    <a:prstGeom prst="rect">
                      <a:avLst/>
                    </a:prstGeom>
                    <a:noFill/>
                  </pic:spPr>
                </pic:pic>
              </a:graphicData>
            </a:graphic>
          </wp:anchor>
        </w:drawing>
      </w:r>
    </w:p>
    <w:p>
      <w:pPr>
        <w:spacing w:after="0" w:line="43"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Svai Sanford</w:t>
      </w:r>
    </w:p>
    <w:p>
      <w:pPr>
        <w:spacing w:after="0" w:line="23"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318770</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3" w:name="page4"/>
    <w:bookmarkEnd w:id="3"/>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2023-05-30T15:25:47Z</dcterms:created>
  <dcterms:modified xsi:type="dcterms:W3CDTF">2023-05-30T15:25:47Z</dcterms:modified>
</cp:coreProperties>
</file>