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120851.xml.htm"/>
      <w:bookmarkStart w:id="1" w:name="ksform408052026_120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Gilson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247,200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and become exercisable over a three-year period, with 1/3rd of shares vesting on the first anniversary of the grant date and 1/36th of the shares vesting in equal monthly installments thereafter, such that the option is fully vested on the third anniversary of the date of grant, subject to the Reporting Person's Continuous Service (as defined in the Company's 2021 Equity Incentive Plan (the "2021 Plan")) through such vesting date, and will vest in full upon a Change in Control (as defined in the 2021 Plan), subject to the Reporting Person's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Carlos Perez,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862"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3666</Characters>
  <CharactersWithSpaces>4275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