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90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90540"/>
                    </a:xfrm>
                    <a:prstGeom prst="rect">
                      <a:avLst/>
                    </a:prstGeom>
                    <a:noFill/>
                  </pic:spPr>
                </pic:pic>
              </a:graphicData>
            </a:graphic>
          </wp:anchor>
        </w:drawing>
      </w:r>
    </w:p>
    <w:p>
      <w:pPr>
        <w:sectPr>
          <w:pgSz w:w="11900" w:h="16838" w:orient="portrait"/>
          <w:cols w:equalWidth="0" w:num="1">
            <w:col w:w="10940"/>
          </w:cols>
          <w:pgMar w:left="480" w:top="236" w:right="479" w:bottom="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Farquharson Andrew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2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40" w:type="dxa"/>
            <w:vAlign w:val="bottom"/>
            <w:gridSpan w:val="3"/>
          </w:tcPr>
          <w:p>
            <w:pPr>
              <w:ind w:left="36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1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34"/>
              <w:spacing w:after="0"/>
              <w:rPr>
                <w:sz w:val="20"/>
                <w:szCs w:val="20"/>
                <w:color w:val="auto"/>
              </w:rPr>
            </w:pPr>
            <w:r>
              <w:rPr>
                <w:rFonts w:ascii="Arial" w:cs="Arial" w:eastAsia="Arial" w:hAnsi="Arial"/>
                <w:sz w:val="20"/>
                <w:szCs w:val="20"/>
                <w:color w:val="0000FF"/>
                <w:w w:val="87"/>
              </w:rPr>
              <w:t>1,122,283</w:t>
            </w:r>
          </w:p>
        </w:tc>
        <w:tc>
          <w:tcPr>
            <w:tcW w:w="960" w:type="dxa"/>
            <w:vAlign w:val="bottom"/>
            <w:tcBorders>
              <w:bottom w:val="single" w:sz="8" w:color="2C2C2C"/>
            </w:tcBorders>
            <w:gridSpan w:val="2"/>
          </w:tcPr>
          <w:p>
            <w:pPr>
              <w:jc w:val="center"/>
              <w:ind w:left="695"/>
              <w:spacing w:after="0"/>
              <w:rPr>
                <w:sz w:val="20"/>
                <w:szCs w:val="20"/>
                <w:color w:val="auto"/>
              </w:rPr>
            </w:pPr>
            <w:r>
              <w:rPr>
                <w:rFonts w:ascii="Arial" w:cs="Arial" w:eastAsia="Arial" w:hAnsi="Arial"/>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w w:val="97"/>
              </w:rPr>
              <w:t>See footnote</w:t>
            </w:r>
            <w:r>
              <w:rPr>
                <w:rFonts w:ascii="Arial" w:cs="Arial" w:eastAsia="Arial" w:hAnsi="Arial"/>
                <w:sz w:val="25"/>
                <w:szCs w:val="25"/>
                <w:color w:val="008000"/>
                <w:w w:val="97"/>
                <w:vertAlign w:val="superscript"/>
              </w:rPr>
              <w:t>(1)</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B Common Stock</w:t>
            </w:r>
          </w:p>
        </w:tc>
        <w:tc>
          <w:tcPr>
            <w:tcW w:w="1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34"/>
              <w:spacing w:after="0"/>
              <w:rPr>
                <w:sz w:val="20"/>
                <w:szCs w:val="20"/>
                <w:color w:val="auto"/>
              </w:rPr>
            </w:pPr>
            <w:r>
              <w:rPr>
                <w:rFonts w:ascii="Arial" w:cs="Arial" w:eastAsia="Arial" w:hAnsi="Arial"/>
                <w:sz w:val="20"/>
                <w:szCs w:val="20"/>
                <w:color w:val="0000FF"/>
                <w:w w:val="87"/>
              </w:rPr>
              <w:t>3,470,425</w:t>
            </w:r>
          </w:p>
        </w:tc>
        <w:tc>
          <w:tcPr>
            <w:tcW w:w="960" w:type="dxa"/>
            <w:vAlign w:val="bottom"/>
            <w:tcBorders>
              <w:bottom w:val="single" w:sz="8" w:color="2C2C2C"/>
            </w:tcBorders>
            <w:gridSpan w:val="2"/>
          </w:tcPr>
          <w:p>
            <w:pPr>
              <w:jc w:val="center"/>
              <w:ind w:left="695"/>
              <w:spacing w:after="0"/>
              <w:rPr>
                <w:sz w:val="20"/>
                <w:szCs w:val="20"/>
                <w:color w:val="auto"/>
              </w:rPr>
            </w:pPr>
            <w:r>
              <w:rPr>
                <w:rFonts w:ascii="Arial" w:cs="Arial" w:eastAsia="Arial" w:hAnsi="Arial"/>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w w:val="84"/>
              </w:rPr>
              <w:t>See footnote</w:t>
            </w:r>
            <w:r>
              <w:rPr>
                <w:rFonts w:ascii="Arial" w:cs="Arial" w:eastAsia="Arial" w:hAnsi="Arial"/>
                <w:sz w:val="25"/>
                <w:szCs w:val="25"/>
                <w:color w:val="008000"/>
                <w:w w:val="84"/>
                <w:vertAlign w:val="superscript"/>
              </w:rPr>
              <w:t>(2)(3)</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B Common Stock</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ind w:left="214"/>
              <w:spacing w:after="0"/>
              <w:rPr>
                <w:sz w:val="20"/>
                <w:szCs w:val="20"/>
                <w:color w:val="auto"/>
              </w:rPr>
            </w:pPr>
            <w:r>
              <w:rPr>
                <w:rFonts w:ascii="Arial" w:cs="Arial" w:eastAsia="Arial" w:hAnsi="Arial"/>
                <w:sz w:val="20"/>
                <w:szCs w:val="20"/>
                <w:color w:val="0000FF"/>
                <w:w w:val="88"/>
              </w:rPr>
              <w:t>253,557</w:t>
            </w:r>
          </w:p>
        </w:tc>
        <w:tc>
          <w:tcPr>
            <w:tcW w:w="960" w:type="dxa"/>
            <w:vAlign w:val="bottom"/>
            <w:gridSpan w:val="2"/>
          </w:tcPr>
          <w:p>
            <w:pPr>
              <w:jc w:val="center"/>
              <w:ind w:left="695"/>
              <w:spacing w:after="0"/>
              <w:rPr>
                <w:sz w:val="20"/>
                <w:szCs w:val="20"/>
                <w:color w:val="auto"/>
              </w:rPr>
            </w:pPr>
            <w:r>
              <w:rPr>
                <w:rFonts w:ascii="Arial" w:cs="Arial" w:eastAsia="Arial" w:hAnsi="Arial"/>
                <w:sz w:val="20"/>
                <w:szCs w:val="20"/>
                <w:color w:val="0000FF"/>
                <w:w w:val="96"/>
              </w:rPr>
              <w:t>D</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600" w:type="dxa"/>
            <w:vAlign w:val="bottom"/>
            <w:tcBorders>
              <w:bottom w:val="single" w:sz="8" w:color="2C2C2C"/>
            </w:tcBorders>
            <w:gridSpan w:val="4"/>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4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5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8"/>
              </w:rPr>
              <w:t>Class A Common LLC Units</w:t>
            </w:r>
            <w:r>
              <w:rPr>
                <w:rFonts w:ascii="Arial" w:cs="Arial" w:eastAsia="Arial" w:hAnsi="Arial"/>
                <w:sz w:val="25"/>
                <w:szCs w:val="25"/>
                <w:color w:val="008000"/>
                <w:w w:val="98"/>
                <w:vertAlign w:val="superscript"/>
              </w:rPr>
              <w:t>(3)</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(3)</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w w:val="89"/>
              </w:rPr>
              <w:t>3,470,425</w:t>
            </w:r>
          </w:p>
        </w:tc>
        <w:tc>
          <w:tcPr>
            <w:tcW w:w="60" w:type="dxa"/>
            <w:vAlign w:val="bottom"/>
          </w:tcPr>
          <w:p>
            <w:pPr>
              <w:spacing w:after="0"/>
              <w:rPr>
                <w:sz w:val="24"/>
                <w:szCs w:val="24"/>
                <w:color w:val="auto"/>
              </w:rPr>
            </w:pPr>
          </w:p>
        </w:tc>
        <w:tc>
          <w:tcPr>
            <w:tcW w:w="580" w:type="dxa"/>
            <w:vAlign w:val="bottom"/>
            <w:vMerge w:val="restart"/>
          </w:tcPr>
          <w:p>
            <w:pPr>
              <w:ind w:left="360"/>
              <w:spacing w:after="0"/>
              <w:rPr>
                <w:sz w:val="20"/>
                <w:szCs w:val="20"/>
                <w:color w:val="auto"/>
              </w:rPr>
            </w:pPr>
            <w:r>
              <w:rPr>
                <w:rFonts w:ascii="Arial" w:cs="Arial" w:eastAsia="Arial" w:hAnsi="Arial"/>
                <w:sz w:val="13"/>
                <w:szCs w:val="13"/>
                <w:color w:val="008000"/>
              </w:rPr>
              <w:t>(3)</w:t>
            </w:r>
          </w:p>
        </w:tc>
        <w:tc>
          <w:tcPr>
            <w:tcW w:w="340" w:type="dxa"/>
            <w:vAlign w:val="bottom"/>
          </w:tcPr>
          <w:p>
            <w:pPr>
              <w:spacing w:after="0"/>
              <w:rPr>
                <w:sz w:val="24"/>
                <w:szCs w:val="24"/>
                <w:color w:val="auto"/>
              </w:rPr>
            </w:pPr>
          </w:p>
        </w:tc>
        <w:tc>
          <w:tcPr>
            <w:tcW w:w="98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40"/>
              <w:spacing w:after="0"/>
              <w:rPr>
                <w:sz w:val="20"/>
                <w:szCs w:val="20"/>
                <w:color w:val="auto"/>
              </w:rPr>
            </w:pPr>
            <w:r>
              <w:rPr>
                <w:rFonts w:ascii="Arial" w:cs="Arial" w:eastAsia="Arial" w:hAnsi="Arial"/>
                <w:sz w:val="20"/>
                <w:szCs w:val="20"/>
                <w:color w:val="0000FF"/>
                <w:w w:val="90"/>
              </w:rPr>
              <w:t>See footnote</w:t>
            </w:r>
            <w:r>
              <w:rPr>
                <w:rFonts w:ascii="Arial" w:cs="Arial" w:eastAsia="Arial" w:hAnsi="Arial"/>
                <w:sz w:val="25"/>
                <w:szCs w:val="25"/>
                <w:color w:val="008000"/>
                <w:w w:val="90"/>
                <w:vertAlign w:val="superscript"/>
              </w:rPr>
              <w:t>(2)(3)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(3)</w:t>
            </w: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vMerge w:val="continue"/>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8"/>
              </w:rPr>
              <w:t>Class A Common LLC Units</w:t>
            </w:r>
            <w:r>
              <w:rPr>
                <w:rFonts w:ascii="Arial" w:cs="Arial" w:eastAsia="Arial" w:hAnsi="Arial"/>
                <w:sz w:val="25"/>
                <w:szCs w:val="25"/>
                <w:color w:val="008000"/>
                <w:w w:val="98"/>
                <w:vertAlign w:val="superscript"/>
              </w:rPr>
              <w:t>(3)</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(3)</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00" w:type="dxa"/>
            <w:vAlign w:val="bottom"/>
            <w:vMerge w:val="restart"/>
          </w:tcPr>
          <w:p>
            <w:pPr>
              <w:jc w:val="right"/>
              <w:ind w:right="55"/>
              <w:spacing w:after="0"/>
              <w:rPr>
                <w:sz w:val="20"/>
                <w:szCs w:val="20"/>
                <w:color w:val="auto"/>
              </w:rPr>
            </w:pPr>
            <w:r>
              <w:rPr>
                <w:rFonts w:ascii="Arial" w:cs="Arial" w:eastAsia="Arial" w:hAnsi="Arial"/>
                <w:sz w:val="20"/>
                <w:szCs w:val="20"/>
                <w:color w:val="0000FF"/>
              </w:rPr>
              <w:t>612,239</w:t>
            </w:r>
          </w:p>
        </w:tc>
        <w:tc>
          <w:tcPr>
            <w:tcW w:w="60" w:type="dxa"/>
            <w:vAlign w:val="bottom"/>
          </w:tcPr>
          <w:p>
            <w:pPr>
              <w:spacing w:after="0"/>
              <w:rPr>
                <w:sz w:val="24"/>
                <w:szCs w:val="24"/>
                <w:color w:val="auto"/>
              </w:rPr>
            </w:pPr>
          </w:p>
        </w:tc>
        <w:tc>
          <w:tcPr>
            <w:tcW w:w="580" w:type="dxa"/>
            <w:vAlign w:val="bottom"/>
            <w:vMerge w:val="restart"/>
          </w:tcPr>
          <w:p>
            <w:pPr>
              <w:ind w:left="360"/>
              <w:spacing w:after="0"/>
              <w:rPr>
                <w:sz w:val="20"/>
                <w:szCs w:val="20"/>
                <w:color w:val="auto"/>
              </w:rPr>
            </w:pPr>
            <w:r>
              <w:rPr>
                <w:rFonts w:ascii="Arial" w:cs="Arial" w:eastAsia="Arial" w:hAnsi="Arial"/>
                <w:sz w:val="13"/>
                <w:szCs w:val="13"/>
                <w:color w:val="008000"/>
              </w:rPr>
              <w:t>(3)</w:t>
            </w:r>
          </w:p>
        </w:tc>
        <w:tc>
          <w:tcPr>
            <w:tcW w:w="340" w:type="dxa"/>
            <w:vAlign w:val="bottom"/>
          </w:tcPr>
          <w:p>
            <w:pPr>
              <w:spacing w:after="0"/>
              <w:rPr>
                <w:sz w:val="24"/>
                <w:szCs w:val="24"/>
                <w:color w:val="auto"/>
              </w:rPr>
            </w:pPr>
          </w:p>
        </w:tc>
        <w:tc>
          <w:tcPr>
            <w:tcW w:w="98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(3)</w:t>
            </w: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512,180 shares of Class A Common Stock of the Issuer ("Class A Shares") held by Biologix Partners, LP and 610,103 Class A Shares held by VH Rani, LP. The Reporting Person disclaims beneficial ownership of these securities except to the extent of his pecuniary interest therein.</w:t>
      </w:r>
    </w:p>
    <w:p>
      <w:pPr>
        <w:spacing w:after="0" w:line="26" w:lineRule="exact"/>
        <w:rPr>
          <w:rFonts w:ascii="Arial" w:cs="Arial" w:eastAsia="Arial" w:hAnsi="Arial"/>
          <w:sz w:val="15"/>
          <w:szCs w:val="15"/>
          <w:color w:val="008000"/>
        </w:rPr>
      </w:pPr>
    </w:p>
    <w:p>
      <w:pPr>
        <w:ind w:left="40" w:right="3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3,372,436 shares of Class B Common Stock of the Issuer ("Class B Shares") held by InCube Ventures II, L.P. and 97,989 Class B Shares held by Rani Investment Corp. The Reporting Person disclaims beneficial ownership of these securities except to the extent of his pecuniary interest therein.</w:t>
      </w:r>
    </w:p>
    <w:p>
      <w:pPr>
        <w:spacing w:after="0" w:line="26" w:lineRule="exact"/>
        <w:rPr>
          <w:rFonts w:ascii="Arial" w:cs="Arial" w:eastAsia="Arial" w:hAnsi="Arial"/>
          <w:sz w:val="15"/>
          <w:szCs w:val="15"/>
          <w:color w:val="008000"/>
        </w:rPr>
      </w:pPr>
    </w:p>
    <w:p>
      <w:pPr>
        <w:ind w:left="40" w:right="140" w:firstLine="5"/>
        <w:spacing w:after="0" w:line="260"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Common LLC Units of Rani Therapeutics, LLC, a direct subsidiary of the Issuer. The Common LLC Units are redeemable at the election of the Reporting Person at any time for newly-issued Class A Shares on a one-for-one basis or, if mutually agreed with the Issuer, a cash payment equal to the volume weighted average market price of one Class A Share for each Common LLC Unit redeemed (subject to customary adjustments, including for stock splits, stock dividends and reclassifications). However, the Issuer may elect to effect a direct exchange of such Class A Shares (or such cash, if mutually agreed) for such Common LLC Units.</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Josh Seidenfeld,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Andrew Farquharson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31st day of May,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Andrew Farquharson</w:t>
      </w:r>
    </w:p>
    <w:p>
      <w:pPr>
        <w:spacing w:after="0" w:line="238" w:lineRule="auto"/>
        <w:rPr>
          <w:sz w:val="20"/>
          <w:szCs w:val="20"/>
          <w:color w:val="auto"/>
        </w:rPr>
      </w:pPr>
      <w:r>
        <w:rPr>
          <w:rFonts w:ascii="Courier New" w:cs="Courier New" w:eastAsia="Courier New" w:hAnsi="Courier New"/>
          <w:sz w:val="20"/>
          <w:szCs w:val="20"/>
          <w:color w:val="auto"/>
        </w:rPr>
        <w:t>Andrew Farquharson</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5699"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2021-07-29T21:06:13Z</dcterms:created>
  <dcterms:modified xsi:type="dcterms:W3CDTF">2021-07-29T21:06:13Z</dcterms:modified>
</cp:coreProperties>
</file>