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333-288509</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491490</wp:posOffset>
            </wp:positionV>
            <wp:extent cx="1165860"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6586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Up to 13,160,172 Shares of Class A Common Stock Issuable Upon Exercise of Warrant</w:t>
      </w:r>
    </w:p>
    <w:p>
      <w:pPr>
        <w:spacing w:after="0" w:line="200" w:lineRule="exact"/>
        <w:rPr>
          <w:sz w:val="24"/>
          <w:szCs w:val="24"/>
          <w:color w:val="auto"/>
        </w:rPr>
      </w:pPr>
    </w:p>
    <w:p>
      <w:pPr>
        <w:spacing w:after="0" w:line="343" w:lineRule="exact"/>
        <w:rPr>
          <w:sz w:val="24"/>
          <w:szCs w:val="24"/>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resale from time to time by the selling stockholder of up to 13,160,172 shares of Class A common stock issuable upon exercise of a Series D common stock warrant.</w:t>
      </w:r>
    </w:p>
    <w:p>
      <w:pPr>
        <w:spacing w:after="0" w:line="351" w:lineRule="exact"/>
        <w:rPr>
          <w:sz w:val="24"/>
          <w:szCs w:val="24"/>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May 2025, we issued the Series D common stock warrant to the selling stockholder pursuant to a letter agreement and the selling stockholder exercised for cash certain existing warrants at a reduced exercise price of $0.65 per share in consideration the issuance of the Series D common stock warrant.</w:t>
      </w:r>
    </w:p>
    <w:p>
      <w:pPr>
        <w:spacing w:after="0" w:line="351" w:lineRule="exact"/>
        <w:rPr>
          <w:sz w:val="24"/>
          <w:szCs w:val="24"/>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are not selling any shares of Class A common stock pursuant to this prospectus, and we will not receive any proceeds from the sale of shares of Class A common stock offered by this prospectus by the selling stockholder, except with respect to amounts received by us upon exercise of the Series D common stock warrant.</w:t>
      </w:r>
    </w:p>
    <w:p>
      <w:pPr>
        <w:spacing w:after="0" w:line="351" w:lineRule="exact"/>
        <w:rPr>
          <w:sz w:val="24"/>
          <w:szCs w:val="24"/>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 may offer and sell or otherwise dispose of the shares of our Class A common stock described in this prospectus from time to time through public or private transactions at prevailing market prices, at prices related to prevailing market prices or at privately negotiated prices. The selling stockholder will bear all underwriting fees, commissions and discounts, if any, attributable to the sales of shares and any transfer taxes. We will bear all other costs, expenses and fees in connection with the registration of the shares. See “Plan of Distribution” for more information about how the selling stockholder may sell or dispose of its shares of our Class A common stock.</w:t>
      </w:r>
    </w:p>
    <w:p>
      <w:pPr>
        <w:spacing w:after="0" w:line="359" w:lineRule="exact"/>
        <w:rPr>
          <w:sz w:val="24"/>
          <w:szCs w:val="24"/>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On July 10, 2025, the last reported sale price of the Class A common stock was $0.66 per share.</w:t>
      </w:r>
    </w:p>
    <w:p>
      <w:pPr>
        <w:spacing w:after="0" w:line="337" w:lineRule="exact"/>
        <w:rPr>
          <w:sz w:val="24"/>
          <w:szCs w:val="24"/>
          <w:color w:val="auto"/>
        </w:rPr>
      </w:pPr>
    </w:p>
    <w:p>
      <w:pPr>
        <w:ind w:left="120" w:right="240" w:firstLine="440"/>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Class A common stock involves a high degree of risk. You should review carefully the risks and uncertainties described under the heading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3 of this prospectus, and under similar headings in the other documents that are incorporated by reference into this prospectus.</w:t>
      </w:r>
    </w:p>
    <w:p>
      <w:pPr>
        <w:spacing w:after="0" w:line="352" w:lineRule="exact"/>
        <w:rPr>
          <w:sz w:val="24"/>
          <w:szCs w:val="24"/>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3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11, 2025.</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3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66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43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4440" w:type="dxa"/>
            <w:vAlign w:val="bottom"/>
            <w:gridSpan w:val="6"/>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580" w:type="dxa"/>
            <w:vAlign w:val="bottom"/>
            <w:gridSpan w:val="8"/>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58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3740" w:type="dxa"/>
            <w:vAlign w:val="bottom"/>
            <w:tcBorders>
              <w:top w:val="single" w:sz="8" w:color="0000EE"/>
            </w:tcBorders>
            <w:gridSpan w:val="9"/>
          </w:tcPr>
          <w:p>
            <w:pPr>
              <w:spacing w:after="0"/>
              <w:rPr>
                <w:sz w:val="17"/>
                <w:szCs w:val="17"/>
                <w:color w:val="auto"/>
              </w:rPr>
            </w:pPr>
          </w:p>
        </w:tc>
        <w:tc>
          <w:tcPr>
            <w:tcW w:w="1340" w:type="dxa"/>
            <w:vAlign w:val="bottom"/>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86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3800" w:type="dxa"/>
            <w:vAlign w:val="bottom"/>
            <w:gridSpan w:val="5"/>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196"/>
        </w:trPr>
        <w:tc>
          <w:tcPr>
            <w:tcW w:w="21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560" w:type="dxa"/>
            <w:vAlign w:val="bottom"/>
            <w:gridSpan w:val="7"/>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4620" w:type="dxa"/>
            <w:vAlign w:val="bottom"/>
            <w:gridSpan w:val="9"/>
          </w:tcPr>
          <w:p>
            <w:pPr>
              <w:spacing w:after="0"/>
              <w:rPr>
                <w:sz w:val="17"/>
                <w:szCs w:val="17"/>
                <w:color w:val="auto"/>
              </w:rPr>
            </w:pP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760" w:type="dxa"/>
            <w:vAlign w:val="bottom"/>
            <w:shd w:val="clear" w:color="auto" w:fill="0000EE"/>
          </w:tcPr>
          <w:p>
            <w:pPr>
              <w:spacing w:after="0" w:line="20" w:lineRule="exact"/>
              <w:rPr>
                <w:sz w:val="1"/>
                <w:szCs w:val="1"/>
                <w:color w:val="auto"/>
              </w:rPr>
            </w:pPr>
          </w:p>
        </w:tc>
        <w:tc>
          <w:tcPr>
            <w:tcW w:w="3640" w:type="dxa"/>
            <w:vAlign w:val="bottom"/>
            <w:gridSpan w:val="1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4400" w:type="dxa"/>
            <w:vAlign w:val="bottom"/>
            <w:gridSpan w:val="11"/>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66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4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371"/>
        </w:trPr>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3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Neither we nor the selling stockholder have authorized anyone to provide you with any information other than that contained in, or incorporated by reference into, this prospectus. We take no responsibility for, and can provide no assurance as to the reliability of, any other information that others may give you. This prospectus is an offer to sell only the shares of our Class A common stock offered hereby, but only under circumstances and in jurisdictions where it is lawful to do so. You should not assume that the information contained in or incorporated by reference in this prospectus is accurate as of any date other than their respective dates. Our business, financial condition, results of operations and prospects may have changed since those dates.</w:t>
      </w:r>
    </w:p>
    <w:p>
      <w:pPr>
        <w:spacing w:after="0" w:line="187"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spacing w:after="0" w:line="16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as used in this prospectus, the terms “Rani,” “Company,” “we,” “us” and “our” refer to Rani Therapeutics Holdings, Inc., or Rani Holdings, together with its subsidiaries, Rani Therapeutics, LLC, or Rani LLC.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4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 this prospectus, and does not contain all of the information that you need to consider in making your investment decision. You should carefully read the entire prospectus, including the risks of investing in our securities discussed under the heading “Risk Factors” contained in this prospectus and under similar headings in the other documents that are incorporated by reference into this prospectus. You should also carefully read the information incorporated by reference into this prospectus, including our financial statements, and the exhibits to the registration statement of which this prospectus is a part.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are a clinical stage biotherapeutics company focusing on advancing technologies to enable the administration of biologics and drugs orally, to provide patients, physicians, and healthcare systems with a convenient alternative to painful injections. We are advancing a portfolio of oral therapeutics using our proprietary delivery technology and we are actively pursuing partnering the technology with third party biopharmaceutical companies for the oral delivery of their biologics and drugs.</w:t>
      </w:r>
    </w:p>
    <w:p>
      <w:pPr>
        <w:spacing w:after="0" w:line="180" w:lineRule="exact"/>
        <w:rPr>
          <w:sz w:val="20"/>
          <w:szCs w:val="20"/>
          <w:color w:val="auto"/>
        </w:rPr>
      </w:pPr>
    </w:p>
    <w:p>
      <w:pPr>
        <w:jc w:val="both"/>
        <w:ind w:left="300" w:right="200" w:firstLine="426"/>
        <w:spacing w:after="0" w:line="273" w:lineRule="auto"/>
        <w:rPr>
          <w:sz w:val="20"/>
          <w:szCs w:val="20"/>
          <w:color w:val="auto"/>
        </w:rPr>
      </w:pPr>
      <w:r>
        <w:rPr>
          <w:rFonts w:ascii="Times New Roman" w:cs="Times New Roman" w:eastAsia="Times New Roman" w:hAnsi="Times New Roman"/>
          <w:sz w:val="17"/>
          <w:szCs w:val="17"/>
          <w:color w:val="auto"/>
        </w:rPr>
        <w:t>Our technology comprises a drug-agnostic oral delivery platform, the RaniPill capsule, which is designed to deliver a wide variety of drug substances, including antibodies, proteins, peptides, and oligonucleotides. We have two configurations of the platform—the RaniPill GO and the RaniPill HC. The RaniPill GO is designed to deliver up to a 3 mg dose of drug in microtablet form with high bioavailability. We have completed three Phase 1 clinical trials using the RaniPill GO. We are also developing a high-capacity version of the RaniPill capsule known as the RaniPill HC, which is intended to enable delivery of drug payloads up to 200µL in liquid form with high bioavailability. We have tested preclinically the RaniPill HC with multiple therapeutics, including antibodies and a peptide. We intend to initiate clinical testing of the RaniPill HC in mid-2025. We believe, the RaniPill capsule technology could enable us to deliver most biologics currently on the market with convenient, oral dosing.</w:t>
      </w:r>
    </w:p>
    <w:p>
      <w:pPr>
        <w:spacing w:after="0" w:line="171"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or engage commercial sales organizations or distributors for those products in the United States, Europe, Asia, and potentially in certain other key markets. We may also rely on partnerships to provide commercialization infrastructure, including sales, marketing, and commercial distribution.</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 of Series D Common Stock Warrant</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Pursuant to that certain letter agreement, dated May 20, 2025, the selling stockholder exercised for cash certain existing warrants at a reduced exercise price of $0.65 per share in consideration for us issuing to the selling stockholder in a private placement, the Series D common stock warrant to purchase up to 13,160,172 shares of Class A common stock, which we refer to as the Series D common stock warrant.</w:t>
      </w:r>
    </w:p>
    <w:p>
      <w:pPr>
        <w:spacing w:after="0" w:line="176" w:lineRule="exact"/>
        <w:rPr>
          <w:sz w:val="20"/>
          <w:szCs w:val="20"/>
          <w:color w:val="auto"/>
        </w:rPr>
      </w:pPr>
    </w:p>
    <w:p>
      <w:pPr>
        <w:ind w:left="300" w:right="180" w:firstLine="426"/>
        <w:spacing w:after="0" w:line="282" w:lineRule="auto"/>
        <w:rPr>
          <w:sz w:val="20"/>
          <w:szCs w:val="20"/>
          <w:color w:val="auto"/>
        </w:rPr>
      </w:pPr>
      <w:r>
        <w:rPr>
          <w:rFonts w:ascii="Times New Roman" w:cs="Times New Roman" w:eastAsia="Times New Roman" w:hAnsi="Times New Roman"/>
          <w:sz w:val="18"/>
          <w:szCs w:val="18"/>
          <w:color w:val="auto"/>
        </w:rPr>
        <w:t>The Series D common stock warrant has an exercise price of $0.65 per whole share, is exercisable immediately and expires five years from the date of stockholder approval of the shares of Class A common stock issuable upon exercise of the Series D common stock warrant.</w:t>
      </w:r>
    </w:p>
    <w:p>
      <w:pPr>
        <w:spacing w:after="0" w:line="162" w:lineRule="exact"/>
        <w:rPr>
          <w:sz w:val="20"/>
          <w:szCs w:val="20"/>
          <w:color w:val="auto"/>
        </w:rPr>
      </w:pPr>
    </w:p>
    <w:p>
      <w:pPr>
        <w:ind w:left="300" w:right="440" w:firstLine="426"/>
        <w:spacing w:after="0" w:line="282" w:lineRule="auto"/>
        <w:rPr>
          <w:sz w:val="20"/>
          <w:szCs w:val="20"/>
          <w:color w:val="auto"/>
        </w:rPr>
      </w:pPr>
      <w:r>
        <w:rPr>
          <w:rFonts w:ascii="Times New Roman" w:cs="Times New Roman" w:eastAsia="Times New Roman" w:hAnsi="Times New Roman"/>
          <w:sz w:val="18"/>
          <w:szCs w:val="18"/>
          <w:color w:val="auto"/>
        </w:rPr>
        <w:t>We are only registering pursuant to the registration statement of which this prospectus forms a part the shares of Class A common stock issuable upon exercise of the Series D common stock warrant.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10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2910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We will not receive any of the proceeds from the sale of shares of our Class A common stock by the selling stockholder in this offering, except with respect to amounts received by us upon exercise of the Series D common stock warrant, to the extent the warrant is exercised for cash. The selling stockholder will receive all of the proceeds from the sale of shares of our Class A common stock hereunder.</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Global Market Listing</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symbol “RANI”. We do not intend to list the Series D common stock warrant on any national securities exchange.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 xml:space="preserve">Rani Holdings was formed as a Delaware corporation in April 2021 for the purpose of facilitating an initial public offering, or the IPO, of its Class A common stock, to facilitate certain organizational transactions, and to operate the business of Rani Therapeutics, LLC, or Rani LLC. In connection with the IPO, we established a holding company structure with Rani Holdings as a holding company and its principal asset is the LLC Interests that it owns. As the sole managing member of Rani LLC, Rani Holdings operates and controls all of Rani LLC’s operations, and through Rani LLC and its subsidiary, conducts all of Rani LLC’s business. Our principal offices are located at 2051 Ringwood Ave., San Jose, California 95131 and our telephone number is (408) 457-3700. Our corporate website address is </w:t>
      </w:r>
      <w:r>
        <w:rPr>
          <w:rFonts w:ascii="Times New Roman" w:cs="Times New Roman" w:eastAsia="Times New Roman" w:hAnsi="Times New Roman"/>
          <w:sz w:val="18"/>
          <w:szCs w:val="18"/>
          <w:i w:val="1"/>
          <w:iCs w:val="1"/>
          <w:color w:val="auto"/>
        </w:rPr>
        <w:t>www.ranitherapeutics.com</w:t>
      </w:r>
      <w:r>
        <w:rPr>
          <w:rFonts w:ascii="Times New Roman" w:cs="Times New Roman" w:eastAsia="Times New Roman" w:hAnsi="Times New Roman"/>
          <w:sz w:val="18"/>
          <w:szCs w:val="18"/>
          <w:color w:val="auto"/>
        </w:rPr>
        <w:t>. The contents of our website are not incorporated by reference herein, and any references to our website is intended to be inactive textual references only.</w:t>
      </w:r>
    </w:p>
    <w:p>
      <w:pPr>
        <w:spacing w:after="0" w:line="31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320" w:firstLine="440"/>
        <w:spacing w:after="0" w:line="276" w:lineRule="auto"/>
        <w:rPr>
          <w:sz w:val="20"/>
          <w:szCs w:val="20"/>
          <w:color w:val="auto"/>
        </w:rPr>
      </w:pPr>
      <w:r>
        <w:rPr>
          <w:rFonts w:ascii="Times New Roman" w:cs="Times New Roman" w:eastAsia="Times New Roman" w:hAnsi="Times New Roman"/>
          <w:sz w:val="17"/>
          <w:szCs w:val="17"/>
          <w:color w:val="auto"/>
        </w:rPr>
        <w:t>Investing in our Class A common stock involves a high degree of risk. Before deciding whether to invest in our Class A common stock, you should consider carefully the risks and uncertainties described under the heading “Risk Factors” contained in our most recent annual report on Form</w:t>
      </w:r>
    </w:p>
    <w:p>
      <w:pPr>
        <w:spacing w:after="0" w:line="1"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10-K, as updated by our subsequent quarterly reports on Form 10-Q and other filings we make with the Securities and Exchange Commission, or the SEC, which are incorporated by reference into this prospectus in their entirety, together with other information in this prospectus and the documents incorporated by reference. The risks described in these documents are not the only ones we face, but those that we consider to be material. There may be other unknown or unpredictable economic, business, competitive, regulatory or other factors that could have material adverse effects on our future results. Past financial performance may not be a reliable indicator of future performance, and historical trends should not be used to anticipate results or trends in future periods. If any of these risks actually occur, our business, financial condition, results of operations or cash flow could be harmed. This could cause the trading price of our Class A common stock to decline, resulting in a loss of all or part of your investment. Please also read carefully the section below titled “Special Note Regarding Forward-Looking Statements.”</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This prospectus and the documents we have filed with the SEC that are incorporated by reference contain “forward-looking statements” within the meaning of Section 27A of the Securities Act of 1933, as amended, or the Securities Act, and Section 21E of the Securities Exchange Act of 1934, as amended, or the Exchange Act.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spacing w:after="0" w:line="93"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existing operations and continue as a going concern;</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improve our liquidity and financial position in response to the substantial doubt about our ability to continue as a going concern;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focus of our current and future clinical trials in the United States and abroad, and the reporting of data from those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product candidates into and successfully complete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and therapeutic effects of our product candidates;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and ability to successfully manufacture and supply our product candidates for clinical trials and for commercial use, if approved;</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development of the RaniPill HC or any redesign and conduct additional preclinical and clinical studies of the RaniPill HC or any future design of the RaniPill capsule to accommodate target payloads that are larger than the payload capacity of the RaniPill GO capsule used to date for clinical studies of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develop and expand our platform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technology platform to generate and advance additional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selectively enter into strategic partnership and the expected potential benefits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scale and optimize our manufacturing processes, including by expanding our use of automation;</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who suffer from the indications we target and the number of patients that will enroll in our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in each of the indications we target;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innovate and expand our intellectual property by developing new applications of the RaniPill capsule;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including our technology platform and product candidates;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and cash equivalents to fund our future operating expenses and capital expenditure requirements;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savings from any restructuring plans or cost-containment measures we propose to implement;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including competing product candidates and therapies;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realization of any benefit from our organizational structure, taking into account our obligations under a certain Tax Receivable Agreement with certain of the Continuing LLC Owners (defined below) and the impact of any payments required to be made thereunder on our liquidity and financial condition;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received from the exercise of the Series D common stock warrant, if any; and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“could,” “would,” “expects,” “plans,” “anticipates,” “believes,” “estimates,” “projects,” “predicts,” “potential” and similar expressions intended to identify forward-looking statements. These statements reflect our current views with respect to future events, are based on assumptions and are subject to risks and uncertainties. Given these uncertainties, you should not place undue reliance on these forward-looking statements. We discuss in greater detail, and incorporate by reference into this prospectus in their entirety, many of these risks under the section titled “Risk Factors” in our most recent annual report on Form 10-K, and in our subsequent quarterly reports on Form 10-Q, as updated by our subsequent filings under the Exchange Act, which are incorporated herein by reference, as may be updated or superseded by the risks and uncertainties described under similar headings in the other documents that are filed after the date hereof and incorporated by reference into this prospectus. Also, these forward-looking statements represent our estimates and assumptions only as of the date of the document containing the applicable statement.</w:t>
      </w:r>
    </w:p>
    <w:p>
      <w:pPr>
        <w:spacing w:after="0" w:line="18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prospectus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cannot assure you that the events and circumstances reflected in the forward-looking statements will be achieved or occur.</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prospectus or to conform these statements to actual results or to changes in our expectations.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as exhibits to the registration statement of which this prospectus is a part with the understanding that our actual future results, levels of activity, performance and achievements may be different from what we expect. We qualify all of our forward-looking statements by these cautionary statements.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All the shares of our Class A common stock to be sold pursuant to this prospectus will be sold by the selling stockholder. We will not receive any of the proceeds from such sales.</w:t>
      </w:r>
    </w:p>
    <w:p>
      <w:pPr>
        <w:spacing w:after="0" w:line="162"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Series D common stock warrant may be exercised for cash or in certain limited circumstances on a net exercise or “cashless” basis. If the Series D common stock warrant is exercised for cash, we will receive approximately $8.6 million in connection with such exercise. There can be no assurances that any of the Series D common stock warrant will be exercised for cash.</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private placement to purchase LLC interests from Rani LLC. We intend to cause Rani LLC to use the net proceeds from such purchase for working capital and other general corporate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expected use of proceeds described above represents our current intentions based on our present plans and business condition. We cannot predict with certainty all of the particular uses for such proceeds or the actual amounts that we will spend on the uses set forth above. The amounts and timing of our actual expenditures will depend on numerous factors, including the time and cost necessary to conduct our planned clinical trials, the results of our planned clinical trials and other factors described in “Risk Factors” in this prospectus, as well as the amount of cash used in our operations and any unforeseen cash needs.</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We will have broad discretion over how to use the net proceeds and we intend to invest the net proceeds that are not used as described above in short-term, investment-grade, interest-bearing instruments.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authorized capital stock consists of</w:t>
      </w:r>
    </w:p>
    <w:p>
      <w:pPr>
        <w:spacing w:after="0" w:line="131"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800,000,000 shares of Class A common stock, par value $0.0001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shares of Class B common stock, par value $0.0001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Class C common stock, par value $0.0001 per share;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preferred stock, par value $0.0001 per share.</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2025, we had 39,237,228 shares of Class A common stock issued and outstanding, 23,970,359 shares of Class B common stock, and no shares of Class C common stock or preferred stock issued and outstanding.</w:t>
      </w:r>
    </w:p>
    <w:p>
      <w:pPr>
        <w:spacing w:after="0" w:line="162"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A description of the material terms and provisions of our amended and restated certificate of incorporation and amended and restated bylaws affecting the rights of holders of our capital stock is set forth below. The description is intended as a summary, and is qualified in its entirety by reference to our amended and restated certificate of incorporation and our amended and restated bylaws which are incorporated by reference into the registration statement of which this prospectus is a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Holders of our Class A common stock are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Dividends and Other Distributions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 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shares of Class A common stock are subject to redemption or have preemptive rights to purchase additional shares of Class A common stock. Holders of shares of our Class A common stock do not have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subscription, redemption or conversion rights. There are no redemption or sinking fund provisions applicable to the Class A common stock.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Shares of Class B common stock will only be issued in the future to the extent necessary to maintain a one-to-one ratio between the number of membership interests of Rani LLC, or the LLC Interests, held by our Class B common stockholders who are members of Rani LLC, or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amended and restated limited liability company agreement of Rani LLC, as currently in effect, or the Rani LLC Agreement, a copy of which has previously been filed as an exhibit with the SEC.</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Holders of Class B common stock are entitled to cast 10 votes per share until the date on which the holders of at least two-thirds (2/3) of the voting power of the Class B common stock, voting as a single class, affirmatively vote to retire all outstanding shares of Class B common stock, or the Final Conversion Date, and thereafter, one vote per share, with the number of shares of Class B common stock held by each Continuing LLC Owner being equivalent to the number of LLC Interests held by such Continuing LLC Owner. Holders of our Class B common stock are not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89" w:lineRule="exact"/>
        <w:rPr>
          <w:sz w:val="20"/>
          <w:szCs w:val="20"/>
          <w:color w:val="auto"/>
        </w:rPr>
      </w:pPr>
    </w:p>
    <w:p>
      <w:pPr>
        <w:jc w:val="both"/>
        <w:ind w:left="1080" w:right="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w:t>
      </w:r>
    </w:p>
    <w:p>
      <w:pPr>
        <w:spacing w:after="0" w:line="81"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 and Other Distributions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our liquidation, dissolution or winding up, holders of Class B common stock will not be entitled to receive any distribution of our assets.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Rani LLC Agreement, each holder of Class B common stock agrees that: (i) the holder will not transfer any shares of Class B common stock to any person unless the holder transfers an equal number of LLC Interests to the same person; and (ii) in the event the holder transfers any LLC Interests to any person, the holder will transfer an equal number of shares of Class B common stock to the same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 shares of Class B common stock have preemptive rights to purchase additional shares of Class B common stock. Holders of shares of our Class B common stock do not have subscription, redemption or conversion rights. There will be no redemption or sinking fund provisions applicable to the Class B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Holders of our Class C common stock are not entitled to vote on any matter that is submitted to a vote of the stockholders, except as otherwise required by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 and Other Distributions</w:t>
      </w:r>
    </w:p>
    <w:p>
      <w:pPr>
        <w:spacing w:after="0" w:line="121"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 on Dissolution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has the authority, without action by the stockholders other than as described under the heading “Description of Capital Stock—Class B Common Stock” above,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issuance of preferred stock could have the effect of making it more difficult for a third-party to acquire, or could discourage a third-party from seeking to acquire, a majority of our outstanding voting stock. Additionally,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 of Delaware Law and Our Amended and Restated Certificate of Incorporation and Amended and Restated Bylaws</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provisions of Delaware law and certain provisions that are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that permit our board of directors to issue, without any further vote or action by the stockholders other than as described under the header “Description of Capital Stock—Class B Common Stock” above,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from and after the Final Conversion Date, our board of directors be divided into three classes, designated Class I, Class II and Class III. Each class is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may only remove a director for cause by a vote of no less than a majority of the total voting power of the shares present in person or by proxy at the meeting and entitled to vote.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only our board of directors to fill vacant directorships.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stockholders do not have the right to cumulate votes in the election of directors.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Procedures for Director Nominations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provides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does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Action by Written Consent</w:t>
      </w:r>
    </w:p>
    <w:p>
      <w:pPr>
        <w:spacing w:after="0" w:line="121" w:lineRule="exact"/>
        <w:rPr>
          <w:sz w:val="20"/>
          <w:szCs w:val="20"/>
          <w:color w:val="auto"/>
        </w:rPr>
      </w:pPr>
    </w:p>
    <w:p>
      <w:pPr>
        <w:jc w:val="both"/>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provide that, after the Final Conversion Date, any action to be taken by the stockholders must be affected at a duly called annual or special meeting of stockholders and may not be affected by written consent.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will be the sole and exclusive forum for the following types of actions or proceedings under Delaware statutory or common law:</w:t>
      </w:r>
    </w:p>
    <w:p>
      <w:pPr>
        <w:spacing w:after="0" w:line="67"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of breach of a fiduciary duty owed by any of our current or former directors, officers, or other employees to us or our stockholders;</w:t>
      </w:r>
    </w:p>
    <w:p>
      <w:pPr>
        <w:spacing w:after="0" w:line="67"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to interpret, apply, enforce, or determine the validity of our amended and restated certificate of incorporation or our amended and restated bylaws;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as to which the Delaware General Corporation Law confers jurisdiction to the Court of Chancery of the State of Delaware;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or any of our directors, officers, or other employees governed by the internal affairs doctrine.</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all the above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of 1933, as amended, or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w:t>
      </w:r>
    </w:p>
    <w:p>
      <w:pPr>
        <w:spacing w:after="0" w:line="18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 with Interested Stockholders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elected not to be subject to or governed by Section 203 of the Delaware General Corporation Law. Subject to certain exceptions, Section 203 of the Delaware General Corporation Law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w:t>
      </w:r>
    </w:p>
    <w:p>
      <w:pPr>
        <w:spacing w:after="0" w:line="89" w:lineRule="exact"/>
        <w:rPr>
          <w:sz w:val="20"/>
          <w:szCs w:val="20"/>
          <w:color w:val="auto"/>
        </w:rPr>
      </w:pPr>
    </w:p>
    <w:p>
      <w:pPr>
        <w:ind w:left="1080" w:right="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the board of directors of such corporation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57"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w:t>
      </w:r>
    </w:p>
    <w:p>
      <w:pPr>
        <w:spacing w:after="0" w:line="1" w:lineRule="exact"/>
        <w:rPr>
          <w:rFonts w:ascii="Times New Roman" w:cs="Times New Roman" w:eastAsia="Times New Roman" w:hAnsi="Times New Roman"/>
          <w:sz w:val="18"/>
          <w:szCs w:val="18"/>
          <w:color w:val="auto"/>
        </w:rPr>
      </w:pPr>
    </w:p>
    <w:p>
      <w:pPr>
        <w:ind w:left="108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by persons who are directors and also officers of such corporation and (B) by employee stock plans in which employee participants do not have the right to determine confidentially whether shares held subject to the plan will be tendered in a tender or exchange offer); or</w:t>
      </w:r>
    </w:p>
    <w:p>
      <w:pPr>
        <w:spacing w:after="0" w:line="86"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Global Market under the trading symbol “RANI.” We do not intend to list the Series D common stock warrant on any national securities exchange.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may offer and sell, from time to time, any or all of the shares of Class A common stock being offered for resale by this prospectus, which consists of up to 13,160,172 shares of Class A common stock issuable upon exercise of the Series D common stock warrant. For additional information regarding the issuance of these securities, see the section titled “Prospectus Summary—Private Placement of Series D Common Stock Warrant.”</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transaction described in this prospectus, the selling stockholder has not had any material relationship with us within the past three years, except for the following transactions:</w:t>
      </w:r>
    </w:p>
    <w:p>
      <w:pPr>
        <w:spacing w:after="0" w:line="67" w:lineRule="exact"/>
        <w:rPr>
          <w:sz w:val="20"/>
          <w:szCs w:val="20"/>
          <w:color w:val="auto"/>
        </w:rPr>
      </w:pPr>
    </w:p>
    <w:p>
      <w:pPr>
        <w:ind w:left="1080" w:right="6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the selling stockholder purchased in a registered direct offering 2,800,000 shares of our Class A common stock, a pre-funded warrant to purchase 446,753 shares of Class A common stock, a Series A common stock warrant exercisable for 3,246,753 shares of our Class A common stock and a Series B common stock warrant exercisable for 3,246,753 shares of our Class A common stock; and</w:t>
      </w:r>
    </w:p>
    <w:p>
      <w:pPr>
        <w:spacing w:after="0" w:line="81" w:lineRule="exact"/>
        <w:rPr>
          <w:rFonts w:ascii="Times New Roman" w:cs="Times New Roman" w:eastAsia="Times New Roman" w:hAnsi="Times New Roman"/>
          <w:sz w:val="18"/>
          <w:szCs w:val="18"/>
          <w:color w:val="auto"/>
        </w:rPr>
      </w:pPr>
    </w:p>
    <w:p>
      <w:pPr>
        <w:ind w:left="1080" w:right="3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the selling stockholder purchased in a registered direct offering 3,000,000 shares of our Class A common stock, a pre-funded warrant to purchase 333,333 shares of Class A common stock, a Series C common stock warrant exercisable for 3,333,333 shares of our Class A common stock, and agreed to cancel the Series A common stock warrant exercisable for 3,246,753 shares of our Class A common stock issued in July 2024.</w:t>
      </w:r>
    </w:p>
    <w:p>
      <w:pPr>
        <w:spacing w:after="0" w:line="180"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“selling stockholder” includes the selling stockholder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spacing w:after="0" w:line="176"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stockholder, this prospectus covers the resale of the maximum number of shares of Class A common stock issuable upon exercise of the Series D common stock warrant without regard to any limitations on the exercise of such warrant. Under the terms of the Series D common stock warrant held by the selling stockholder, the selling stockholder may not exercise any such warrant to the extent such exercise would cause the selling stockholder, together with its affiliates and attribution parties, to beneficially own a number of shares of Class A common stock which would exceed 4.99%, of our then outstanding shares Class A common stock following such exercise, excluding for purposes of such determination shares of Class A common stock issuable upon exercise of such warrant which have not been exercised. The shares reported under “Beneficial Ownership Prior to This Offering” and “Number of Shares Being Offered” in the table below do not give effect to any such beneficial ownership limitation.</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table below lists the selling stockholder and other information regarding the beneficial ownership of the shares of common stock by the selling stockholder as of June 30, 2025, assuming the full exercise of the warrants held by the selling stockholder on that date, without regard to any limitations on exercises. As of June 30, 2025, we had 63,207,587 shares of common stock issued and outstanding. The following table also provides the number of shares of common stock that may be sold by the selling stockholder under this prospectus and that the selling stockholder will beneficially own assuming all the shares of common stock that may be offered pursuant to this prospectus are sold. Because the selling stockholder may dispose of all, none or some portion of its shares of common stock, no estimate can be given as to the number of shares of common stock that will be beneficially owned by the selling stockholder upon termination of this offering. For purposes of the table below, however, we have assumed that after termination of this offering none of the shares of common stock covered by this prospectus will be beneficially owned by the selling stockholder and further assumed that the selling stockholder will not acquire beneficial ownership of any additional securities during the offering. In addition, the selling stockholder may have sold, transferred or otherwise disposed of, or may sell, transfer or otherwise dispose of, at any time and from time to time, our securities in transactions exempt from the registration requirements of the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Securities Act after the date on which the information in the table is presented. See the section titled “Plan of Distribution.”</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Ownership Prior to</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60" w:type="dxa"/>
            <w:vAlign w:val="bottom"/>
            <w:gridSpan w:val="3"/>
          </w:tcPr>
          <w:p>
            <w:pPr>
              <w:jc w:val="center"/>
              <w:ind w:left="257"/>
              <w:spacing w:after="0"/>
              <w:rPr>
                <w:sz w:val="20"/>
                <w:szCs w:val="20"/>
                <w:color w:val="auto"/>
              </w:rPr>
            </w:pPr>
            <w:r>
              <w:rPr>
                <w:rFonts w:ascii="Times New Roman" w:cs="Times New Roman" w:eastAsia="Times New Roman" w:hAnsi="Times New Roman"/>
                <w:sz w:val="16"/>
                <w:szCs w:val="16"/>
                <w:b w:val="1"/>
                <w:bCs w:val="1"/>
                <w:color w:val="auto"/>
              </w:rPr>
              <w:t>Beneficial Ownership</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9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262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This Offering</w:t>
            </w: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Shares Being</w:t>
            </w:r>
          </w:p>
        </w:tc>
        <w:tc>
          <w:tcPr>
            <w:tcW w:w="1860" w:type="dxa"/>
            <w:vAlign w:val="bottom"/>
            <w:gridSpan w:val="3"/>
          </w:tcPr>
          <w:p>
            <w:pPr>
              <w:jc w:val="center"/>
              <w:ind w:left="277"/>
              <w:spacing w:after="0"/>
              <w:rPr>
                <w:sz w:val="20"/>
                <w:szCs w:val="20"/>
                <w:color w:val="auto"/>
              </w:rPr>
            </w:pPr>
            <w:r>
              <w:rPr>
                <w:rFonts w:ascii="Times New Roman" w:cs="Times New Roman" w:eastAsia="Times New Roman" w:hAnsi="Times New Roman"/>
                <w:sz w:val="16"/>
                <w:szCs w:val="16"/>
                <w:b w:val="1"/>
                <w:bCs w:val="1"/>
                <w:color w:val="auto"/>
              </w:rPr>
              <w:t>After This Offering</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980" w:type="dxa"/>
            <w:vAlign w:val="bottom"/>
            <w:tcBorders>
              <w:bottom w:val="single" w:sz="8" w:color="auto"/>
            </w:tcBorders>
            <w:vMerge w:val="continue"/>
          </w:tcPr>
          <w:p>
            <w:pPr>
              <w:spacing w:after="0"/>
              <w:rPr>
                <w:sz w:val="15"/>
                <w:szCs w:val="15"/>
                <w:color w:val="auto"/>
              </w:rPr>
            </w:pPr>
          </w:p>
        </w:tc>
        <w:tc>
          <w:tcPr>
            <w:tcW w:w="2620" w:type="dxa"/>
            <w:vAlign w:val="bottom"/>
          </w:tcPr>
          <w:p>
            <w:pPr>
              <w:spacing w:after="0"/>
              <w:rPr>
                <w:sz w:val="15"/>
                <w:szCs w:val="15"/>
                <w:color w:val="auto"/>
              </w:rPr>
            </w:pPr>
          </w:p>
        </w:tc>
        <w:tc>
          <w:tcPr>
            <w:tcW w:w="1360" w:type="dxa"/>
            <w:vAlign w:val="bottom"/>
            <w:tcBorders>
              <w:top w:val="single" w:sz="8" w:color="auto"/>
            </w:tcBorders>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Shares</w:t>
            </w:r>
          </w:p>
        </w:tc>
        <w:tc>
          <w:tcPr>
            <w:tcW w:w="520" w:type="dxa"/>
            <w:vAlign w:val="bottom"/>
          </w:tcPr>
          <w:p>
            <w:pPr>
              <w:spacing w:after="0"/>
              <w:rPr>
                <w:sz w:val="15"/>
                <w:szCs w:val="15"/>
                <w:color w:val="auto"/>
              </w:rPr>
            </w:pPr>
          </w:p>
        </w:tc>
        <w:tc>
          <w:tcPr>
            <w:tcW w:w="1240" w:type="dxa"/>
            <w:vAlign w:val="bottom"/>
            <w:gridSpan w:val="2"/>
          </w:tcPr>
          <w:p>
            <w:pPr>
              <w:jc w:val="center"/>
              <w:ind w:right="340"/>
              <w:spacing w:after="0" w:line="183" w:lineRule="exact"/>
              <w:rPr>
                <w:sz w:val="20"/>
                <w:szCs w:val="20"/>
                <w:color w:val="auto"/>
              </w:rPr>
            </w:pPr>
            <w:r>
              <w:rPr>
                <w:rFonts w:ascii="Times New Roman" w:cs="Times New Roman" w:eastAsia="Times New Roman" w:hAnsi="Times New Roman"/>
                <w:sz w:val="16"/>
                <w:szCs w:val="16"/>
                <w:b w:val="1"/>
                <w:bCs w:val="1"/>
                <w:color w:val="auto"/>
              </w:rPr>
              <w:t>Offered</w:t>
            </w:r>
          </w:p>
        </w:tc>
        <w:tc>
          <w:tcPr>
            <w:tcW w:w="1860" w:type="dxa"/>
            <w:vAlign w:val="bottom"/>
            <w:tcBorders>
              <w:top w:val="single" w:sz="8" w:color="auto"/>
            </w:tcBorders>
            <w:gridSpan w:val="3"/>
          </w:tcPr>
          <w:p>
            <w:pPr>
              <w:ind w:left="220"/>
              <w:spacing w:after="0" w:line="183" w:lineRule="exact"/>
              <w:rPr>
                <w:sz w:val="20"/>
                <w:szCs w:val="20"/>
                <w:color w:val="auto"/>
              </w:rPr>
            </w:pPr>
            <w:r>
              <w:rPr>
                <w:rFonts w:ascii="Times New Roman" w:cs="Times New Roman" w:eastAsia="Times New Roman" w:hAnsi="Times New Roman"/>
                <w:sz w:val="16"/>
                <w:szCs w:val="16"/>
                <w:b w:val="1"/>
                <w:bCs w:val="1"/>
                <w:color w:val="auto"/>
              </w:rPr>
              <w:t>Shares</w:t>
            </w:r>
          </w:p>
        </w:tc>
        <w:tc>
          <w:tcPr>
            <w:tcW w:w="340" w:type="dxa"/>
            <w:vAlign w:val="bottom"/>
            <w:tcBorders>
              <w:top w:val="single" w:sz="8" w:color="auto"/>
            </w:tcBorders>
          </w:tcPr>
          <w:p>
            <w:pPr>
              <w:ind w:left="40"/>
              <w:spacing w:after="0" w:line="183"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8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Armistice Capital, LLC</w:t>
            </w:r>
            <w:r>
              <w:rPr>
                <w:rFonts w:ascii="Times New Roman" w:cs="Times New Roman" w:eastAsia="Times New Roman" w:hAnsi="Times New Roman"/>
                <w:sz w:val="25"/>
                <w:szCs w:val="25"/>
                <w:color w:val="auto"/>
                <w:vertAlign w:val="superscript"/>
              </w:rPr>
              <w:t>(1)</w:t>
            </w:r>
          </w:p>
        </w:tc>
        <w:tc>
          <w:tcPr>
            <w:tcW w:w="262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80" w:type="dxa"/>
            <w:vAlign w:val="bottom"/>
            <w:vMerge w:val="continue"/>
            <w:shd w:val="clear" w:color="auto" w:fill="CCEEFF"/>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13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18,081,526</w:t>
            </w:r>
          </w:p>
        </w:tc>
        <w:tc>
          <w:tcPr>
            <w:tcW w:w="52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13,160,172</w:t>
            </w:r>
          </w:p>
        </w:tc>
        <w:tc>
          <w:tcPr>
            <w:tcW w:w="340" w:type="dxa"/>
            <w:vAlign w:val="bottom"/>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4,921,354</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540" w:hanging="424"/>
        <w:spacing w:after="0" w:line="250"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reported under “Beneficial Ownership Prior to This Offering” include the following securities held by Armistice Capital Master Fund Ltd.: (a) 3,760,354 shares of Class A common stock, (b) pre-funded warrants to purchase 1,161,000 shares of Class A common stock, and (c) 13,160,172 shares of Class A common stock issuable upon the exercise of Series D common stock warrant. The securities are directly held by Armistice Capital Master Fund Ltd., a Cayman Islands exempted company (the “Master Fund”) and may be deemed to be beneficially owned by:</w:t>
      </w:r>
    </w:p>
    <w:p>
      <w:pPr>
        <w:spacing w:after="0" w:line="1" w:lineRule="exact"/>
        <w:rPr>
          <w:rFonts w:ascii="Times New Roman" w:cs="Times New Roman" w:eastAsia="Times New Roman" w:hAnsi="Times New Roman"/>
          <w:sz w:val="18"/>
          <w:szCs w:val="18"/>
          <w:color w:val="auto"/>
        </w:rPr>
      </w:pPr>
    </w:p>
    <w:p>
      <w:pPr>
        <w:ind w:left="5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Armistice Capital, LLC (“Armistice Capital”), as the investment manager of the Master Fund; and (ii) Steven Boyd, as the Managing Member of Armistice Capital. The pre-funded warrants are subject to a beneficial ownership limitation of 9.99% and Series D common stock warrant is subject to a beneficial ownership limitation of 4.99%, which such limitations restricts the selling stockholder from exercising that portion of the warrants that would result in the selling stockholder and its affiliates owning, after exercise, a number of shares of Class A common stock in excess of the beneficial ownership limitations. The address of Armistice Capital Master Fund Ltd. is c/o Armistice Capital, LLC, 510 Madison Avenue, 7th Floor, New York, NY 10022.</w:t>
      </w:r>
    </w:p>
    <w:p>
      <w:pPr>
        <w:spacing w:after="0" w:line="12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455" w:right="5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selling stockholder and any of its donees, pledgees, assignees, transferees, distributees and successors-in-interest may, from time to time, sell any or all of their shares of Class A common stock covered hereby on The Nasdaq Global Market or any other stock exchange, market or trading facility on which the securities are traded or in private transactions. These sales may be at fixed or negotiated prices. The selling stockholder may use any one or more of the following methods when selling such shares of Class A common stock:</w:t>
      </w:r>
    </w:p>
    <w:p>
      <w:pPr>
        <w:spacing w:after="0" w:line="85"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of Class A common stock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shares of Class A common stock at a stipulated price per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selling stockholder may also sell the shares of Class A common stock under Rule 144 or any other exemption from registration under the Securities Act, if available, rather than under this prospectus.</w:t>
      </w:r>
    </w:p>
    <w:p>
      <w:pPr>
        <w:spacing w:after="0" w:line="162"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shares of Class A common stock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the shares of Class A common stock short and deliver these securities to close out its short positions, or loan or pledge the securities to broker-dealers that in turn may sell the shares of the Class A common stock. The selling stockholder may also enter into option or other transactions with broker-dealers or other financial institutions or create one or more derivative securities which require the delivery to such broker-dealer or other financial institution of the shares of Class A common stock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left="120" w:right="120" w:firstLine="440"/>
        <w:spacing w:after="0" w:line="289" w:lineRule="auto"/>
        <w:rPr>
          <w:sz w:val="20"/>
          <w:szCs w:val="20"/>
          <w:color w:val="auto"/>
        </w:rPr>
      </w:pPr>
      <w:r>
        <w:rPr>
          <w:rFonts w:ascii="Times New Roman" w:cs="Times New Roman" w:eastAsia="Times New Roman" w:hAnsi="Times New Roman"/>
          <w:sz w:val="17"/>
          <w:szCs w:val="17"/>
          <w:color w:val="auto"/>
        </w:rPr>
        <w:t>The selling stockholder and any broker-dealers or agents that are involved in selling the shares of Class A common stock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Securities Act. The selling stockholder has informed us that it does not have any written or oral agreement or understanding, directly or indirectly, with any person to distribute the shares of Class A common stock.</w:t>
      </w:r>
    </w:p>
    <w:p>
      <w:pPr>
        <w:spacing w:after="0" w:line="162"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We are required to pay certain fees and expenses incurred by us incident to the registration of the shares of Class A common stock. We have agreed to indemnify the selling stockholder against certain losses, claims, damages and liabilities, including liabilities under the Securities Act.</w:t>
      </w:r>
    </w:p>
    <w:p>
      <w:pPr>
        <w:spacing w:after="0" w:line="140"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have agreed to keep the registration statement of which this prospectus forms a part effective until the earlier of (i) the date on which the shares of Class A common stock may be resold by the selling stockholder without registration and without regard to any volume or manner-of-sale limitations by reason of Rule 144, without the requirement for us to be in compliance with the current public information under Rule 144 under the Securities Act or any other rule of similar effect, and (ii) all of the shares of Class A common stock have been sold pursuant to this prospectus or Rule 144 under the Securities Act or any other rule of similar effect. The shares of Class A common stock will be sold only through registered or licensed brokers or dealers if required under applicable state securities laws. In addition, in certain states, the shares of Class A common stock covered hereby may not be sold unless they have been registered or qualified for sale in the applicable state or an exemption from the registration or qualification requirement is available and is complied with.</w:t>
      </w:r>
    </w:p>
    <w:p>
      <w:pPr>
        <w:spacing w:after="0" w:line="19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shares of Class A common stock may not simultaneously engage in market making activities with respect to the Class A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Class A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320" w:top="455" w:right="5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Cooley LLP, Palo Alto, California, will pass upon the validity of the shares of our Class A common stock offered by this prospectus.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80" w:firstLine="440"/>
        <w:spacing w:after="0" w:line="258" w:lineRule="auto"/>
        <w:rPr>
          <w:sz w:val="20"/>
          <w:szCs w:val="20"/>
          <w:color w:val="auto"/>
        </w:rPr>
      </w:pPr>
      <w:r>
        <w:rPr>
          <w:rFonts w:ascii="Times New Roman" w:cs="Times New Roman" w:eastAsia="Times New Roman" w:hAnsi="Times New Roman"/>
          <w:sz w:val="18"/>
          <w:szCs w:val="18"/>
          <w:color w:val="auto"/>
        </w:rPr>
        <w:t>Marcum LLP, independent registered public accounting firm, has audited our consolidated financial statements as of and for the year ended December 31, 2024, included in our Annual Report on Form 10-K for the year ended December 31, 2024, as set forth in their report, which is incorporated by reference in this prospectus and elsewhere in the registration statement. Our financial statements are incorporated by reference in reliance on Marcum LLP’s report, which includes an explanatory paragraph as to Rani Therapeutics Holdings, Inc. ability to continue as a going concern, given on their authority as experts in accounting and auditing.</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2023 incorporated in this prospectus by reference to the Annual Report on Form 10-K for the year ended December 31, 2024 have been so incorporated in reliance on the report (which contains an explanatory paragraph describing conditions that raise substantial doubt about the Company’s ability to continue as a going concern as described in Note 1 to the consolidated financial statements) of Ernst &amp; Young LLP, an independent registered public accounting firm, given on the authority of said firm as experts in auditing and accounting.</w:t>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we filed with the SEC under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 Our website address is https://www.ranitherapeutics.com. Information contained on or accessible through our website is not a part of this prospectus and is not incorporated by reference herein, and the inclusion of our website address in this prospectus is an inactive textual reference only.</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 (other than current reports furnished under Item 2.02 or Item 7.01 of Form 8-K and exhibits filed on such form that are related to such items unless such Form 8-K expressly provides to the contrary):</w:t>
      </w:r>
    </w:p>
    <w:p>
      <w:pPr>
        <w:spacing w:after="0" w:line="9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year ended December 31, 2024, filed with the SEC on </w:t>
      </w:r>
      <w:hyperlink r:id="rId33">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 ended March 31, 2025, filed with the SEC on </w:t>
      </w:r>
      <w:hyperlink r:id="rId34">
        <w:r>
          <w:rPr>
            <w:rFonts w:ascii="Times New Roman" w:cs="Times New Roman" w:eastAsia="Times New Roman" w:hAnsi="Times New Roman"/>
            <w:sz w:val="18"/>
            <w:szCs w:val="18"/>
            <w:u w:val="single" w:color="auto"/>
            <w:color w:val="0000EE"/>
          </w:rPr>
          <w:t>May 13,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our Definitive Proxy Statement on Schedule 14A, filed with the SEC on </w:t>
      </w:r>
      <w:hyperlink r:id="rId35">
        <w:r>
          <w:rPr>
            <w:rFonts w:ascii="Times New Roman" w:cs="Times New Roman" w:eastAsia="Times New Roman" w:hAnsi="Times New Roman"/>
            <w:sz w:val="18"/>
            <w:szCs w:val="18"/>
            <w:u w:val="single" w:color="auto"/>
            <w:color w:val="0000EE"/>
          </w:rPr>
          <w:t>April 16,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6">
        <w:r>
          <w:rPr>
            <w:rFonts w:ascii="Times New Roman" w:cs="Times New Roman" w:eastAsia="Times New Roman" w:hAnsi="Times New Roman"/>
            <w:sz w:val="18"/>
            <w:szCs w:val="18"/>
            <w:u w:val="single" w:color="auto"/>
            <w:color w:val="0000EE"/>
          </w:rPr>
          <w:t>April 9,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April 30, 2025</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May 6, 2025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May 20, 2025</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May 29,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41">
        <w:r>
          <w:rPr>
            <w:rFonts w:ascii="Times New Roman" w:cs="Times New Roman" w:eastAsia="Times New Roman" w:hAnsi="Times New Roman"/>
            <w:sz w:val="18"/>
            <w:szCs w:val="18"/>
            <w:u w:val="single" w:color="auto"/>
            <w:color w:val="0000EE"/>
          </w:rPr>
          <w:t>June 26,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Class A common stock which is contained in Exhibit 4.2 to our Annual Report on Form 10-K for the year ended December 31, 2024 filed with the SEC on </w:t>
      </w:r>
      <w:hyperlink r:id="rId42">
        <w:r>
          <w:rPr>
            <w:rFonts w:ascii="Times New Roman" w:cs="Times New Roman" w:eastAsia="Times New Roman" w:hAnsi="Times New Roman"/>
            <w:sz w:val="18"/>
            <w:szCs w:val="18"/>
            <w:u w:val="single" w:color="auto"/>
            <w:color w:val="0000EE"/>
          </w:rPr>
          <w:t>March 31, 2025</w:t>
        </w:r>
      </w:hyperlink>
      <w:r>
        <w:rPr>
          <w:rFonts w:ascii="Times New Roman" w:cs="Times New Roman" w:eastAsia="Times New Roman" w:hAnsi="Times New Roman"/>
          <w:sz w:val="18"/>
          <w:szCs w:val="18"/>
          <w:color w:val="auto"/>
        </w:rPr>
        <w:t>.</w:t>
      </w:r>
    </w:p>
    <w:p>
      <w:pPr>
        <w:spacing w:after="0" w:line="162" w:lineRule="exact"/>
        <w:rPr>
          <w:rFonts w:ascii="Times New Roman" w:cs="Times New Roman" w:eastAsia="Times New Roman" w:hAnsi="Times New Roman"/>
          <w:sz w:val="18"/>
          <w:szCs w:val="18"/>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All filings filed by us pursuant to the Exchange Act after the date of the initial filing of the registration statement of which this prospectus is a part and prior to effectiveness of the registration statement shall be deemed to be incorporated by reference into this prospectus.</w:t>
      </w:r>
    </w:p>
    <w:p>
      <w:pPr>
        <w:spacing w:after="0" w:line="162" w:lineRule="exact"/>
        <w:rPr>
          <w:rFonts w:ascii="Times New Roman" w:cs="Times New Roman" w:eastAsia="Times New Roman" w:hAnsi="Times New Roman"/>
          <w:sz w:val="18"/>
          <w:szCs w:val="18"/>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92" w:lineRule="exact"/>
        <w:rPr>
          <w:rFonts w:ascii="Times New Roman" w:cs="Times New Roman" w:eastAsia="Times New Roman" w:hAnsi="Times New Roman"/>
          <w:sz w:val="18"/>
          <w:szCs w:val="18"/>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can request a copy of these documents and filings, at no cost, by writing or telephoning us at the following address or telephone number:</w:t>
      </w:r>
    </w:p>
    <w:p>
      <w:pPr>
        <w:spacing w:after="0" w:line="18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Secretary</w:t>
      </w:r>
    </w:p>
    <w:p>
      <w:pPr>
        <w:spacing w:after="0" w:line="9" w:lineRule="exact"/>
        <w:rPr>
          <w:rFonts w:ascii="Times New Roman" w:cs="Times New Roman" w:eastAsia="Times New Roman" w:hAnsi="Times New Roman"/>
          <w:sz w:val="18"/>
          <w:szCs w:val="18"/>
          <w:color w:val="auto"/>
        </w:rPr>
      </w:pPr>
    </w:p>
    <w:p>
      <w:pPr>
        <w:ind w:left="5500" w:hanging="438"/>
        <w:spacing w:after="0"/>
        <w:tabs>
          <w:tab w:leader="none" w:pos="5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457-3700</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1)"/>
      <w:numFmt w:val="decimal"/>
      <w:start w:val="4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hyperlink" Target="http://www.sec.gov/ix?doc=/Archives/edgar/data/0001856725/000095017025047740/rani-20241231.htm" TargetMode="External"/><Relationship Id="rId34" Type="http://schemas.openxmlformats.org/officeDocument/2006/relationships/hyperlink" Target="http://www.sec.gov/ix?doc=/Archives/edgar/data/0001856725/000095017025070382/rani-20250331.htm" TargetMode="External"/><Relationship Id="rId35" Type="http://schemas.openxmlformats.org/officeDocument/2006/relationships/hyperlink" Target="http://www.sec.gov/ix?doc=/Archives/edgar/data/0001856725/000114036125014078/ny20044394x1_def14a.htm" TargetMode="External"/><Relationship Id="rId36" Type="http://schemas.openxmlformats.org/officeDocument/2006/relationships/hyperlink" Target="http://www.sec.gov/ix?doc=/Archives/edgar/data/0001856725/000095017025052527/rani-20250407.htm" TargetMode="External"/><Relationship Id="rId37" Type="http://schemas.openxmlformats.org/officeDocument/2006/relationships/hyperlink" Target="http://www.sec.gov/ix?doc=/Archives/edgar/data/0001856725/000095017025060586/rani-20250424.htm" TargetMode="External"/><Relationship Id="rId38" Type="http://schemas.openxmlformats.org/officeDocument/2006/relationships/hyperlink" Target="http://www.sec.gov/ix?doc=/Archives/edgar/data/0001856725/000095017025064624/rani-20250501.htm" TargetMode="External"/><Relationship Id="rId39" Type="http://schemas.openxmlformats.org/officeDocument/2006/relationships/hyperlink" Target="http://www.sec.gov/ix?doc=/Archives/edgar/data/0001856725/000119312525122872/d945177d8k.htm" TargetMode="External"/><Relationship Id="rId40" Type="http://schemas.openxmlformats.org/officeDocument/2006/relationships/hyperlink" Target="http://www.sec.gov/ix?doc=/Archives/edgar/data/0001856725/000095017025078949/rani-20250528.htm" TargetMode="External"/><Relationship Id="rId41" Type="http://schemas.openxmlformats.org/officeDocument/2006/relationships/hyperlink" Target="http://www.sec.gov/ix?doc=/Archives/edgar/data/1856725/000095017025090384/rani-20250620.htm" TargetMode="External"/><Relationship Id="rId42" Type="http://schemas.openxmlformats.org/officeDocument/2006/relationships/hyperlink" Target="http://www.sec.gov/Archives/edgar/data/1856725/000095017022005088/rani-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2025-07-11T15:34:29Z</dcterms:created>
  <dcterms:modified xsi:type="dcterms:W3CDTF">2025-07-11T15:34:29Z</dcterms:modified>
</cp:coreProperties>
</file>