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37160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80060"/>
                    </a:xfrm>
                    <a:prstGeom prst="rect">
                      <a:avLst/>
                    </a:prstGeom>
                    <a:noFill/>
                  </pic:spPr>
                </pic:pic>
              </a:graphicData>
            </a:graphic>
          </wp:anchor>
        </w:drawing>
        <w:t>Josh Seidenfeld</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+1 650 843 5862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jseidenfeld@cooley.com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9, 2021</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80"/>
          </w:cols>
          <w:pgMar w:left="440" w:top="1138" w:right="47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Kevin Kuhar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Tracey McKoy</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Lauren Hamill</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Laura Crotty</w:t>
      </w:r>
    </w:p>
    <w:p>
      <w:pPr>
        <w:spacing w:after="0" w:line="200" w:lineRule="exact"/>
        <w:rPr>
          <w:sz w:val="24"/>
          <w:szCs w:val="24"/>
          <w:color w:val="auto"/>
        </w:rPr>
      </w:pPr>
    </w:p>
    <w:p>
      <w:pPr>
        <w:sectPr>
          <w:pgSz w:w="11900" w:h="16838" w:orient="portrait"/>
          <w:cols w:equalWidth="0" w:num="2">
            <w:col w:w="360" w:space="620"/>
            <w:col w:w="10000"/>
          </w:cols>
          <w:pgMar w:left="440" w:top="1138" w:right="479" w:bottom="144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1 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June 22, 2021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No. 0001856725</w:t>
      </w:r>
    </w:p>
    <w:p>
      <w:pPr>
        <w:spacing w:after="0" w:line="200" w:lineRule="exact"/>
        <w:rPr>
          <w:sz w:val="24"/>
          <w:szCs w:val="24"/>
          <w:color w:val="auto"/>
        </w:rPr>
      </w:pPr>
    </w:p>
    <w:p>
      <w:pPr>
        <w:sectPr>
          <w:pgSz w:w="11900" w:h="16838" w:orient="portrait"/>
          <w:cols w:equalWidth="0" w:num="2">
            <w:col w:w="260" w:space="720"/>
            <w:col w:w="10000"/>
          </w:cols>
          <w:pgMar w:left="440" w:top="1138" w:right="4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80" w:firstLine="991"/>
        <w:spacing w:after="0" w:line="301" w:lineRule="auto"/>
        <w:rPr>
          <w:sz w:val="20"/>
          <w:szCs w:val="20"/>
          <w:color w:val="auto"/>
        </w:rPr>
      </w:pPr>
      <w:r>
        <w:rPr>
          <w:rFonts w:ascii="Arial" w:cs="Arial" w:eastAsia="Arial" w:hAnsi="Arial"/>
          <w:sz w:val="16"/>
          <w:szCs w:val="16"/>
          <w:color w:val="auto"/>
        </w:rPr>
        <w:t>On behalf of Rani Therapeutics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responding to the comments (the “</w:t>
      </w:r>
      <w:r>
        <w:rPr>
          <w:rFonts w:ascii="Arial" w:cs="Arial" w:eastAsia="Arial" w:hAnsi="Arial"/>
          <w:sz w:val="16"/>
          <w:szCs w:val="16"/>
          <w:b w:val="1"/>
          <w:bCs w:val="1"/>
          <w:i w:val="1"/>
          <w:iCs w:val="1"/>
          <w:color w:val="auto"/>
        </w:rPr>
        <w:t>Comments</w:t>
      </w:r>
      <w:r>
        <w:rPr>
          <w:rFonts w:ascii="Arial" w:cs="Arial" w:eastAsia="Arial" w:hAnsi="Arial"/>
          <w:sz w:val="16"/>
          <w:szCs w:val="16"/>
          <w:color w:val="auto"/>
        </w:rPr>
        <w:t>”) of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contained in its letter, dated July 6, 2021, relating to the above-referenced confidential Amendment No.1 to Draft Registration Statement on Form S-1 (the “</w:t>
      </w:r>
      <w:r>
        <w:rPr>
          <w:rFonts w:ascii="Arial" w:cs="Arial" w:eastAsia="Arial" w:hAnsi="Arial"/>
          <w:sz w:val="16"/>
          <w:szCs w:val="16"/>
          <w:b w:val="1"/>
          <w:bCs w:val="1"/>
          <w:i w:val="1"/>
          <w:iCs w:val="1"/>
          <w:color w:val="auto"/>
        </w:rPr>
        <w:t>DRS</w:t>
      </w:r>
      <w:r>
        <w:rPr>
          <w:rFonts w:ascii="Arial" w:cs="Arial" w:eastAsia="Arial" w:hAnsi="Arial"/>
          <w:sz w:val="16"/>
          <w:szCs w:val="16"/>
          <w:color w:val="auto"/>
        </w:rPr>
        <w:t>”). In response to the Comments, the Company has revised the disclosures in its Amended DRS and is filing a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with this response letter.</w:t>
      </w:r>
    </w:p>
    <w:p>
      <w:pPr>
        <w:spacing w:after="0" w:line="157" w:lineRule="exact"/>
        <w:rPr>
          <w:sz w:val="24"/>
          <w:szCs w:val="24"/>
          <w:color w:val="auto"/>
        </w:rPr>
      </w:pPr>
    </w:p>
    <w:p>
      <w:pPr>
        <w:ind w:firstLine="991"/>
        <w:spacing w:after="0" w:line="259" w:lineRule="auto"/>
        <w:rPr>
          <w:sz w:val="20"/>
          <w:szCs w:val="20"/>
          <w:color w:val="auto"/>
        </w:rPr>
      </w:pPr>
      <w:r>
        <w:rPr>
          <w:rFonts w:ascii="Arial" w:cs="Arial" w:eastAsia="Arial" w:hAnsi="Arial"/>
          <w:sz w:val="18"/>
          <w:szCs w:val="18"/>
          <w:color w:val="auto"/>
        </w:rPr>
        <w:t>For ease of reference, set forth below are the Company’s responses to the Comments. The numbering of the paragraphs below corresponds to the numbering of the Comments, which for your convenience we have incorporated into this response letter. Page references in the text of this response letter correspond to the page numbers of the Registration Statement. Capitalized terms used in this letter but not otherwise defined herein have the meanings set forth in the Registration Statement.</w:t>
      </w: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Draft Registration Statement on Form S-1 Submitted June 22, 2021</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Business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Intellectual Property, page 168</w:t>
      </w:r>
    </w:p>
    <w:p>
      <w:pPr>
        <w:spacing w:after="0" w:line="116" w:lineRule="exact"/>
        <w:rPr>
          <w:sz w:val="24"/>
          <w:szCs w:val="24"/>
          <w:color w:val="auto"/>
        </w:rPr>
      </w:pPr>
    </w:p>
    <w:p>
      <w:pPr>
        <w:ind w:left="960" w:hanging="532"/>
        <w:spacing w:after="0" w:line="286"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the revised disclosure provided in response to our prior comment 14 and we reissue the comment in part. In relation to the company’s material patents, please further revise your intellectual property disclosure to clearly describe on an individual or patent family basis the type of patent protection granted for each product or technology (composition of matter, use, or</w:t>
      </w:r>
    </w:p>
    <w:p>
      <w:pPr>
        <w:spacing w:after="0" w:line="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980"/>
          </w:cols>
          <w:pgMar w:left="440" w:top="1138" w:right="47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80060"/>
                    </a:xfrm>
                    <a:prstGeom prst="rect">
                      <a:avLst/>
                    </a:prstGeom>
                    <a:noFill/>
                  </pic:spPr>
                </pic:pic>
              </a:graphicData>
            </a:graphic>
          </wp:anchor>
        </w:drawing>
        <w:t>July 9, 2021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left="984" w:right="80"/>
        <w:spacing w:after="0" w:line="308" w:lineRule="auto"/>
        <w:rPr>
          <w:sz w:val="20"/>
          <w:szCs w:val="20"/>
          <w:color w:val="auto"/>
        </w:rPr>
      </w:pPr>
      <w:r>
        <w:rPr>
          <w:rFonts w:ascii="Arial" w:cs="Arial" w:eastAsia="Arial" w:hAnsi="Arial"/>
          <w:sz w:val="17"/>
          <w:szCs w:val="17"/>
          <w:i w:val="1"/>
          <w:iCs w:val="1"/>
          <w:color w:val="auto"/>
        </w:rPr>
        <w:t>process), the expiration year of each patent, and the jurisdiction, including any foreign jurisdiction, of each material pending or issued patent. In this regard, it may be useful to provide this disclosure in tabular form to support the narrative already included.</w:t>
      </w:r>
    </w:p>
    <w:p>
      <w:pPr>
        <w:spacing w:after="0" w:line="34"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In response to the Staff’s comment, the Company has revised the disclosure on pages 168-169 of the Registration Statement.</w:t>
      </w:r>
    </w:p>
    <w:p>
      <w:pPr>
        <w:spacing w:after="0" w:line="252"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Please contact me at (650) 843-5862, Mark Weeks at (650) 843-5011 or John McKenna at (650) 843-5059 with any questions or further comments regarding the Company’s response to the Staff’s comments.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Josh Seidenfeld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Cooley LLP</w:t>
      </w:r>
    </w:p>
    <w:p>
      <w:pPr>
        <w:spacing w:after="0" w:line="238" w:lineRule="exact"/>
        <w:rPr>
          <w:sz w:val="20"/>
          <w:szCs w:val="20"/>
          <w:color w:val="auto"/>
        </w:rPr>
      </w:pPr>
    </w:p>
    <w:p>
      <w:pPr>
        <w:ind w:left="984" w:right="6500" w:hanging="984"/>
        <w:spacing w:after="0" w:line="258" w:lineRule="auto"/>
        <w:tabs>
          <w:tab w:leader="none" w:pos="978" w:val="left"/>
        </w:tabs>
        <w:numPr>
          <w:ilvl w:val="0"/>
          <w:numId w:val="2"/>
        </w:numPr>
        <w:rPr>
          <w:rFonts w:ascii="Arial" w:cs="Arial" w:eastAsia="Arial" w:hAnsi="Arial"/>
          <w:sz w:val="18"/>
          <w:szCs w:val="18"/>
          <w:color w:val="auto"/>
        </w:rPr>
      </w:pPr>
      <w:r>
        <w:rPr>
          <w:rFonts w:ascii="Arial" w:cs="Arial" w:eastAsia="Arial" w:hAnsi="Arial"/>
          <w:sz w:val="18"/>
          <w:szCs w:val="18"/>
          <w:color w:val="auto"/>
        </w:rPr>
        <w:t>Talat Imran, Rani Therapeutics Holdings, Inc. Mark B. Weeks, Cooley LLP</w:t>
      </w:r>
    </w:p>
    <w:p>
      <w:pPr>
        <w:spacing w:after="0" w:line="1" w:lineRule="exact"/>
        <w:rPr>
          <w:rFonts w:ascii="Arial" w:cs="Arial" w:eastAsia="Arial" w:hAnsi="Arial"/>
          <w:sz w:val="18"/>
          <w:szCs w:val="18"/>
          <w:color w:val="auto"/>
        </w:rPr>
      </w:pPr>
    </w:p>
    <w:p>
      <w:pPr>
        <w:ind w:left="984" w:right="7540"/>
        <w:spacing w:after="0" w:line="281" w:lineRule="auto"/>
        <w:rPr>
          <w:rFonts w:ascii="Arial" w:cs="Arial" w:eastAsia="Arial" w:hAnsi="Arial"/>
          <w:sz w:val="18"/>
          <w:szCs w:val="18"/>
          <w:color w:val="auto"/>
        </w:rPr>
      </w:pPr>
      <w:r>
        <w:rPr>
          <w:rFonts w:ascii="Arial" w:cs="Arial" w:eastAsia="Arial" w:hAnsi="Arial"/>
          <w:sz w:val="16"/>
          <w:szCs w:val="16"/>
          <w:color w:val="auto"/>
        </w:rPr>
        <w:t>John T. McKenna, Cooley LLP Charles S. Kim, Cooley LLP</w:t>
      </w:r>
    </w:p>
    <w:p>
      <w:pPr>
        <w:spacing w:after="0" w:line="1" w:lineRule="exact"/>
        <w:rPr>
          <w:rFonts w:ascii="Arial" w:cs="Arial" w:eastAsia="Arial" w:hAnsi="Arial"/>
          <w:sz w:val="18"/>
          <w:szCs w:val="18"/>
          <w:color w:val="auto"/>
        </w:rPr>
      </w:pPr>
    </w:p>
    <w:p>
      <w:pPr>
        <w:ind w:left="984" w:right="6860"/>
        <w:spacing w:after="0" w:line="295" w:lineRule="auto"/>
        <w:rPr>
          <w:rFonts w:ascii="Arial" w:cs="Arial" w:eastAsia="Arial" w:hAnsi="Arial"/>
          <w:sz w:val="18"/>
          <w:szCs w:val="18"/>
          <w:color w:val="auto"/>
        </w:rPr>
      </w:pPr>
      <w:r>
        <w:rPr>
          <w:rFonts w:ascii="Arial" w:cs="Arial" w:eastAsia="Arial" w:hAnsi="Arial"/>
          <w:sz w:val="16"/>
          <w:szCs w:val="16"/>
          <w:color w:val="auto"/>
        </w:rPr>
        <w:t>Deepa M. Rich, Goodwin Procter LLP Edwin O’Connor, Goodwin Procter LLP Sam Zucker, Goodwin Procter LLP Shoaib Ghias, Goodwin Procter LLP</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Enclosures</w:t>
      </w:r>
    </w:p>
    <w:p>
      <w:pPr>
        <w:spacing w:after="0" w:line="158"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t: (650) 843-5000 f: (650) 849-7400 cooley.com</w:t>
      </w:r>
    </w:p>
    <w:sectPr>
      <w:pgSz w:w="11900" w:h="16838" w:orient="portrait"/>
      <w:cols w:equalWidth="0" w:num="1">
        <w:col w:w="10784"/>
      </w:cols>
      <w:pgMar w:left="436" w:top="103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2021-08-26T23:05:27Z</dcterms:created>
  <dcterms:modified xsi:type="dcterms:W3CDTF">2021-08-26T23:05:27Z</dcterms:modified>
</cp:coreProperties>
</file>