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Farquharson Andrew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Rani Therapeutics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RANI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08/17/2022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2051 RINGWOOD AVE.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08/17/2022</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71,042</w:t>
            </w:r>
            <w:r>
              <w:rPr>
                <w:rFonts w:ascii="Times New Roman" w:cs="Times New Roman" w:eastAsia="Times New Roman" w:hAnsi="Times New Roman"/>
                <w:sz w:val="22"/>
                <w:szCs w:val="22"/>
                <w:color w:val="008000"/>
                <w:vertAlign w:val="superscript"/>
              </w:rPr>
              <w:t>(1)</w:t>
            </w:r>
          </w:p>
        </w:tc>
        <w:tc>
          <w:tcPr>
            <w:tcW w:w="100" w:type="dxa"/>
            <w:vAlign w:val="bottom"/>
          </w:tcPr>
          <w:p>
            <w:pPr>
              <w:spacing w:after="0"/>
              <w:rPr>
                <w:sz w:val="21"/>
                <w:szCs w:val="21"/>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10.51</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1"/>
                <w:szCs w:val="21"/>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74,334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08/17/2022</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9,210</w:t>
            </w:r>
            <w:r>
              <w:rPr>
                <w:rFonts w:ascii="Times New Roman" w:cs="Times New Roman" w:eastAsia="Times New Roman" w:hAnsi="Times New Roman"/>
                <w:sz w:val="22"/>
                <w:szCs w:val="22"/>
                <w:color w:val="008000"/>
                <w:vertAlign w:val="superscript"/>
              </w:rPr>
              <w:t>(1)</w:t>
            </w:r>
          </w:p>
        </w:tc>
        <w:tc>
          <w:tcPr>
            <w:tcW w:w="100" w:type="dxa"/>
            <w:vAlign w:val="bottom"/>
          </w:tcPr>
          <w:p>
            <w:pPr>
              <w:spacing w:after="0"/>
              <w:rPr>
                <w:sz w:val="21"/>
                <w:szCs w:val="21"/>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1"/>
                <w:szCs w:val="21"/>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65,124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Rani Investment Corp. Represents Class A Shares held by Rani Investment Corp.</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$10.39 to $11.37,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VH Moll, L.P., and Rani Investment Corp. Represents 52,781 shares of Class A Common Stock of the Issuer held by InCube Ventures II, L.P., 12,343 shares of Class A Common Stock of the Issuer held by VH Moll, L.P., and 9,210 shares of Class A Common Stock of the Issuer held by Rani Investment Corp.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$11.39 to $11.975, inclusive.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and VH Moll, L.P. Represents 52,781 shares of Class A Common Stock of the Issuer held by InCube Ventures II, L.P. and 12,343 shares of Class A Common Stock of the Issuer held by VH Moll, L.P. The Reporting Person disclaims beneficial ownership of these securities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Josh Seidenfeld,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Andrew</w:t>
      </w:r>
      <w:r>
        <w:rPr>
          <w:sz w:val="20"/>
          <w:szCs w:val="20"/>
          <w:color w:val="auto"/>
        </w:rPr>
        <w:tab/>
      </w:r>
      <w:r>
        <w:rPr>
          <w:rFonts w:ascii="Times New Roman" w:cs="Times New Roman" w:eastAsia="Times New Roman" w:hAnsi="Times New Roman"/>
          <w:sz w:val="17"/>
          <w:szCs w:val="17"/>
          <w:color w:val="0000FF"/>
        </w:rPr>
        <w:t>08/19/2022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8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9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99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6569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2022-08-19T19:06:36Z</dcterms:created>
  <dcterms:modified xsi:type="dcterms:W3CDTF">2022-08-19T19:06:36Z</dcterms:modified>
</cp:coreProperties>
</file>