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6995160" cy="4645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Groen Eric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Rani Therapeutics Holdings,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RANI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RANI THERAPEUTICS LLC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2051 RINGWOOD AVE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3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163,216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205,800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03/26/2033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205,800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shares subject to the restricted stock unit grant vest as follows: 1/16th of the RSUs shall vest quarterly over four years from March 27, 2023.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2. The shares subject to the option vest as follows: 1/4th of the shares subject to the option vest monthly over four years from March 27, 2023.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Josh Seidenfeld, , Attorney-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03/29/2023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-2864485</wp:posOffset>
            </wp:positionV>
            <wp:extent cx="28575" cy="183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8630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2023-03-29T20:25:01Z</dcterms:created>
  <dcterms:modified xsi:type="dcterms:W3CDTF">2023-03-29T20:25:01Z</dcterms:modified>
</cp:coreProperties>
</file>