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753018 100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Isidoro Alfonso Quiroga Cortés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Aequanimitas Limited Partnership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Avenida Presidente Riesco 5711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Oficina 1603,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Las Condes, Santiago, Chile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 22 798-9600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 240.13d-7(b)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709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t>NAME OF REPORTING PERSONS</w:t>
      </w:r>
    </w:p>
    <w:p>
      <w:pPr>
        <w:spacing w:after="0" w:line="27" w:lineRule="exact"/>
        <w:rPr>
          <w:sz w:val="20"/>
          <w:szCs w:val="20"/>
          <w:color w:val="auto"/>
        </w:rPr>
      </w:pPr>
    </w:p>
    <w:p>
      <w:pPr>
        <w:ind w:left="1020" w:right="4640" w:hanging="598"/>
        <w:spacing w:after="0" w:line="271" w:lineRule="auto"/>
        <w:tabs>
          <w:tab w:leader="none" w:pos="1020" w:val="left"/>
        </w:tabs>
        <w:numPr>
          <w:ilvl w:val="0"/>
          <w:numId w:val="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I.R.S. IDENTIFICATION NOS. OF ABOVE PERSONS (ENTITIES ONLY) Aequanimitas Limited Partnership</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1020" w:hanging="598"/>
        <w:spacing w:after="0" w:line="207" w:lineRule="exact"/>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color w:val="auto"/>
        </w:rPr>
      </w:pPr>
    </w:p>
    <w:p>
      <w:pPr>
        <w:ind w:left="10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ind w:left="1020" w:hanging="598"/>
        <w:spacing w:after="0" w:line="231" w:lineRule="auto"/>
        <w:tabs>
          <w:tab w:leader="none" w:pos="1020"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194" w:lineRule="exact"/>
        <w:rPr>
          <w:sz w:val="20"/>
          <w:szCs w:val="20"/>
          <w:color w:val="auto"/>
        </w:rPr>
      </w:pPr>
    </w:p>
    <w:p>
      <w:pPr>
        <w:ind w:left="1020" w:hanging="598"/>
        <w:spacing w:after="0"/>
        <w:tabs>
          <w:tab w:leader="none" w:pos="1020" w:val="left"/>
        </w:tabs>
        <w:numPr>
          <w:ilvl w:val="0"/>
          <w:numId w:val="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SOURCE OF FUNDS (See Instructions)</w:t>
      </w:r>
    </w:p>
    <w:p>
      <w:pPr>
        <w:spacing w:after="0" w:line="1" w:lineRule="exact"/>
        <w:rPr>
          <w:rFonts w:ascii="Times New Roman" w:cs="Times New Roman" w:eastAsia="Times New Roman" w:hAnsi="Times New Roman"/>
          <w:sz w:val="36"/>
          <w:szCs w:val="36"/>
          <w:color w:val="auto"/>
          <w:vertAlign w:val="subscript"/>
        </w:rPr>
      </w:pPr>
    </w:p>
    <w:p>
      <w:pPr>
        <w:ind w:left="102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OO</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303"/>
        </w:trPr>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5</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0"/>
        </w:trPr>
        <w:tc>
          <w:tcPr>
            <w:tcW w:w="340" w:type="dxa"/>
            <w:vAlign w:val="bottom"/>
            <w:vMerge w:val="continue"/>
          </w:tcPr>
          <w:p>
            <w:pPr>
              <w:spacing w:after="0"/>
              <w:rPr>
                <w:sz w:val="6"/>
                <w:szCs w:val="6"/>
                <w:color w:val="auto"/>
              </w:rPr>
            </w:pPr>
          </w:p>
        </w:tc>
        <w:tc>
          <w:tcPr>
            <w:tcW w:w="9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0" w:right="6560" w:hanging="598"/>
        <w:spacing w:after="0" w:line="184" w:lineRule="auto"/>
        <w:tabs>
          <w:tab w:leader="none" w:pos="1020" w:val="left"/>
        </w:tabs>
        <w:numPr>
          <w:ilvl w:val="0"/>
          <w:numId w:val="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CITIZENSHIP OR PLACE OF ORGANIZATION Canada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28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6"/>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vMerge w:val="continue"/>
          </w:tcPr>
          <w:p>
            <w:pPr>
              <w:spacing w:after="0"/>
              <w:rPr>
                <w:sz w:val="10"/>
                <w:szCs w:val="10"/>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130"/>
        </w:trPr>
        <w:tc>
          <w:tcPr>
            <w:tcW w:w="228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tcBorders>
              <w:bottom w:val="single" w:sz="8" w:color="auto"/>
              <w:right w:val="single" w:sz="8" w:color="auto"/>
            </w:tcBorders>
          </w:tcPr>
          <w:p>
            <w:pPr>
              <w:spacing w:after="0"/>
              <w:rPr>
                <w:sz w:val="5"/>
                <w:szCs w:val="5"/>
                <w:color w:val="auto"/>
              </w:rPr>
            </w:pPr>
          </w:p>
        </w:tc>
        <w:tc>
          <w:tcPr>
            <w:tcW w:w="8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28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right w:val="single" w:sz="8" w:color="auto"/>
            </w:tcBorders>
          </w:tcPr>
          <w:p>
            <w:pPr>
              <w:spacing w:after="0"/>
              <w:rPr>
                <w:sz w:val="13"/>
                <w:szCs w:val="13"/>
                <w:color w:val="auto"/>
              </w:rPr>
            </w:pPr>
          </w:p>
        </w:tc>
        <w:tc>
          <w:tcPr>
            <w:tcW w:w="8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2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continue"/>
          </w:tcPr>
          <w:p>
            <w:pPr>
              <w:spacing w:after="0"/>
              <w:rPr>
                <w:sz w:val="8"/>
                <w:szCs w:val="8"/>
                <w:color w:val="auto"/>
              </w:rPr>
            </w:pPr>
          </w:p>
        </w:tc>
        <w:tc>
          <w:tcPr>
            <w:tcW w:w="8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113"/>
        </w:trPr>
        <w:tc>
          <w:tcPr>
            <w:tcW w:w="2280" w:type="dxa"/>
            <w:vAlign w:val="bottom"/>
            <w:tcBorders>
              <w:right w:val="single" w:sz="8" w:color="auto"/>
            </w:tcBorders>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Borders>
              <w:right w:val="single" w:sz="8" w:color="auto"/>
            </w:tcBorders>
          </w:tcPr>
          <w:p>
            <w:pPr>
              <w:spacing w:after="0"/>
              <w:rPr>
                <w:sz w:val="9"/>
                <w:szCs w:val="9"/>
                <w:color w:val="auto"/>
              </w:rPr>
            </w:pPr>
          </w:p>
        </w:tc>
        <w:tc>
          <w:tcPr>
            <w:tcW w:w="8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28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6"/>
        </w:trPr>
        <w:tc>
          <w:tcPr>
            <w:tcW w:w="22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020" w:right="3680" w:hanging="640"/>
        <w:spacing w:after="0" w:line="184" w:lineRule="auto"/>
        <w:tabs>
          <w:tab w:leader="none" w:pos="1020" w:val="left"/>
        </w:tabs>
        <w:numPr>
          <w:ilvl w:val="0"/>
          <w:numId w:val="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AGGREGATE AMOUNT BENEFICIALLY OWNED BY EACH REPORTING PERSON 8,400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14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3"/>
        </w:trPr>
        <w:tc>
          <w:tcPr>
            <w:tcW w:w="7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780" w:type="dxa"/>
            <w:vAlign w:val="bottom"/>
            <w:vMerge w:val="continue"/>
          </w:tcPr>
          <w:p>
            <w:pPr>
              <w:spacing w:after="0"/>
              <w:rPr>
                <w:sz w:val="11"/>
                <w:szCs w:val="11"/>
                <w:color w:val="auto"/>
              </w:rPr>
            </w:pPr>
          </w:p>
        </w:tc>
        <w:tc>
          <w:tcPr>
            <w:tcW w:w="9060" w:type="dxa"/>
            <w:vAlign w:val="bottom"/>
            <w:vMerge w:val="restart"/>
          </w:tcPr>
          <w:p>
            <w:pPr>
              <w:ind w:left="240"/>
              <w:spacing w:after="0" w:line="351" w:lineRule="exact"/>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(1)</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780" w:type="dxa"/>
            <w:vAlign w:val="bottom"/>
            <w:vMerge w:val="continue"/>
          </w:tcPr>
          <w:p>
            <w:pPr>
              <w:spacing w:after="0"/>
              <w:rPr>
                <w:sz w:val="10"/>
                <w:szCs w:val="10"/>
                <w:color w:val="auto"/>
              </w:rPr>
            </w:pPr>
          </w:p>
        </w:tc>
        <w:tc>
          <w:tcPr>
            <w:tcW w:w="90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PN</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9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          The percentage calculation is based on 25,880,064 shares of Class A Common Stock of the Issuer issued and outstanding as of November 3, 2023, as reported by the Issuer on its Form 10-Q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709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t>NAME OF REPORTING PERSONS</w:t>
      </w:r>
    </w:p>
    <w:p>
      <w:pPr>
        <w:spacing w:after="0" w:line="27" w:lineRule="exact"/>
        <w:rPr>
          <w:sz w:val="20"/>
          <w:szCs w:val="20"/>
          <w:color w:val="auto"/>
        </w:rPr>
      </w:pPr>
    </w:p>
    <w:p>
      <w:pPr>
        <w:ind w:left="1020" w:right="4640" w:hanging="598"/>
        <w:spacing w:after="0" w:line="271" w:lineRule="auto"/>
        <w:tabs>
          <w:tab w:leader="none" w:pos="1020" w:val="left"/>
        </w:tabs>
        <w:numPr>
          <w:ilvl w:val="0"/>
          <w:numId w:val="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I.R.S. IDENTIFICATION NOS. OF ABOVE PERSONS (ENTITIES ONLY) Isidoro Alfonso Quiroga Cortés</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1020" w:hanging="598"/>
        <w:spacing w:after="0" w:line="207" w:lineRule="exact"/>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color w:val="auto"/>
        </w:rPr>
      </w:pPr>
    </w:p>
    <w:p>
      <w:pPr>
        <w:ind w:left="10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ind w:left="1020" w:hanging="598"/>
        <w:spacing w:after="0" w:line="231" w:lineRule="auto"/>
        <w:tabs>
          <w:tab w:leader="none" w:pos="1020" w:val="left"/>
        </w:tabs>
        <w:numPr>
          <w:ilvl w:val="0"/>
          <w:numId w:val="10"/>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194" w:lineRule="exact"/>
        <w:rPr>
          <w:sz w:val="20"/>
          <w:szCs w:val="20"/>
          <w:color w:val="auto"/>
        </w:rPr>
      </w:pPr>
    </w:p>
    <w:p>
      <w:pPr>
        <w:ind w:left="1020" w:hanging="598"/>
        <w:spacing w:after="0"/>
        <w:tabs>
          <w:tab w:leader="none" w:pos="1020" w:val="left"/>
        </w:tabs>
        <w:numPr>
          <w:ilvl w:val="0"/>
          <w:numId w:val="1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SOURCE OF FUNDS (See Instructions)</w:t>
      </w:r>
    </w:p>
    <w:p>
      <w:pPr>
        <w:spacing w:after="0" w:line="1" w:lineRule="exact"/>
        <w:rPr>
          <w:rFonts w:ascii="Times New Roman" w:cs="Times New Roman" w:eastAsia="Times New Roman" w:hAnsi="Times New Roman"/>
          <w:sz w:val="36"/>
          <w:szCs w:val="36"/>
          <w:color w:val="auto"/>
          <w:vertAlign w:val="subscript"/>
        </w:rPr>
      </w:pPr>
    </w:p>
    <w:p>
      <w:pPr>
        <w:ind w:left="102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OO</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303"/>
        </w:trPr>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5</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0"/>
        </w:trPr>
        <w:tc>
          <w:tcPr>
            <w:tcW w:w="340" w:type="dxa"/>
            <w:vAlign w:val="bottom"/>
            <w:vMerge w:val="continue"/>
          </w:tcPr>
          <w:p>
            <w:pPr>
              <w:spacing w:after="0"/>
              <w:rPr>
                <w:sz w:val="6"/>
                <w:szCs w:val="6"/>
                <w:color w:val="auto"/>
              </w:rPr>
            </w:pPr>
          </w:p>
        </w:tc>
        <w:tc>
          <w:tcPr>
            <w:tcW w:w="9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0" w:right="6560" w:hanging="598"/>
        <w:spacing w:after="0" w:line="184" w:lineRule="auto"/>
        <w:tabs>
          <w:tab w:leader="none" w:pos="1020" w:val="left"/>
        </w:tabs>
        <w:numPr>
          <w:ilvl w:val="0"/>
          <w:numId w:val="1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CITIZENSHIP OR PLACE OF ORGANIZATION Chile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28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6"/>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vMerge w:val="continue"/>
          </w:tcPr>
          <w:p>
            <w:pPr>
              <w:spacing w:after="0"/>
              <w:rPr>
                <w:sz w:val="10"/>
                <w:szCs w:val="10"/>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130"/>
        </w:trPr>
        <w:tc>
          <w:tcPr>
            <w:tcW w:w="228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tcBorders>
              <w:bottom w:val="single" w:sz="8" w:color="auto"/>
              <w:right w:val="single" w:sz="8" w:color="auto"/>
            </w:tcBorders>
          </w:tcPr>
          <w:p>
            <w:pPr>
              <w:spacing w:after="0"/>
              <w:rPr>
                <w:sz w:val="5"/>
                <w:szCs w:val="5"/>
                <w:color w:val="auto"/>
              </w:rPr>
            </w:pPr>
          </w:p>
        </w:tc>
        <w:tc>
          <w:tcPr>
            <w:tcW w:w="8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28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right w:val="single" w:sz="8" w:color="auto"/>
            </w:tcBorders>
          </w:tcPr>
          <w:p>
            <w:pPr>
              <w:spacing w:after="0"/>
              <w:rPr>
                <w:sz w:val="13"/>
                <w:szCs w:val="13"/>
                <w:color w:val="auto"/>
              </w:rPr>
            </w:pPr>
          </w:p>
        </w:tc>
        <w:tc>
          <w:tcPr>
            <w:tcW w:w="8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2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continue"/>
          </w:tcPr>
          <w:p>
            <w:pPr>
              <w:spacing w:after="0"/>
              <w:rPr>
                <w:sz w:val="8"/>
                <w:szCs w:val="8"/>
                <w:color w:val="auto"/>
              </w:rPr>
            </w:pPr>
          </w:p>
        </w:tc>
        <w:tc>
          <w:tcPr>
            <w:tcW w:w="8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113"/>
        </w:trPr>
        <w:tc>
          <w:tcPr>
            <w:tcW w:w="2280" w:type="dxa"/>
            <w:vAlign w:val="bottom"/>
            <w:tcBorders>
              <w:right w:val="single" w:sz="8" w:color="auto"/>
            </w:tcBorders>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Borders>
              <w:right w:val="single" w:sz="8" w:color="auto"/>
            </w:tcBorders>
          </w:tcPr>
          <w:p>
            <w:pPr>
              <w:spacing w:after="0"/>
              <w:rPr>
                <w:sz w:val="9"/>
                <w:szCs w:val="9"/>
                <w:color w:val="auto"/>
              </w:rPr>
            </w:pPr>
          </w:p>
        </w:tc>
        <w:tc>
          <w:tcPr>
            <w:tcW w:w="8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28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6"/>
        </w:trPr>
        <w:tc>
          <w:tcPr>
            <w:tcW w:w="22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020" w:right="3680" w:hanging="640"/>
        <w:spacing w:after="0" w:line="184" w:lineRule="auto"/>
        <w:tabs>
          <w:tab w:leader="none" w:pos="1020" w:val="left"/>
        </w:tabs>
        <w:numPr>
          <w:ilvl w:val="0"/>
          <w:numId w:val="1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AGGREGATE AMOUNT BENEFICIALLY OWNED BY EACH REPORTING PERSON 8,400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14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3"/>
        </w:trPr>
        <w:tc>
          <w:tcPr>
            <w:tcW w:w="7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780" w:type="dxa"/>
            <w:vAlign w:val="bottom"/>
            <w:vMerge w:val="continue"/>
          </w:tcPr>
          <w:p>
            <w:pPr>
              <w:spacing w:after="0"/>
              <w:rPr>
                <w:sz w:val="11"/>
                <w:szCs w:val="11"/>
                <w:color w:val="auto"/>
              </w:rPr>
            </w:pPr>
          </w:p>
        </w:tc>
        <w:tc>
          <w:tcPr>
            <w:tcW w:w="9060" w:type="dxa"/>
            <w:vAlign w:val="bottom"/>
            <w:vMerge w:val="restart"/>
          </w:tcPr>
          <w:p>
            <w:pPr>
              <w:ind w:left="240"/>
              <w:spacing w:after="0" w:line="351" w:lineRule="exact"/>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(2)</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780" w:type="dxa"/>
            <w:vAlign w:val="bottom"/>
            <w:vMerge w:val="continue"/>
          </w:tcPr>
          <w:p>
            <w:pPr>
              <w:spacing w:after="0"/>
              <w:rPr>
                <w:sz w:val="10"/>
                <w:szCs w:val="10"/>
                <w:color w:val="auto"/>
              </w:rPr>
            </w:pPr>
          </w:p>
        </w:tc>
        <w:tc>
          <w:tcPr>
            <w:tcW w:w="90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IN, HC</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9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          The percentage calculation is based on 25,880,064 shares of Class A Common Stock of the Issuer issued and outstanding as of November 3, 2023, as reported by the Issuer on its Form 10-Q filed with the SEC on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 w:name="page4"/>
    <w:bookmarkEnd w:id="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1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supplements and amends the Statement on Schedule 13D filed on February 1, 2022 (the “</w:t>
      </w:r>
      <w:r>
        <w:rPr>
          <w:rFonts w:ascii="Times New Roman" w:cs="Times New Roman" w:eastAsia="Times New Roman" w:hAnsi="Times New Roman"/>
          <w:sz w:val="18"/>
          <w:szCs w:val="18"/>
          <w:u w:val="single" w:color="auto"/>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13D Filing</w:t>
      </w:r>
      <w:r>
        <w:rPr>
          <w:rFonts w:ascii="Times New Roman" w:cs="Times New Roman" w:eastAsia="Times New Roman" w:hAnsi="Times New Roman"/>
          <w:sz w:val="18"/>
          <w:szCs w:val="18"/>
          <w:color w:val="auto"/>
        </w:rPr>
        <w:t>”), relating to the beneficial ownership of certain shares Class A common stock, $0.0001 par value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Rani Therapeutics Holdings,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 Delaware corporation. . Information reported in the Prior 13D Filing remains in effect except to the extent that it is amended, restated or superseded by information contained in this Amendment No. 1. Unless otherwise indicated, capitalized terms used but not otherwise defined herein shall have the meaning assigned to such terms in the Prior 13D Filing. Responses to each item of this Amendment No. 1 are incorporated by reference into the response to each other item, as applicable.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Amendment No. 1 relates to the Issuer’s Class A Common Stock. The principal executive offices of the Issuer are located at 2051 Ringwood Avenue, San Jose, California 95131.</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is being jointly filed by Aequanimitas Limited Partnership (“</w:t>
      </w:r>
      <w:r>
        <w:rPr>
          <w:rFonts w:ascii="Times New Roman" w:cs="Times New Roman" w:eastAsia="Times New Roman" w:hAnsi="Times New Roman"/>
          <w:sz w:val="18"/>
          <w:szCs w:val="18"/>
          <w:u w:val="single" w:color="auto"/>
          <w:color w:val="auto"/>
        </w:rPr>
        <w:t>Aequanimitas</w:t>
      </w:r>
      <w:r>
        <w:rPr>
          <w:rFonts w:ascii="Times New Roman" w:cs="Times New Roman" w:eastAsia="Times New Roman" w:hAnsi="Times New Roman"/>
          <w:sz w:val="18"/>
          <w:szCs w:val="18"/>
          <w:color w:val="auto"/>
        </w:rPr>
        <w:t>”) and Isidoro Alfonso Quiroga Cortés (“</w:t>
      </w:r>
      <w:r>
        <w:rPr>
          <w:rFonts w:ascii="Times New Roman" w:cs="Times New Roman" w:eastAsia="Times New Roman" w:hAnsi="Times New Roman"/>
          <w:sz w:val="18"/>
          <w:szCs w:val="18"/>
          <w:u w:val="single" w:color="auto"/>
          <w:color w:val="auto"/>
        </w:rPr>
        <w:t>Quiroga Cortés</w:t>
      </w:r>
      <w:r>
        <w:rPr>
          <w:rFonts w:ascii="Times New Roman" w:cs="Times New Roman" w:eastAsia="Times New Roman" w:hAnsi="Times New Roman"/>
          <w:sz w:val="18"/>
          <w:szCs w:val="18"/>
          <w:color w:val="auto"/>
        </w:rPr>
        <w:t>, and together with Aequanimitas,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pursuant to Rule 13d-1(k) promulgated by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Section 13 of the Securities Exchange Act of 1934, as amended.</w:t>
      </w:r>
    </w:p>
    <w:p>
      <w:pPr>
        <w:spacing w:after="0" w:line="17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Quiroga Cortés directly owns 100% of the issued and outstanding interest of Aequanimitas Management LLC (the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The General Partner directly controls Aequanimitas as its general partner with the power to manage Aequanimitas. Quiroga Cortés is the sole limited partner of Aequanimitas.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Aequanimitas and the General Partner is Avenida Presidente Riesco 5711 oficina 1603, Las Condes, Santiago, Chile. The residential address of Quiroga Cortés is Leonel Aguirre 1830, apartment 101, Montevideo, Uruguay.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principal business of Aequanimitas is acting as an investment vehicle to organize its limited partner’s, Quiroga Cortés’, investments in the United States. The present principal business of the General Partner is managing Quiroga Cortés’ investments in the United States as the general partner of Aequanimitas. The principal occupation of Quiroga Cortés is a businessman investing in several different companies.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nor to the knowledge of the Reporting Persons, any of the General Partner, or the executive officers, mangers, directors or partners of the Reporting Persons, has, during the last five years, been convicted in a criminal proceeding (excluding traffic violations or similar misdemeanors).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Reporting Persons, nor to the knowledge of the Reporting Persons, any of the General Partner, or the executive officers, mangers, directors or partners of the Reporting Persons, if applicable, was,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Aequanimitas is a limited partnership organized under the laws of Ontario, Canada. The General Partner is a limited liability company organized under the laws of the State of Delaware. Quiroga Cortés is an individual resident of Uruguay.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Prior 13D Filing, Aequanimitas purchased an aggregate of 69,080 shares of Class A Common Stock for an aggregate purchase price of approximately $0.4 million in multiple open-market purchases during October 2022, November 2022, and December 2022, in each case as previously reported on a Form 4 filed with the SEC.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funds used by Aequanimitas to purchase the Class A Common Stock were obtained from its working capital.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Prior 13D Filing and following the purchases disclosed above, on November 24, 2023, Aequanimitas sold an aggregate of 5,265,165 shares of Class A Common Stock, which represented 99.9% of the shares of Class A Common Stock held by Aequanimitas, for an aggregate purchase price of approximately $10.6 million in a single private secondary sale transaction, which was priced at the prevailing market price.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the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above in Item 1 and Item 3 of this Amendment No. 1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left="1300" w:hanging="968"/>
        <w:spacing w:after="0" w:line="282" w:lineRule="auto"/>
        <w:tabs>
          <w:tab w:leader="none" w:pos="5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(b)Aequanimitas directly holds an aggregate of 0 shares of Class A Common Stock of the Issuer. Each share of Class A Common Stock is entitled to one vote.</w:t>
      </w:r>
    </w:p>
    <w:p>
      <w:pPr>
        <w:spacing w:after="0" w:line="162"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Quiroga Cortés indirectly holds an aggregate of 0 shares of Class A Common Stock of the Issuer. Each share of Class A Common Stock is entitled to one vote.</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Quiroga Cortés, through the General Partner, indirectly controls Aequanimitas, which has sole voting power and sole dispositive power with respect to 0 shares of Class A Common Stock of the Issuer held directly by it. Aequanimitas is controlled by its general partner, the General Partner, which is wholly owned by Quiroga Cortés.</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owned by the Reporting Persons as a percentage of the outstanding shares of Class A Common Stock of the Issuer presented in this Amendment No. 1 is based upon 25,880,064 shares of Class A Common Stock issued and outstanding as of November 3, 2023, as reported by the Issuer on its Form 10-Q filed with the SEC on November 8, 2023.</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24, 2023, Aequanimitas sold 5,265,165 shares of Class A Common Stock of the Issuer for a purchase price of $2.01 per share in connection with a single private secondary sale at the prevailing market price. The information set forth in Item 3 and Item 4 of this Amendment No. 1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24, 2023, Aequanimitas ceased to be a beneficial owner of more than five percent of the issued and outstanding Class A Common Stock of the Issuer. Consequently, this Amendment No. 1 constitutes an exit filing for the Reporting Persons.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Items 3 and 4 of this Amendment No. 1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Materials to be Filed as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Exhibit 99.1 — Joint Filing Agreement, dated December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Reporting Person’s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8,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Aequanimitas Limited Partnership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Isidoro Quiroga Cortés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JOINT FILING AGREEMENT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the date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8,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Aequanimitas Limited Partnership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Isidoro Quiroga Cortés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6"/>
      <w:numFmt w:val="bullet"/>
      <w:start w:val="1"/>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3"/>
      <w:numFmt w:val="bullet"/>
      <w:start w:val="1"/>
    </w:lvl>
  </w:abstractNum>
  <w:abstractNum w:abstractNumId="10">
    <w:nsid w:val="DED7263"/>
    <w:multiLevelType w:val="hybridMultilevel"/>
    <w:lvl w:ilvl="0">
      <w:lvlJc w:val="left"/>
      <w:lvlText w:val="4"/>
      <w:numFmt w:val="bullet"/>
      <w:start w:val="1"/>
    </w:lvl>
  </w:abstractNum>
  <w:abstractNum w:abstractNumId="11">
    <w:nsid w:val="7FDCC233"/>
    <w:multiLevelType w:val="hybridMultilevel"/>
    <w:lvl w:ilvl="0">
      <w:lvlJc w:val="left"/>
      <w:lvlText w:val="6"/>
      <w:numFmt w:val="bullet"/>
      <w:start w:val="1"/>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2023-12-08T15:38:02Z</dcterms:created>
  <dcterms:modified xsi:type="dcterms:W3CDTF">2023-12-08T15:38:02Z</dcterms:modified>
</cp:coreProperties>
</file>